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bookmarkStart w:id="0" w:name="__DdeLink__6061_116038440"/>
      <w:r>
        <w:rPr>
          <w:b/>
          <w:i w:val="false"/>
          <w:sz w:val="28"/>
          <w:szCs w:val="28"/>
        </w:rPr>
        <w:t>Composition induced changes in optical response of Ti</w:t>
      </w:r>
      <w:r>
        <w:rPr>
          <w:b/>
          <w:i w:val="false"/>
          <w:sz w:val="28"/>
          <w:szCs w:val="28"/>
          <w:vertAlign w:val="subscript"/>
        </w:rPr>
        <w:t>1-x</w:t>
      </w:r>
      <w:r>
        <w:rPr>
          <w:b/>
          <w:i w:val="false"/>
          <w:sz w:val="28"/>
          <w:szCs w:val="28"/>
        </w:rPr>
        <w:t>Si</w:t>
      </w:r>
      <w:r>
        <w:rPr>
          <w:b/>
          <w:i w:val="false"/>
          <w:sz w:val="28"/>
          <w:szCs w:val="28"/>
          <w:vertAlign w:val="subscript"/>
        </w:rPr>
        <w:t>x</w:t>
      </w:r>
      <w:r>
        <w:rPr>
          <w:b/>
          <w:i w:val="false"/>
          <w:sz w:val="28"/>
          <w:szCs w:val="28"/>
        </w:rPr>
        <w:t>O</w:t>
      </w:r>
      <w:r>
        <w:rPr>
          <w:b/>
          <w:i w:val="false"/>
          <w:sz w:val="28"/>
          <w:szCs w:val="28"/>
          <w:vertAlign w:val="subscript"/>
        </w:rPr>
        <w:t>2</w:t>
      </w:r>
      <w:r>
        <w:rPr>
          <w:b/>
          <w:i w:val="false"/>
          <w:sz w:val="28"/>
          <w:szCs w:val="28"/>
        </w:rPr>
        <w:t xml:space="preserve"> from first principles calculations</w:t>
      </w:r>
      <w:bookmarkEnd w:id="0"/>
      <w:r>
        <w:rPr>
          <w:b/>
          <w:sz w:val="28"/>
          <w:szCs w:val="28"/>
        </w:rPr>
        <w:br/>
      </w:r>
    </w:p>
    <w:p>
      <w:pPr>
        <w:pStyle w:val="Normal"/>
        <w:widowControl/>
        <w:spacing w:lineRule="auto" w:line="240" w:before="0" w:after="0"/>
        <w:jc w:val="center"/>
        <w:rPr/>
      </w:pPr>
      <w:r>
        <w:rPr>
          <w:rFonts w:eastAsia="Times New Roman" w:cs="Times New Roman"/>
          <w:b w:val="false"/>
          <w:i/>
          <w:sz w:val="24"/>
          <w:szCs w:val="24"/>
          <w:u w:val="single"/>
        </w:rPr>
        <w:t>Pavel Ondračka</w:t>
      </w:r>
      <w:r>
        <w:rPr>
          <w:rFonts w:eastAsia="Times New Roman" w:cs="Times New Roman"/>
          <w:b w:val="false"/>
          <w:i/>
          <w:sz w:val="24"/>
          <w:szCs w:val="24"/>
          <w:vertAlign w:val="superscript"/>
        </w:rPr>
        <w:t>a,b</w:t>
      </w:r>
      <w:r>
        <w:rPr>
          <w:rFonts w:eastAsia="Times New Roman" w:cs="Times New Roman"/>
          <w:b w:val="false"/>
          <w:i/>
          <w:sz w:val="24"/>
          <w:szCs w:val="24"/>
        </w:rPr>
        <w:t>, David Holec</w:t>
      </w:r>
      <w:r>
        <w:rPr>
          <w:rFonts w:eastAsia="Times New Roman" w:cs="Times New Roman"/>
          <w:b w:val="false"/>
          <w:i/>
          <w:sz w:val="24"/>
          <w:szCs w:val="24"/>
          <w:vertAlign w:val="superscript"/>
        </w:rPr>
        <w:t>c</w:t>
      </w:r>
      <w:r>
        <w:rPr>
          <w:rFonts w:eastAsia="Times New Roman" w:cs="Times New Roman"/>
          <w:b w:val="false"/>
          <w:i/>
          <w:sz w:val="24"/>
          <w:szCs w:val="24"/>
        </w:rPr>
        <w:t xml:space="preserve">, </w:t>
      </w:r>
      <w:r>
        <w:rPr>
          <w:i/>
        </w:rPr>
        <w:t>E</w:t>
      </w:r>
      <w:r>
        <w:rPr>
          <w:rFonts w:eastAsia="Times New Roman" w:cs="Times New Roman"/>
          <w:b w:val="false"/>
          <w:i/>
          <w:sz w:val="24"/>
          <w:szCs w:val="24"/>
        </w:rPr>
        <w:t>va Kedroňová</w:t>
      </w:r>
      <w:r>
        <w:rPr>
          <w:rFonts w:eastAsia="Times New Roman" w:cs="Times New Roman"/>
          <w:b w:val="false"/>
          <w:i/>
          <w:sz w:val="24"/>
          <w:szCs w:val="24"/>
          <w:vertAlign w:val="superscript"/>
        </w:rPr>
        <w:t>a,b</w:t>
      </w:r>
      <w:r>
        <w:rPr>
          <w:rFonts w:eastAsia="Times New Roman" w:cs="Times New Roman"/>
          <w:b w:val="false"/>
          <w:i/>
          <w:sz w:val="24"/>
          <w:szCs w:val="24"/>
        </w:rPr>
        <w:t>, Marek Eliáš</w:t>
      </w:r>
      <w:r>
        <w:rPr>
          <w:i/>
          <w:vertAlign w:val="superscript"/>
        </w:rPr>
        <w:t>a,b</w:t>
      </w:r>
      <w:r>
        <w:rPr>
          <w:rFonts w:eastAsia="Times New Roman" w:cs="Times New Roman"/>
          <w:b w:val="false"/>
          <w:i/>
          <w:sz w:val="24"/>
          <w:szCs w:val="24"/>
        </w:rPr>
        <w:t>, Stéphane Elisabeth</w:t>
      </w:r>
      <w:r>
        <w:rPr>
          <w:rFonts w:eastAsia="Times New Roman" w:cs="Times New Roman"/>
          <w:b w:val="false"/>
          <w:i/>
          <w:sz w:val="24"/>
          <w:szCs w:val="24"/>
          <w:vertAlign w:val="superscript"/>
        </w:rPr>
        <w:t>d</w:t>
      </w:r>
      <w:r>
        <w:rPr>
          <w:rFonts w:eastAsia="Times New Roman" w:cs="Times New Roman"/>
          <w:b w:val="false"/>
          <w:i/>
          <w:sz w:val="24"/>
          <w:szCs w:val="24"/>
        </w:rPr>
        <w:t>, Antoine Goullet</w:t>
      </w:r>
      <w:r>
        <w:rPr>
          <w:rFonts w:eastAsia="Times New Roman" w:cs="Times New Roman"/>
          <w:b w:val="false"/>
          <w:i/>
          <w:sz w:val="24"/>
          <w:szCs w:val="24"/>
          <w:vertAlign w:val="superscript"/>
        </w:rPr>
        <w:t>d</w:t>
      </w:r>
      <w:r>
        <w:rPr>
          <w:rFonts w:eastAsia="Times New Roman" w:cs="Times New Roman"/>
          <w:b w:val="false"/>
          <w:i/>
          <w:sz w:val="24"/>
          <w:szCs w:val="24"/>
        </w:rPr>
        <w:t>, Lenka Zajíčková</w:t>
      </w:r>
      <w:r>
        <w:rPr>
          <w:rFonts w:eastAsia="Times New Roman" w:cs="Times New Roman"/>
          <w:b w:val="false"/>
          <w:i/>
          <w:sz w:val="24"/>
          <w:szCs w:val="24"/>
          <w:vertAlign w:val="superscript"/>
        </w:rPr>
        <w:t>a,b</w:t>
      </w:r>
    </w:p>
    <w:p>
      <w:pPr>
        <w:pStyle w:val="Normal"/>
        <w:widowControl/>
        <w:spacing w:lineRule="auto" w:line="240" w:before="0" w:after="0"/>
        <w:jc w:val="center"/>
        <w:rPr/>
      </w:pPr>
      <w:r>
        <w:rPr>
          <w:rFonts w:eastAsia="Times New Roman" w:cs="Times New Roman"/>
          <w:b w:val="false"/>
          <w:i/>
          <w:sz w:val="24"/>
          <w:szCs w:val="24"/>
          <w:vertAlign w:val="superscript"/>
        </w:rPr>
        <w:t>a</w:t>
      </w:r>
      <w:r>
        <w:rPr>
          <w:rFonts w:eastAsia="Times New Roman" w:cs="Times New Roman"/>
          <w:b w:val="false"/>
          <w:i/>
          <w:sz w:val="24"/>
          <w:szCs w:val="24"/>
        </w:rPr>
        <w:t xml:space="preserve"> Faculty of Science, Masaryk University, Kotlářská 2, 611 37 Brno, Czech Republic</w:t>
      </w:r>
    </w:p>
    <w:p>
      <w:pPr>
        <w:pStyle w:val="Normal"/>
        <w:widowControl/>
        <w:spacing w:lineRule="auto" w:line="240" w:before="0" w:after="0"/>
        <w:jc w:val="center"/>
        <w:rPr/>
      </w:pPr>
      <w:r>
        <w:rPr>
          <w:rFonts w:eastAsia="Times New Roman" w:cs="Times New Roman"/>
          <w:b w:val="false"/>
          <w:i/>
          <w:sz w:val="24"/>
          <w:szCs w:val="24"/>
          <w:vertAlign w:val="superscript"/>
        </w:rPr>
        <w:t>b</w:t>
      </w:r>
      <w:r>
        <w:rPr>
          <w:rFonts w:eastAsia="Times New Roman" w:cs="Times New Roman"/>
          <w:b w:val="false"/>
          <w:i/>
          <w:sz w:val="24"/>
          <w:szCs w:val="24"/>
        </w:rPr>
        <w:t xml:space="preserve"> CEITEC - Central European Institute of Technology, Masaryk University, Kotlářská 2, 611 37 Brno, Czech Republic</w:t>
      </w:r>
    </w:p>
    <w:p>
      <w:pPr>
        <w:pStyle w:val="Normal"/>
        <w:widowControl/>
        <w:spacing w:lineRule="auto" w:line="240" w:before="0" w:after="0"/>
        <w:jc w:val="center"/>
        <w:rPr/>
      </w:pPr>
      <w:r>
        <w:rPr>
          <w:rFonts w:eastAsia="Times New Roman" w:cs="Times New Roman"/>
          <w:b w:val="false"/>
          <w:i/>
          <w:sz w:val="24"/>
          <w:szCs w:val="24"/>
          <w:vertAlign w:val="superscript"/>
        </w:rPr>
        <w:t>c</w:t>
      </w:r>
      <w:r>
        <w:rPr>
          <w:rFonts w:eastAsia="Times New Roman" w:cs="Times New Roman"/>
          <w:b w:val="false"/>
          <w:i/>
          <w:sz w:val="24"/>
          <w:szCs w:val="24"/>
        </w:rPr>
        <w:t xml:space="preserve"> Department of Physical Metallurgy and Materials Testing, Montanuniversität Leoben, Franz-Josef-Straße 18, Leoben A-8700, Austria</w:t>
      </w:r>
    </w:p>
    <w:p>
      <w:pPr>
        <w:pStyle w:val="Normal"/>
        <w:widowControl/>
        <w:spacing w:lineRule="auto" w:line="240" w:before="0" w:after="0"/>
        <w:jc w:val="center"/>
        <w:rPr/>
      </w:pPr>
      <w:r>
        <w:rPr>
          <w:rFonts w:eastAsia="Times New Roman" w:cs="Times New Roman"/>
          <w:b w:val="false"/>
          <w:i/>
          <w:sz w:val="24"/>
          <w:szCs w:val="24"/>
          <w:vertAlign w:val="superscript"/>
        </w:rPr>
        <w:t>d</w:t>
      </w:r>
      <w:r>
        <w:rPr>
          <w:rFonts w:eastAsia="Times New Roman" w:cs="Times New Roman"/>
          <w:b w:val="false"/>
          <w:i/>
          <w:sz w:val="24"/>
          <w:szCs w:val="24"/>
        </w:rPr>
        <w:t xml:space="preserve"> Institut des Matériaux Jean Rouxel (IMN), Université de Nantes, UMR CNRS 6502, 2 rue de la Houssinière, BP 32229, 44322 Nantes Cedex 3, France</w:t>
      </w:r>
    </w:p>
    <w:p>
      <w:pPr>
        <w:pStyle w:val="Normal"/>
        <w:widowControl/>
        <w:spacing w:lineRule="auto" w:line="240" w:before="0" w:after="0"/>
        <w:jc w:val="both"/>
        <w:rPr/>
      </w:pPr>
      <w:r>
        <w:rPr/>
      </w:r>
    </w:p>
    <w:p>
      <w:pPr>
        <w:pStyle w:val="Normal"/>
        <w:widowControl/>
        <w:spacing w:lineRule="auto" w:line="240" w:before="0" w:after="0"/>
        <w:jc w:val="center"/>
        <w:rPr/>
      </w:pPr>
      <w:r>
        <w:rPr>
          <w:rFonts w:eastAsia="Times New Roman" w:cs="Times New Roman"/>
          <w:b w:val="false"/>
          <w:i w:val="false"/>
          <w:sz w:val="24"/>
          <w:szCs w:val="24"/>
        </w:rPr>
        <w:t xml:space="preserve">email address of the presenting author: </w:t>
      </w:r>
      <w:hyperlink r:id="rId2">
        <w:r>
          <w:rPr>
            <w:rStyle w:val="Internetovodkaz"/>
            <w:rFonts w:eastAsia="Times New Roman" w:cs="Times New Roman"/>
            <w:b w:val="false"/>
            <w:i w:val="false"/>
            <w:color w:val="FF0000"/>
            <w:sz w:val="24"/>
            <w:szCs w:val="24"/>
            <w:u w:val="single"/>
          </w:rPr>
          <w:t>pavel.ondracka@gmail.com</w:t>
        </w:r>
      </w:hyperlink>
    </w:p>
    <w:p>
      <w:pPr>
        <w:pStyle w:val="Normal"/>
        <w:widowControl/>
        <w:spacing w:lineRule="auto" w:line="240" w:before="0" w:after="0"/>
        <w:jc w:val="center"/>
        <w:rPr/>
      </w:pPr>
      <w:r>
        <w:rPr/>
      </w:r>
    </w:p>
    <w:p>
      <w:pPr>
        <w:pStyle w:val="Normal"/>
        <w:widowControl/>
        <w:spacing w:lineRule="auto" w:line="240" w:before="0" w:after="0"/>
        <w:jc w:val="both"/>
        <w:rPr/>
      </w:pPr>
      <w:r>
        <w:rPr>
          <w:rFonts w:eastAsia="Times New Roman" w:cs="Times New Roman"/>
          <w:b w:val="false"/>
          <w:i w:val="false"/>
          <w:sz w:val="24"/>
          <w:szCs w:val="24"/>
        </w:rPr>
        <w:t>Mixed Ti</w:t>
      </w:r>
      <w:r>
        <w:rPr>
          <w:rFonts w:eastAsia="Times New Roman" w:cs="Times New Roman"/>
          <w:b w:val="false"/>
          <w:i w:val="false"/>
          <w:sz w:val="24"/>
          <w:szCs w:val="24"/>
          <w:vertAlign w:val="subscript"/>
        </w:rPr>
        <w:t>x</w:t>
      </w:r>
      <w:r>
        <w:rPr>
          <w:rFonts w:eastAsia="Times New Roman" w:cs="Times New Roman"/>
          <w:b w:val="false"/>
          <w:i w:val="false"/>
          <w:sz w:val="24"/>
          <w:szCs w:val="24"/>
        </w:rPr>
        <w:t>Si</w:t>
      </w:r>
      <w:r>
        <w:rPr>
          <w:rFonts w:eastAsia="Times New Roman" w:cs="Times New Roman"/>
          <w:b w:val="false"/>
          <w:i w:val="false"/>
          <w:sz w:val="24"/>
          <w:szCs w:val="24"/>
          <w:vertAlign w:val="subscript"/>
        </w:rPr>
        <w:t>y</w:t>
      </w:r>
      <w:r>
        <w:rPr>
          <w:rFonts w:eastAsia="Times New Roman" w:cs="Times New Roman"/>
          <w:b w:val="false"/>
          <w:i w:val="false"/>
          <w:sz w:val="24"/>
          <w:szCs w:val="24"/>
        </w:rPr>
        <w:t>O</w:t>
      </w:r>
      <w:r>
        <w:rPr>
          <w:vertAlign w:val="subscript"/>
        </w:rPr>
        <w:t>2</w:t>
      </w:r>
      <w:r>
        <w:rPr>
          <w:rFonts w:eastAsia="Times New Roman" w:cs="Times New Roman"/>
          <w:b w:val="false"/>
          <w:i w:val="false"/>
          <w:sz w:val="24"/>
          <w:szCs w:val="24"/>
        </w:rPr>
        <w:t xml:space="preserve"> materials offer </w:t>
      </w:r>
      <w:r>
        <w:rPr/>
        <w:t>great potential for compositionally induced variation of their</w:t>
      </w:r>
      <w:r>
        <w:rPr>
          <w:rFonts w:eastAsia="Times New Roman" w:cs="Times New Roman"/>
          <w:b w:val="false"/>
          <w:i w:val="false"/>
          <w:sz w:val="24"/>
          <w:szCs w:val="24"/>
        </w:rPr>
        <w:t xml:space="preserve"> optical properties</w:t>
      </w:r>
      <w:r>
        <w:rPr/>
        <w:t>,</w:t>
      </w:r>
      <w:r>
        <w:rPr>
          <w:rFonts w:eastAsia="Times New Roman" w:cs="Times New Roman"/>
          <w:b w:val="false"/>
          <w:i w:val="false"/>
          <w:sz w:val="24"/>
          <w:szCs w:val="24"/>
        </w:rPr>
        <w:t xml:space="preserve"> due to the high difference </w:t>
      </w:r>
      <w:r>
        <w:rPr/>
        <w:t xml:space="preserve">of their </w:t>
      </w:r>
      <w:r>
        <w:rPr>
          <w:rFonts w:eastAsia="Times New Roman" w:cs="Times New Roman"/>
          <w:b w:val="false"/>
          <w:i w:val="false"/>
          <w:sz w:val="24"/>
          <w:szCs w:val="24"/>
        </w:rPr>
        <w:t>refractive indices (TiO</w:t>
      </w:r>
      <w:r>
        <w:rPr>
          <w:rFonts w:eastAsia="Times New Roman" w:cs="Times New Roman"/>
          <w:b w:val="false"/>
          <w:i w:val="false"/>
          <w:sz w:val="24"/>
          <w:szCs w:val="24"/>
          <w:vertAlign w:val="subscript"/>
        </w:rPr>
        <w:t>2</w:t>
      </w:r>
      <w:r>
        <w:rPr>
          <w:rFonts w:eastAsia="Times New Roman" w:cs="Times New Roman"/>
          <w:b w:val="false"/>
          <w:i w:val="false"/>
          <w:sz w:val="24"/>
          <w:szCs w:val="24"/>
        </w:rPr>
        <w:t>: ~2.5, SiO</w:t>
      </w:r>
      <w:r>
        <w:rPr>
          <w:rFonts w:eastAsia="Times New Roman" w:cs="Times New Roman"/>
          <w:b w:val="false"/>
          <w:i w:val="false"/>
          <w:sz w:val="24"/>
          <w:szCs w:val="24"/>
          <w:vertAlign w:val="subscript"/>
        </w:rPr>
        <w:t>2</w:t>
      </w:r>
      <w:r>
        <w:rPr>
          <w:rFonts w:eastAsia="Times New Roman" w:cs="Times New Roman"/>
          <w:b w:val="false"/>
          <w:i w:val="false"/>
          <w:sz w:val="24"/>
          <w:szCs w:val="24"/>
        </w:rPr>
        <w:t>: ~1.5) and band gaps (TiO</w:t>
      </w:r>
      <w:r>
        <w:rPr>
          <w:rFonts w:eastAsia="Times New Roman" w:cs="Times New Roman"/>
          <w:b w:val="false"/>
          <w:i w:val="false"/>
          <w:sz w:val="24"/>
          <w:szCs w:val="24"/>
          <w:vertAlign w:val="subscript"/>
        </w:rPr>
        <w:t>2</w:t>
      </w:r>
      <w:r>
        <w:rPr>
          <w:rFonts w:eastAsia="Times New Roman" w:cs="Times New Roman"/>
          <w:b w:val="false"/>
          <w:i w:val="false"/>
          <w:sz w:val="24"/>
          <w:szCs w:val="24"/>
        </w:rPr>
        <w:t>: ~3.2 eV, SiO</w:t>
      </w:r>
      <w:r>
        <w:rPr>
          <w:rFonts w:eastAsia="Times New Roman" w:cs="Times New Roman"/>
          <w:b w:val="false"/>
          <w:i w:val="false"/>
          <w:sz w:val="24"/>
          <w:szCs w:val="24"/>
          <w:vertAlign w:val="subscript"/>
        </w:rPr>
        <w:t>2</w:t>
      </w:r>
      <w:r>
        <w:rPr>
          <w:rFonts w:eastAsia="Times New Roman" w:cs="Times New Roman"/>
          <w:b w:val="false"/>
          <w:i w:val="false"/>
          <w:sz w:val="24"/>
          <w:szCs w:val="24"/>
        </w:rPr>
        <w:t xml:space="preserve">: ~8.5 eV). This opens new possibilities </w:t>
      </w:r>
      <w:r>
        <w:rPr/>
        <w:t xml:space="preserve">for </w:t>
      </w:r>
      <w:r>
        <w:rPr>
          <w:rFonts w:eastAsia="Times New Roman" w:cs="Times New Roman"/>
          <w:b w:val="false"/>
          <w:i w:val="false"/>
          <w:sz w:val="24"/>
          <w:szCs w:val="24"/>
        </w:rPr>
        <w:t>designin</w:t>
      </w:r>
      <w:r>
        <w:rPr/>
        <w:t>g</w:t>
      </w:r>
      <w:r>
        <w:rPr>
          <w:rFonts w:eastAsia="Times New Roman" w:cs="Times New Roman"/>
          <w:b w:val="false"/>
          <w:i w:val="false"/>
          <w:sz w:val="24"/>
          <w:szCs w:val="24"/>
        </w:rPr>
        <w:t xml:space="preserve"> </w:t>
      </w:r>
      <w:r>
        <w:rPr/>
        <w:t>o</w:t>
      </w:r>
      <w:r>
        <w:rPr>
          <w:rFonts w:eastAsia="Times New Roman" w:cs="Times New Roman"/>
          <w:b w:val="false"/>
          <w:i w:val="false"/>
          <w:sz w:val="24"/>
          <w:szCs w:val="24"/>
        </w:rPr>
        <w:t>ptical devices.</w:t>
      </w:r>
    </w:p>
    <w:p>
      <w:pPr>
        <w:pStyle w:val="Normal"/>
        <w:widowControl/>
        <w:spacing w:lineRule="auto" w:line="240" w:before="0" w:after="0"/>
        <w:jc w:val="both"/>
        <w:rPr/>
      </w:pPr>
      <w:r>
        <w:rPr/>
      </w:r>
    </w:p>
    <w:p>
      <w:pPr>
        <w:pStyle w:val="Normal"/>
        <w:widowControl/>
        <w:spacing w:lineRule="auto" w:line="240" w:before="0" w:after="0"/>
        <w:jc w:val="both"/>
        <w:rPr/>
      </w:pPr>
      <w:r>
        <w:rPr>
          <w:rFonts w:eastAsia="Times New Roman" w:cs="Times New Roman"/>
          <w:b w:val="false"/>
          <w:i w:val="false"/>
          <w:sz w:val="24"/>
          <w:szCs w:val="24"/>
        </w:rPr>
        <w:t>In the present work, the variation of Ti</w:t>
      </w:r>
      <w:r>
        <w:rPr>
          <w:rFonts w:eastAsia="Times New Roman" w:cs="Times New Roman"/>
          <w:b w:val="false"/>
          <w:i w:val="false"/>
          <w:sz w:val="24"/>
          <w:szCs w:val="24"/>
          <w:vertAlign w:val="subscript"/>
        </w:rPr>
        <w:t>1-x</w:t>
      </w:r>
      <w:r>
        <w:rPr>
          <w:rFonts w:eastAsia="Times New Roman" w:cs="Times New Roman"/>
          <w:b w:val="false"/>
          <w:i w:val="false"/>
          <w:sz w:val="24"/>
          <w:szCs w:val="24"/>
        </w:rPr>
        <w:t>Si</w:t>
      </w:r>
      <w:r>
        <w:rPr>
          <w:rFonts w:eastAsia="Times New Roman" w:cs="Times New Roman"/>
          <w:b w:val="false"/>
          <w:i w:val="false"/>
          <w:sz w:val="24"/>
          <w:szCs w:val="24"/>
          <w:vertAlign w:val="subscript"/>
        </w:rPr>
        <w:t>x</w:t>
      </w:r>
      <w:r>
        <w:rPr>
          <w:rFonts w:eastAsia="Times New Roman" w:cs="Times New Roman"/>
          <w:b w:val="false"/>
          <w:i w:val="false"/>
          <w:sz w:val="24"/>
          <w:szCs w:val="24"/>
        </w:rPr>
        <w:t>O</w:t>
      </w:r>
      <w:r>
        <w:rPr>
          <w:rFonts w:eastAsia="Times New Roman" w:cs="Times New Roman"/>
          <w:b w:val="false"/>
          <w:i w:val="false"/>
          <w:sz w:val="24"/>
          <w:szCs w:val="24"/>
          <w:vertAlign w:val="subscript"/>
        </w:rPr>
        <w:t>2</w:t>
      </w:r>
      <w:r>
        <w:rPr>
          <w:rFonts w:eastAsia="Times New Roman" w:cs="Times New Roman"/>
          <w:b w:val="false"/>
          <w:i w:val="false"/>
          <w:sz w:val="24"/>
          <w:szCs w:val="24"/>
        </w:rPr>
        <w:t xml:space="preserve"> optical constants caused by changed Si concentration </w:t>
      </w:r>
      <w:r>
        <w:rPr/>
        <w:t>is studied</w:t>
      </w:r>
      <w:r>
        <w:rPr>
          <w:rFonts w:eastAsia="Times New Roman" w:cs="Times New Roman"/>
          <w:b w:val="false"/>
          <w:i w:val="false"/>
          <w:sz w:val="24"/>
          <w:szCs w:val="24"/>
        </w:rPr>
        <w:t xml:space="preserve"> by employing Density Functional Theory. Special Quasi-random Structures method is used to generate structural models of Ti</w:t>
      </w:r>
      <w:r>
        <w:rPr>
          <w:rFonts w:eastAsia="Times New Roman" w:cs="Times New Roman"/>
          <w:b w:val="false"/>
          <w:i w:val="false"/>
          <w:sz w:val="24"/>
          <w:szCs w:val="24"/>
          <w:vertAlign w:val="subscript"/>
        </w:rPr>
        <w:t>1-x</w:t>
      </w:r>
      <w:r>
        <w:rPr>
          <w:rFonts w:eastAsia="Times New Roman" w:cs="Times New Roman"/>
          <w:b w:val="false"/>
          <w:i w:val="false"/>
          <w:sz w:val="24"/>
          <w:szCs w:val="24"/>
        </w:rPr>
        <w:t>Si</w:t>
      </w:r>
      <w:r>
        <w:rPr>
          <w:rFonts w:eastAsia="Times New Roman" w:cs="Times New Roman"/>
          <w:b w:val="false"/>
          <w:i w:val="false"/>
          <w:sz w:val="24"/>
          <w:szCs w:val="24"/>
          <w:vertAlign w:val="subscript"/>
        </w:rPr>
        <w:t>x</w:t>
      </w:r>
      <w:r>
        <w:rPr>
          <w:rFonts w:eastAsia="Times New Roman" w:cs="Times New Roman"/>
          <w:b w:val="false"/>
          <w:i w:val="false"/>
          <w:sz w:val="24"/>
          <w:szCs w:val="24"/>
        </w:rPr>
        <w:t>O</w:t>
      </w:r>
      <w:r>
        <w:rPr>
          <w:rFonts w:eastAsia="Times New Roman" w:cs="Times New Roman"/>
          <w:b w:val="false"/>
          <w:i w:val="false"/>
          <w:sz w:val="24"/>
          <w:szCs w:val="24"/>
          <w:vertAlign w:val="subscript"/>
        </w:rPr>
        <w:t>2</w:t>
      </w:r>
      <w:r>
        <w:rPr>
          <w:rFonts w:eastAsia="Times New Roman" w:cs="Times New Roman"/>
          <w:b w:val="false"/>
          <w:i w:val="false"/>
          <w:sz w:val="24"/>
          <w:szCs w:val="24"/>
        </w:rPr>
        <w:t xml:space="preserve"> disordered solid solutions based on various TiO</w:t>
      </w:r>
      <w:r>
        <w:rPr>
          <w:rFonts w:eastAsia="Times New Roman" w:cs="Times New Roman"/>
          <w:b w:val="false"/>
          <w:i w:val="false"/>
          <w:sz w:val="24"/>
          <w:szCs w:val="24"/>
          <w:vertAlign w:val="subscript"/>
        </w:rPr>
        <w:t>2</w:t>
      </w:r>
      <w:r>
        <w:rPr>
          <w:rFonts w:eastAsia="Times New Roman" w:cs="Times New Roman"/>
          <w:b w:val="false"/>
          <w:i w:val="false"/>
          <w:sz w:val="24"/>
          <w:szCs w:val="24"/>
        </w:rPr>
        <w:t xml:space="preserve"> and SiO</w:t>
      </w:r>
      <w:r>
        <w:rPr>
          <w:rFonts w:eastAsia="Times New Roman" w:cs="Times New Roman"/>
          <w:b w:val="false"/>
          <w:i w:val="false"/>
          <w:sz w:val="24"/>
          <w:szCs w:val="24"/>
          <w:vertAlign w:val="subscript"/>
        </w:rPr>
        <w:t>2</w:t>
      </w:r>
      <w:r>
        <w:rPr>
          <w:rFonts w:eastAsia="Times New Roman" w:cs="Times New Roman"/>
          <w:b w:val="false"/>
          <w:i w:val="false"/>
          <w:sz w:val="24"/>
          <w:szCs w:val="24"/>
        </w:rPr>
        <w:t xml:space="preserve"> phases. These initial supercells are fully structurally optimized (i.e., optimized with respect to the cell shape, size, and atomic positions) using the Vienna Ab initio Simulation Package. Ab initio Molecular Dynamics approach (“simulated annealing”) is used to generate structural models of the amorphous phase. Optical constants of the resulting structures are calculated </w:t>
      </w:r>
      <w:r>
        <w:rPr/>
        <w:t>using</w:t>
      </w:r>
      <w:r>
        <w:rPr>
          <w:rFonts w:eastAsia="Times New Roman" w:cs="Times New Roman"/>
          <w:b w:val="false"/>
          <w:i w:val="false"/>
          <w:sz w:val="24"/>
          <w:szCs w:val="24"/>
        </w:rPr>
        <w:t xml:space="preserve"> the linearized augmented plane wave method as implemented in the all-electron Wien2k code together with the modified Becke-Johnson exchange-correlation potential allowing for a</w:t>
      </w:r>
      <w:r>
        <w:rPr/>
        <w:t>n accurate</w:t>
      </w:r>
      <w:r>
        <w:rPr>
          <w:rFonts w:eastAsia="Times New Roman" w:cs="Times New Roman"/>
          <w:b w:val="false"/>
          <w:i w:val="false"/>
          <w:sz w:val="24"/>
          <w:szCs w:val="24"/>
        </w:rPr>
        <w:t xml:space="preserve"> prediction of electronic structures and band gaps [1].</w:t>
      </w:r>
    </w:p>
    <w:p>
      <w:pPr>
        <w:pStyle w:val="Normal"/>
        <w:widowControl/>
        <w:spacing w:lineRule="auto" w:line="240" w:before="0" w:after="0"/>
        <w:jc w:val="both"/>
        <w:rPr/>
      </w:pPr>
      <w:r>
        <w:rPr/>
      </w:r>
    </w:p>
    <w:p>
      <w:pPr>
        <w:pStyle w:val="Normal"/>
        <w:widowControl/>
        <w:spacing w:lineRule="auto" w:line="240" w:before="0" w:after="0"/>
        <w:jc w:val="both"/>
        <w:rPr/>
      </w:pPr>
      <w:r>
        <w:rPr>
          <w:rFonts w:eastAsia="Times New Roman" w:cs="Times New Roman"/>
          <w:b w:val="false"/>
          <w:i w:val="false"/>
          <w:sz w:val="24"/>
          <w:szCs w:val="24"/>
        </w:rPr>
        <w:t xml:space="preserve">The calculated dielectric function and band gaps are compared </w:t>
      </w:r>
      <w:r>
        <w:rPr/>
        <w:t>with</w:t>
      </w:r>
      <w:r>
        <w:rPr>
          <w:rFonts w:eastAsia="Times New Roman" w:cs="Times New Roman"/>
          <w:b w:val="false"/>
          <w:i w:val="false"/>
          <w:sz w:val="24"/>
          <w:szCs w:val="24"/>
        </w:rPr>
        <w:t xml:space="preserve"> experimental data obtained by fitting the optical measurements (ellipsometry, spectrophotometry) carried out on  </w:t>
      </w:r>
      <w:r>
        <w:rPr/>
        <w:t>Ti</w:t>
      </w:r>
      <w:r>
        <w:rPr>
          <w:vertAlign w:val="subscript"/>
        </w:rPr>
        <w:t>1-x</w:t>
      </w:r>
      <w:r>
        <w:rPr/>
        <w:t>Si</w:t>
      </w:r>
      <w:r>
        <w:rPr>
          <w:vertAlign w:val="subscript"/>
        </w:rPr>
        <w:t>x</w:t>
      </w:r>
      <w:r>
        <w:rPr/>
        <w:t>O</w:t>
      </w:r>
      <w:r>
        <w:rPr>
          <w:vertAlign w:val="subscript"/>
        </w:rPr>
        <w:t>2</w:t>
      </w:r>
      <w:r>
        <w:rPr>
          <w:rFonts w:eastAsia="Times New Roman" w:cs="Times New Roman"/>
          <w:b w:val="false"/>
          <w:i w:val="false"/>
          <w:sz w:val="24"/>
          <w:szCs w:val="24"/>
        </w:rPr>
        <w:t xml:space="preserve"> films </w:t>
      </w:r>
      <w:r>
        <w:rPr/>
        <w:t>p</w:t>
      </w:r>
      <w:r>
        <w:rPr>
          <w:rFonts w:eastAsia="Times New Roman" w:cs="Times New Roman"/>
          <w:b w:val="false"/>
          <w:i w:val="false"/>
          <w:sz w:val="24"/>
          <w:szCs w:val="24"/>
        </w:rPr>
        <w:t xml:space="preserve">repared by plasma enhanced chemical vapor deposition and atomic layer deposition. </w:t>
      </w:r>
    </w:p>
    <w:p>
      <w:pPr>
        <w:pStyle w:val="Normal"/>
        <w:widowControl/>
        <w:spacing w:lineRule="auto" w:line="240" w:before="0" w:after="0"/>
        <w:jc w:val="both"/>
        <w:rPr>
          <w:rFonts w:ascii="Times New Roman" w:hAnsi="Times New Roman" w:eastAsia="Times New Roman" w:cs="Times New Roman"/>
          <w:b w:val="false"/>
          <w:b w:val="false"/>
          <w:i w:val="false"/>
          <w:i w:val="false"/>
          <w:sz w:val="24"/>
          <w:szCs w:val="24"/>
        </w:rPr>
      </w:pPr>
      <w:r>
        <w:rPr/>
      </w:r>
    </w:p>
    <w:p>
      <w:pPr>
        <w:pStyle w:val="Normal"/>
        <w:widowControl/>
        <w:spacing w:lineRule="auto" w:line="240" w:before="0" w:after="0"/>
        <w:jc w:val="center"/>
        <w:rPr/>
      </w:pPr>
      <w:r>
        <w:rPr/>
        <w:drawing>
          <wp:inline distT="0" distB="0" distL="0" distR="0">
            <wp:extent cx="3039745" cy="1731645"/>
            <wp:effectExtent l="0" t="0" r="0" b="0"/>
            <wp:docPr id="1" name="image01.png" descr="SiTiO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SiTiO2-n.png"/>
                    <pic:cNvPicPr>
                      <a:picLocks noChangeAspect="1" noChangeArrowheads="1"/>
                    </pic:cNvPicPr>
                  </pic:nvPicPr>
                  <pic:blipFill>
                    <a:blip r:embed="rId3"/>
                    <a:stretch>
                      <a:fillRect/>
                    </a:stretch>
                  </pic:blipFill>
                  <pic:spPr bwMode="auto">
                    <a:xfrm>
                      <a:off x="0" y="0"/>
                      <a:ext cx="3039745" cy="1731645"/>
                    </a:xfrm>
                    <a:prstGeom prst="rect">
                      <a:avLst/>
                    </a:prstGeom>
                  </pic:spPr>
                </pic:pic>
              </a:graphicData>
            </a:graphic>
          </wp:inline>
        </w:drawing>
      </w:r>
    </w:p>
    <w:p>
      <w:pPr>
        <w:pStyle w:val="Normal"/>
        <w:widowControl/>
        <w:spacing w:lineRule="auto" w:line="240" w:before="0" w:after="0"/>
        <w:jc w:val="center"/>
        <w:rPr/>
      </w:pPr>
      <w:r>
        <w:rPr>
          <w:sz w:val="22"/>
          <w:szCs w:val="22"/>
        </w:rPr>
        <w:t>Figure 1: Predicted and measured evolution of refractive index of Ti</w:t>
      </w:r>
      <w:r>
        <w:rPr>
          <w:sz w:val="22"/>
          <w:szCs w:val="22"/>
          <w:vertAlign w:val="subscript"/>
        </w:rPr>
        <w:t>1–x</w:t>
      </w:r>
      <w:r>
        <w:rPr>
          <w:sz w:val="22"/>
          <w:szCs w:val="22"/>
        </w:rPr>
        <w:t>Si</w:t>
      </w:r>
      <w:r>
        <w:rPr>
          <w:sz w:val="22"/>
          <w:szCs w:val="22"/>
          <w:vertAlign w:val="subscript"/>
        </w:rPr>
        <w:t>x</w:t>
      </w:r>
      <w:r>
        <w:rPr>
          <w:sz w:val="22"/>
          <w:szCs w:val="22"/>
        </w:rPr>
        <w:t>O</w:t>
      </w:r>
      <w:r>
        <w:rPr>
          <w:sz w:val="22"/>
          <w:szCs w:val="22"/>
          <w:vertAlign w:val="subscript"/>
        </w:rPr>
        <w:t>2</w:t>
      </w:r>
    </w:p>
    <w:p>
      <w:pPr>
        <w:pStyle w:val="Normal"/>
        <w:widowControl/>
        <w:spacing w:lineRule="auto" w:line="240" w:before="0" w:after="0"/>
        <w:jc w:val="center"/>
        <w:rPr>
          <w:sz w:val="22"/>
          <w:szCs w:val="22"/>
          <w:vertAlign w:val="subscript"/>
        </w:rPr>
      </w:pPr>
      <w:r>
        <w:rPr/>
      </w:r>
    </w:p>
    <w:p>
      <w:pPr>
        <w:pStyle w:val="Normal"/>
        <w:spacing w:before="0" w:after="0"/>
        <w:rPr/>
      </w:pPr>
      <w:r>
        <w:rPr>
          <w:sz w:val="20"/>
          <w:szCs w:val="20"/>
        </w:rPr>
        <w:t>[1] F. Tran, P. Blaha, Phys. Rev. Lett. 102 (2009) 226401.</w:t>
      </w:r>
    </w:p>
    <w:sectPr>
      <w:type w:val="nextPage"/>
      <w:pgSz w:w="11906" w:h="16838"/>
      <w:pgMar w:left="1701" w:right="1701" w:header="0" w:top="1418" w:footer="0" w:bottom="1418"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cs-CZ"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adpis1">
    <w:name w:val="Nadpis 1"/>
    <w:basedOn w:val="Normal1"/>
    <w:next w:val="Normal"/>
    <w:pPr>
      <w:keepNext/>
      <w:keepLines/>
      <w:spacing w:lineRule="auto" w:line="240" w:before="480" w:after="120"/>
      <w:contextualSpacing/>
    </w:pPr>
    <w:rPr>
      <w:b/>
      <w:sz w:val="48"/>
      <w:szCs w:val="48"/>
    </w:rPr>
  </w:style>
  <w:style w:type="paragraph" w:styleId="Nadpis2">
    <w:name w:val="Nadpis 2"/>
    <w:basedOn w:val="Normal1"/>
    <w:next w:val="Normal"/>
    <w:pPr>
      <w:keepNext/>
      <w:keepLines/>
      <w:spacing w:lineRule="auto" w:line="240" w:before="360" w:after="80"/>
      <w:contextualSpacing/>
    </w:pPr>
    <w:rPr>
      <w:b/>
      <w:sz w:val="36"/>
      <w:szCs w:val="36"/>
    </w:rPr>
  </w:style>
  <w:style w:type="paragraph" w:styleId="Nadpis3">
    <w:name w:val="Nadpis 3"/>
    <w:basedOn w:val="Normal1"/>
    <w:next w:val="Normal"/>
    <w:pPr>
      <w:keepNext/>
      <w:keepLines/>
      <w:spacing w:lineRule="auto" w:line="240" w:before="280" w:after="80"/>
      <w:contextualSpacing/>
    </w:pPr>
    <w:rPr>
      <w:b/>
      <w:sz w:val="28"/>
      <w:szCs w:val="28"/>
    </w:rPr>
  </w:style>
  <w:style w:type="paragraph" w:styleId="Nadpis4">
    <w:name w:val="Nadpis 4"/>
    <w:basedOn w:val="Normal1"/>
    <w:next w:val="Normal"/>
    <w:pPr>
      <w:keepNext/>
      <w:keepLines/>
      <w:spacing w:lineRule="auto" w:line="240" w:before="240" w:after="40"/>
      <w:contextualSpacing/>
    </w:pPr>
    <w:rPr>
      <w:b/>
      <w:sz w:val="24"/>
      <w:szCs w:val="24"/>
    </w:rPr>
  </w:style>
  <w:style w:type="paragraph" w:styleId="Nadpis5">
    <w:name w:val="Nadpis 5"/>
    <w:basedOn w:val="Normal1"/>
    <w:next w:val="Normal"/>
    <w:pPr>
      <w:keepNext/>
      <w:keepLines/>
      <w:spacing w:lineRule="auto" w:line="240" w:before="220" w:after="40"/>
      <w:contextualSpacing/>
    </w:pPr>
    <w:rPr>
      <w:b/>
      <w:sz w:val="22"/>
      <w:szCs w:val="22"/>
    </w:rPr>
  </w:style>
  <w:style w:type="paragraph" w:styleId="Nadpis6">
    <w:name w:val="Nadpis 6"/>
    <w:basedOn w:val="Normal1"/>
    <w:next w:val="Normal"/>
    <w:pPr>
      <w:keepNext/>
      <w:keepLines/>
      <w:spacing w:lineRule="auto" w:line="240" w:before="200" w:after="40"/>
      <w:contextualSpacing/>
    </w:pPr>
    <w:rPr>
      <w:b/>
      <w:sz w:val="20"/>
      <w:szCs w:val="20"/>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spacing w:before="240" w:after="120"/>
    </w:pPr>
    <w:rPr>
      <w:rFonts w:ascii="Liberation Sans" w:hAnsi="Liberation Sans" w:eastAsia="Tahoma" w:cs="Lohit Devanagari"/>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Lohit Devanagari"/>
    </w:rPr>
  </w:style>
  <w:style w:type="paragraph" w:styleId="Popisek">
    <w:name w:val="Popisek"/>
    <w:basedOn w:val="Normal"/>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zev">
    <w:name w:val="Název"/>
    <w:basedOn w:val="Normal1"/>
    <w:next w:val="Normal"/>
    <w:pPr>
      <w:keepNext/>
      <w:keepLines/>
      <w:spacing w:lineRule="auto" w:line="240" w:before="480" w:after="120"/>
      <w:contextualSpacing/>
    </w:pPr>
    <w:rPr>
      <w:b/>
      <w:sz w:val="72"/>
      <w:szCs w:val="72"/>
    </w:rPr>
  </w:style>
  <w:style w:type="paragraph" w:styleId="Podtitul">
    <w:name w:val="Podtitul"/>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vel.ondracka@gmail.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LibreOffice/5.0.6.1$Linux_X86_64 LibreOffice_project/00$Build-1</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cs-CZ</dc:language>
  <dcterms:modified xsi:type="dcterms:W3CDTF">2016-04-29T12:54:35Z</dcterms:modified>
  <cp:revision>3</cp:revision>
</cp:coreProperties>
</file>