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LTVIP2025TMID47159</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smart sorting: transfer learning for identifying rotten fruits and vegetables</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4450" cy="283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2"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13150" cy="381000"/>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Example: </w:t>
      </w:r>
      <w:hyperlink r:id="rId9">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wrapNone/>
                <wp:docPr id="11" name=""/>
                <a:graphic>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1166A4" w:rsidDel="00000000" w:rsidP="00000000" w:rsidRDefault="001B4ABD" w:rsidRPr="00000000" w14:paraId="1E3CC8B9" w14:textId="071503E3">
                            <w:r w:rsidDel="00000000" w:rsidR="00000000" w:rsidRPr="00000000">
                              <w:rPr>
                                <w:noProof w:val="1"/>
                              </w:rPr>
                              <w:drawing>
                                <wp:inline distB="0" distT="0" distL="0" distR="0">
                                  <wp:extent cx="4293870" cy="2663190"/>
                                  <wp:effectExtent b="3810" l="0" r="0" t="0"/>
                                  <wp:docPr descr="Diagram&#10;&#10;Description automatically generated" id="4" name="Picture 4"/>
                                  <wp:cNvGraphicFramePr>
                                    <a:graphicFrameLocks noChangeAspect="1"/>
                                  </wp:cNvGraphicFramePr>
                                  <a:graphic>
                                    <a:graphicData uri="http://schemas.openxmlformats.org/drawingml/2006/picture">
                                      <pic:pic>
                                        <pic:nvPicPr>
                                          <pic:cNvPr descr="Diagram&#10;&#10;Description automatically generated" id="4" name="Picture 4"/>
                                          <pic:cNvPicPr/>
                                        </pic:nvPicPr>
                                        <pic:blipFill>
                                          <a:blip r:embed="rId1"/>
                                          <a:stretch>
                                            <a:fillRect/>
                                          </a:stretch>
                                        </pic:blipFill>
                                        <pic:spPr>
                                          <a:xfrm>
                                            <a:off x="0" y="0"/>
                                            <a:ext cx="4293870" cy="2663190"/>
                                          </a:xfrm>
                                          <a:prstGeom prst="rect">
                                            <a:avLst/>
                                          </a:prstGeom>
                                        </pic:spPr>
                                      </pic:pic>
                                    </a:graphicData>
                                  </a:graphic>
                                </wp:inline>
                              </w:drawing>
                            </w:r>
                            <w:r w:rsidDel="00000000" w:rsidR="00014F6A" w:rsidRPr="00000000">
                              <w:rPr>
                                <w:noProof w:val="1"/>
                              </w:rPr>
                              <w:drawing>
                                <wp:inline distB="0" distT="0" distL="0" distR="0">
                                  <wp:extent cx="304800" cy="304800"/>
                                  <wp:effectExtent b="0" l="0" r="0" t="0"/>
                                  <wp:docPr descr="data flow diagram" id="3" name="Rectangle 3"/>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83100" cy="2863850"/>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descr="Diagram, timeline&#10;&#10;Description automatically generated" id="14" name="image2.png"/>
            <a:graphic>
              <a:graphicData uri="http://schemas.openxmlformats.org/drawingml/2006/picture">
                <pic:pic>
                  <pic:nvPicPr>
                    <pic:cNvPr descr="Diagram, timeline&#10;&#10;Description automatically generated" id="0" name="image2.png"/>
                    <pic:cNvPicPr preferRelativeResize="0"/>
                  </pic:nvPicPr>
                  <pic:blipFill>
                    <a:blip r:embed="rId11"/>
                    <a:srcRect b="0" l="0" r="0" t="0"/>
                    <a:stretch>
                      <a:fillRect/>
                    </a:stretch>
                  </pic:blipFill>
                  <pic:spPr>
                    <a:xfrm>
                      <a:off x="0" y="0"/>
                      <a:ext cx="2973897" cy="25812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0">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hyperlink" Target="https://developer.ibm.com/patterns/visualize-unstructured-tex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VZEGlNZsMThxmPt3/OiItO4zzg==">CgMxLjA4AHIhMVhZUVIyanUyMDVpQXFVdEplMUJnWHA0bEF0Nk1GdTdH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