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0B14"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Excellent. Let me build the table and then give you the universal guidelines.</w:t>
      </w:r>
    </w:p>
    <w:p w14:paraId="558BC3A6" w14:textId="77777777" w:rsidR="008A7229" w:rsidRPr="008A7229" w:rsidRDefault="00881394" w:rsidP="008A7229">
      <w:pPr>
        <w:spacing w:after="0" w:line="240" w:lineRule="auto"/>
        <w:rPr>
          <w:rFonts w:ascii="Times New Roman" w:eastAsia="Times New Roman" w:hAnsi="Times New Roman" w:cs="Times New Roman"/>
          <w:kern w:val="0"/>
          <w14:ligatures w14:val="none"/>
        </w:rPr>
      </w:pPr>
      <w:r w:rsidRPr="00881394">
        <w:rPr>
          <w:rFonts w:ascii="Times New Roman" w:eastAsia="Times New Roman" w:hAnsi="Times New Roman" w:cs="Times New Roman"/>
          <w:noProof/>
          <w:kern w:val="0"/>
        </w:rPr>
        <w:pict w14:anchorId="16B91079">
          <v:rect id="_x0000_i1033" alt="" style="width:468pt;height:.05pt;mso-width-percent:0;mso-height-percent:0;mso-width-percent:0;mso-height-percent:0" o:hralign="center" o:hrstd="t" o:hr="t" fillcolor="#a0a0a0" stroked="f"/>
        </w:pict>
      </w:r>
    </w:p>
    <w:p w14:paraId="6DDD98C9" w14:textId="77777777" w:rsidR="008A7229" w:rsidRPr="008A7229" w:rsidRDefault="008A7229" w:rsidP="008A72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229">
        <w:rPr>
          <w:rFonts w:ascii="Times New Roman" w:eastAsia="Times New Roman" w:hAnsi="Times New Roman" w:cs="Times New Roman"/>
          <w:b/>
          <w:bCs/>
          <w:kern w:val="0"/>
          <w:sz w:val="36"/>
          <w:szCs w:val="36"/>
          <w14:ligatures w14:val="none"/>
        </w:rPr>
        <w:t>Table 1 — Dataset summary: GSE222315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5648"/>
      </w:tblGrid>
      <w:tr w:rsidR="008A7229" w:rsidRPr="008A7229" w14:paraId="42CCEE01" w14:textId="77777777">
        <w:trPr>
          <w:tblHeader/>
          <w:tblCellSpacing w:w="15" w:type="dxa"/>
        </w:trPr>
        <w:tc>
          <w:tcPr>
            <w:tcW w:w="0" w:type="auto"/>
            <w:vAlign w:val="center"/>
            <w:hideMark/>
          </w:tcPr>
          <w:p w14:paraId="693B3CEB"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Field</w:t>
            </w:r>
          </w:p>
        </w:tc>
        <w:tc>
          <w:tcPr>
            <w:tcW w:w="0" w:type="auto"/>
            <w:vAlign w:val="center"/>
            <w:hideMark/>
          </w:tcPr>
          <w:p w14:paraId="209D04C6"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Details</w:t>
            </w:r>
          </w:p>
        </w:tc>
      </w:tr>
      <w:tr w:rsidR="008A7229" w:rsidRPr="008A7229" w14:paraId="5AE1D49D" w14:textId="77777777">
        <w:trPr>
          <w:tblCellSpacing w:w="15" w:type="dxa"/>
        </w:trPr>
        <w:tc>
          <w:tcPr>
            <w:tcW w:w="0" w:type="auto"/>
            <w:vAlign w:val="center"/>
            <w:hideMark/>
          </w:tcPr>
          <w:p w14:paraId="4AD3808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Dataset ID</w:t>
            </w:r>
          </w:p>
        </w:tc>
        <w:tc>
          <w:tcPr>
            <w:tcW w:w="0" w:type="auto"/>
            <w:vAlign w:val="center"/>
            <w:hideMark/>
          </w:tcPr>
          <w:p w14:paraId="2EF728B8"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GSE222315</w:t>
            </w:r>
          </w:p>
        </w:tc>
      </w:tr>
      <w:tr w:rsidR="008A7229" w:rsidRPr="008A7229" w14:paraId="0066A43D" w14:textId="77777777">
        <w:trPr>
          <w:tblCellSpacing w:w="15" w:type="dxa"/>
        </w:trPr>
        <w:tc>
          <w:tcPr>
            <w:tcW w:w="0" w:type="auto"/>
            <w:vAlign w:val="center"/>
            <w:hideMark/>
          </w:tcPr>
          <w:p w14:paraId="24A6669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Organism</w:t>
            </w:r>
          </w:p>
        </w:tc>
        <w:tc>
          <w:tcPr>
            <w:tcW w:w="0" w:type="auto"/>
            <w:vAlign w:val="center"/>
            <w:hideMark/>
          </w:tcPr>
          <w:p w14:paraId="1EBAD413"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Human</w:t>
            </w:r>
          </w:p>
        </w:tc>
      </w:tr>
      <w:tr w:rsidR="008A7229" w:rsidRPr="008A7229" w14:paraId="6EEBE99D" w14:textId="77777777">
        <w:trPr>
          <w:tblCellSpacing w:w="15" w:type="dxa"/>
        </w:trPr>
        <w:tc>
          <w:tcPr>
            <w:tcW w:w="0" w:type="auto"/>
            <w:vAlign w:val="center"/>
            <w:hideMark/>
          </w:tcPr>
          <w:p w14:paraId="7CB768A3"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Technology</w:t>
            </w:r>
          </w:p>
        </w:tc>
        <w:tc>
          <w:tcPr>
            <w:tcW w:w="0" w:type="auto"/>
            <w:vAlign w:val="center"/>
            <w:hideMark/>
          </w:tcPr>
          <w:p w14:paraId="2336231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10x Genomics Chromium Next GEM Single Cell 3' v3.1</w:t>
            </w:r>
          </w:p>
        </w:tc>
      </w:tr>
      <w:tr w:rsidR="008A7229" w:rsidRPr="008A7229" w14:paraId="3B4201A8" w14:textId="77777777">
        <w:trPr>
          <w:tblCellSpacing w:w="15" w:type="dxa"/>
        </w:trPr>
        <w:tc>
          <w:tcPr>
            <w:tcW w:w="0" w:type="auto"/>
            <w:vAlign w:val="center"/>
            <w:hideMark/>
          </w:tcPr>
          <w:p w14:paraId="6B6E0CD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Alignment</w:t>
            </w:r>
          </w:p>
        </w:tc>
        <w:tc>
          <w:tcPr>
            <w:tcW w:w="0" w:type="auto"/>
            <w:vAlign w:val="center"/>
            <w:hideMark/>
          </w:tcPr>
          <w:p w14:paraId="77EF880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Cell Ranger v3.1.0</w:t>
            </w:r>
          </w:p>
        </w:tc>
      </w:tr>
      <w:tr w:rsidR="008A7229" w:rsidRPr="008A7229" w14:paraId="3B80EDC6" w14:textId="77777777">
        <w:trPr>
          <w:tblCellSpacing w:w="15" w:type="dxa"/>
        </w:trPr>
        <w:tc>
          <w:tcPr>
            <w:tcW w:w="0" w:type="auto"/>
            <w:vAlign w:val="center"/>
            <w:hideMark/>
          </w:tcPr>
          <w:p w14:paraId="6E465BC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Genome assembly</w:t>
            </w:r>
          </w:p>
        </w:tc>
        <w:tc>
          <w:tcPr>
            <w:tcW w:w="0" w:type="auto"/>
            <w:vAlign w:val="center"/>
            <w:hideMark/>
          </w:tcPr>
          <w:p w14:paraId="1C3BC1A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Ensembl release 96 (GRCh38)</w:t>
            </w:r>
          </w:p>
        </w:tc>
      </w:tr>
      <w:tr w:rsidR="008A7229" w:rsidRPr="008A7229" w14:paraId="1B4BF490" w14:textId="77777777">
        <w:trPr>
          <w:tblCellSpacing w:w="15" w:type="dxa"/>
        </w:trPr>
        <w:tc>
          <w:tcPr>
            <w:tcW w:w="0" w:type="auto"/>
            <w:vAlign w:val="center"/>
            <w:hideMark/>
          </w:tcPr>
          <w:p w14:paraId="5C2E910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Gene annotation</w:t>
            </w:r>
          </w:p>
        </w:tc>
        <w:tc>
          <w:tcPr>
            <w:tcW w:w="0" w:type="auto"/>
            <w:vAlign w:val="center"/>
            <w:hideMark/>
          </w:tcPr>
          <w:p w14:paraId="017FB4E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Ensembl IDs (ENSG...) → why our row index is Ensembl</w:t>
            </w:r>
          </w:p>
        </w:tc>
      </w:tr>
      <w:tr w:rsidR="008A7229" w:rsidRPr="008A7229" w14:paraId="20A305B1" w14:textId="77777777">
        <w:trPr>
          <w:tblCellSpacing w:w="15" w:type="dxa"/>
        </w:trPr>
        <w:tc>
          <w:tcPr>
            <w:tcW w:w="0" w:type="auto"/>
            <w:vAlign w:val="center"/>
            <w:hideMark/>
          </w:tcPr>
          <w:p w14:paraId="4BF1E858"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Sequencing</w:t>
            </w:r>
          </w:p>
        </w:tc>
        <w:tc>
          <w:tcPr>
            <w:tcW w:w="0" w:type="auto"/>
            <w:vAlign w:val="center"/>
            <w:hideMark/>
          </w:tcPr>
          <w:p w14:paraId="1A6B478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cDNA 3' end sequencing</w:t>
            </w:r>
          </w:p>
        </w:tc>
      </w:tr>
      <w:tr w:rsidR="008A7229" w:rsidRPr="008A7229" w14:paraId="1B7EDC90" w14:textId="77777777">
        <w:trPr>
          <w:tblCellSpacing w:w="15" w:type="dxa"/>
        </w:trPr>
        <w:tc>
          <w:tcPr>
            <w:tcW w:w="0" w:type="auto"/>
            <w:vAlign w:val="center"/>
            <w:hideMark/>
          </w:tcPr>
          <w:p w14:paraId="291E2B5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Treatment</w:t>
            </w:r>
          </w:p>
        </w:tc>
        <w:tc>
          <w:tcPr>
            <w:tcW w:w="0" w:type="auto"/>
            <w:vAlign w:val="center"/>
            <w:hideMark/>
          </w:tcPr>
          <w:p w14:paraId="0572ADB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None reported</w:t>
            </w:r>
          </w:p>
        </w:tc>
      </w:tr>
    </w:tbl>
    <w:p w14:paraId="6CE031B0" w14:textId="77777777" w:rsidR="008A7229" w:rsidRPr="008A7229" w:rsidRDefault="00881394" w:rsidP="008A7229">
      <w:pPr>
        <w:spacing w:after="0" w:line="240" w:lineRule="auto"/>
        <w:rPr>
          <w:rFonts w:ascii="Times New Roman" w:eastAsia="Times New Roman" w:hAnsi="Times New Roman" w:cs="Times New Roman"/>
          <w:kern w:val="0"/>
          <w14:ligatures w14:val="none"/>
        </w:rPr>
      </w:pPr>
      <w:r w:rsidRPr="00881394">
        <w:rPr>
          <w:rFonts w:ascii="Times New Roman" w:eastAsia="Times New Roman" w:hAnsi="Times New Roman" w:cs="Times New Roman"/>
          <w:noProof/>
          <w:kern w:val="0"/>
        </w:rPr>
        <w:pict w14:anchorId="1ED01A84">
          <v:rect id="_x0000_i1032" alt="" style="width:468pt;height:.05pt;mso-width-percent:0;mso-height-percent:0;mso-width-percent:0;mso-height-percent:0" o:hralign="center" o:hrstd="t" o:hr="t" fillcolor="#a0a0a0" stroked="f"/>
        </w:pict>
      </w:r>
    </w:p>
    <w:p w14:paraId="6FDF21AC" w14:textId="77777777" w:rsidR="008A7229" w:rsidRPr="008A7229" w:rsidRDefault="008A7229" w:rsidP="008A72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229">
        <w:rPr>
          <w:rFonts w:ascii="Times New Roman" w:eastAsia="Times New Roman" w:hAnsi="Times New Roman" w:cs="Times New Roman"/>
          <w:b/>
          <w:bCs/>
          <w:kern w:val="0"/>
          <w:sz w:val="36"/>
          <w:szCs w:val="36"/>
          <w14:ligatures w14:val="none"/>
        </w:rPr>
        <w:t>Table 2 — Sample clinical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421"/>
        <w:gridCol w:w="794"/>
        <w:gridCol w:w="794"/>
        <w:gridCol w:w="2167"/>
        <w:gridCol w:w="660"/>
        <w:gridCol w:w="1828"/>
      </w:tblGrid>
      <w:tr w:rsidR="008A7229" w:rsidRPr="008A7229" w14:paraId="108FF128" w14:textId="77777777">
        <w:trPr>
          <w:tblHeader/>
          <w:tblCellSpacing w:w="15" w:type="dxa"/>
        </w:trPr>
        <w:tc>
          <w:tcPr>
            <w:tcW w:w="0" w:type="auto"/>
            <w:vAlign w:val="center"/>
            <w:hideMark/>
          </w:tcPr>
          <w:p w14:paraId="5E1BC389"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Sample</w:t>
            </w:r>
          </w:p>
        </w:tc>
        <w:tc>
          <w:tcPr>
            <w:tcW w:w="0" w:type="auto"/>
            <w:vAlign w:val="center"/>
            <w:hideMark/>
          </w:tcPr>
          <w:p w14:paraId="6A2948F1"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GSM ID</w:t>
            </w:r>
          </w:p>
        </w:tc>
        <w:tc>
          <w:tcPr>
            <w:tcW w:w="0" w:type="auto"/>
            <w:vAlign w:val="center"/>
            <w:hideMark/>
          </w:tcPr>
          <w:p w14:paraId="4CE02E26"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Patient</w:t>
            </w:r>
          </w:p>
        </w:tc>
        <w:tc>
          <w:tcPr>
            <w:tcW w:w="0" w:type="auto"/>
            <w:vAlign w:val="center"/>
            <w:hideMark/>
          </w:tcPr>
          <w:p w14:paraId="4F575786"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Type</w:t>
            </w:r>
          </w:p>
        </w:tc>
        <w:tc>
          <w:tcPr>
            <w:tcW w:w="0" w:type="auto"/>
            <w:vAlign w:val="center"/>
            <w:hideMark/>
          </w:tcPr>
          <w:p w14:paraId="64C582D9"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Tumor Stage</w:t>
            </w:r>
          </w:p>
        </w:tc>
        <w:tc>
          <w:tcPr>
            <w:tcW w:w="0" w:type="auto"/>
            <w:vAlign w:val="center"/>
            <w:hideMark/>
          </w:tcPr>
          <w:p w14:paraId="0839B081"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Batch</w:t>
            </w:r>
          </w:p>
        </w:tc>
        <w:tc>
          <w:tcPr>
            <w:tcW w:w="0" w:type="auto"/>
            <w:vAlign w:val="center"/>
            <w:hideMark/>
          </w:tcPr>
          <w:p w14:paraId="2834E708"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Matched Normal</w:t>
            </w:r>
          </w:p>
        </w:tc>
      </w:tr>
      <w:tr w:rsidR="008A7229" w:rsidRPr="008A7229" w14:paraId="7C7D003D" w14:textId="77777777">
        <w:trPr>
          <w:tblCellSpacing w:w="15" w:type="dxa"/>
        </w:trPr>
        <w:tc>
          <w:tcPr>
            <w:tcW w:w="0" w:type="auto"/>
            <w:vAlign w:val="center"/>
            <w:hideMark/>
          </w:tcPr>
          <w:p w14:paraId="7D23377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P1_BCa</w:t>
            </w:r>
          </w:p>
        </w:tc>
        <w:tc>
          <w:tcPr>
            <w:tcW w:w="0" w:type="auto"/>
            <w:vAlign w:val="center"/>
            <w:hideMark/>
          </w:tcPr>
          <w:p w14:paraId="4B12AE7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GSM6919778</w:t>
            </w:r>
          </w:p>
        </w:tc>
        <w:tc>
          <w:tcPr>
            <w:tcW w:w="0" w:type="auto"/>
            <w:vAlign w:val="center"/>
            <w:hideMark/>
          </w:tcPr>
          <w:p w14:paraId="26BBB89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P1</w:t>
            </w:r>
          </w:p>
        </w:tc>
        <w:tc>
          <w:tcPr>
            <w:tcW w:w="0" w:type="auto"/>
            <w:vAlign w:val="center"/>
            <w:hideMark/>
          </w:tcPr>
          <w:p w14:paraId="0AA4420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5A85FEF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6192AC8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52F0D73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32CDC11E" w14:textId="77777777">
        <w:trPr>
          <w:tblCellSpacing w:w="15" w:type="dxa"/>
        </w:trPr>
        <w:tc>
          <w:tcPr>
            <w:tcW w:w="0" w:type="auto"/>
            <w:vAlign w:val="center"/>
            <w:hideMark/>
          </w:tcPr>
          <w:p w14:paraId="627F2B41"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P2_NAT</w:t>
            </w:r>
          </w:p>
        </w:tc>
        <w:tc>
          <w:tcPr>
            <w:tcW w:w="0" w:type="auto"/>
            <w:vAlign w:val="center"/>
            <w:hideMark/>
          </w:tcPr>
          <w:p w14:paraId="43AB49A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GSM6919779</w:t>
            </w:r>
          </w:p>
        </w:tc>
        <w:tc>
          <w:tcPr>
            <w:tcW w:w="0" w:type="auto"/>
            <w:vAlign w:val="center"/>
            <w:hideMark/>
          </w:tcPr>
          <w:p w14:paraId="1D34B0B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P2</w:t>
            </w:r>
          </w:p>
        </w:tc>
        <w:tc>
          <w:tcPr>
            <w:tcW w:w="0" w:type="auto"/>
            <w:vAlign w:val="center"/>
            <w:hideMark/>
          </w:tcPr>
          <w:p w14:paraId="096BD5F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Normal</w:t>
            </w:r>
          </w:p>
        </w:tc>
        <w:tc>
          <w:tcPr>
            <w:tcW w:w="0" w:type="auto"/>
            <w:vAlign w:val="center"/>
            <w:hideMark/>
          </w:tcPr>
          <w:p w14:paraId="08FC1FC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t>
            </w:r>
          </w:p>
        </w:tc>
        <w:tc>
          <w:tcPr>
            <w:tcW w:w="0" w:type="auto"/>
            <w:vAlign w:val="center"/>
            <w:hideMark/>
          </w:tcPr>
          <w:p w14:paraId="4B5BCDD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1BF5767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5677470E" w14:textId="77777777">
        <w:trPr>
          <w:tblCellSpacing w:w="15" w:type="dxa"/>
        </w:trPr>
        <w:tc>
          <w:tcPr>
            <w:tcW w:w="0" w:type="auto"/>
            <w:vAlign w:val="center"/>
            <w:hideMark/>
          </w:tcPr>
          <w:p w14:paraId="1A765D3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P2_BCa</w:t>
            </w:r>
          </w:p>
        </w:tc>
        <w:tc>
          <w:tcPr>
            <w:tcW w:w="0" w:type="auto"/>
            <w:vAlign w:val="center"/>
            <w:hideMark/>
          </w:tcPr>
          <w:p w14:paraId="49E3AF9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GSM6919780</w:t>
            </w:r>
          </w:p>
        </w:tc>
        <w:tc>
          <w:tcPr>
            <w:tcW w:w="0" w:type="auto"/>
            <w:vAlign w:val="center"/>
            <w:hideMark/>
          </w:tcPr>
          <w:p w14:paraId="3ED5450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P2</w:t>
            </w:r>
          </w:p>
        </w:tc>
        <w:tc>
          <w:tcPr>
            <w:tcW w:w="0" w:type="auto"/>
            <w:vAlign w:val="center"/>
            <w:hideMark/>
          </w:tcPr>
          <w:p w14:paraId="16C5BDF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3B165F5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64544A9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10BDA533"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7B922F4E" w14:textId="77777777">
        <w:trPr>
          <w:tblCellSpacing w:w="15" w:type="dxa"/>
        </w:trPr>
        <w:tc>
          <w:tcPr>
            <w:tcW w:w="0" w:type="auto"/>
            <w:vAlign w:val="center"/>
            <w:hideMark/>
          </w:tcPr>
          <w:p w14:paraId="38EDC06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P3_NAT</w:t>
            </w:r>
          </w:p>
        </w:tc>
        <w:tc>
          <w:tcPr>
            <w:tcW w:w="0" w:type="auto"/>
            <w:vAlign w:val="center"/>
            <w:hideMark/>
          </w:tcPr>
          <w:p w14:paraId="13FADA81"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GSM6919781</w:t>
            </w:r>
          </w:p>
        </w:tc>
        <w:tc>
          <w:tcPr>
            <w:tcW w:w="0" w:type="auto"/>
            <w:vAlign w:val="center"/>
            <w:hideMark/>
          </w:tcPr>
          <w:p w14:paraId="199D4B5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P3</w:t>
            </w:r>
          </w:p>
        </w:tc>
        <w:tc>
          <w:tcPr>
            <w:tcW w:w="0" w:type="auto"/>
            <w:vAlign w:val="center"/>
            <w:hideMark/>
          </w:tcPr>
          <w:p w14:paraId="42606FE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Normal</w:t>
            </w:r>
          </w:p>
        </w:tc>
        <w:tc>
          <w:tcPr>
            <w:tcW w:w="0" w:type="auto"/>
            <w:vAlign w:val="center"/>
            <w:hideMark/>
          </w:tcPr>
          <w:p w14:paraId="08B27B5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t>
            </w:r>
          </w:p>
        </w:tc>
        <w:tc>
          <w:tcPr>
            <w:tcW w:w="0" w:type="auto"/>
            <w:vAlign w:val="center"/>
            <w:hideMark/>
          </w:tcPr>
          <w:p w14:paraId="4233755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4B28E97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216C5832" w14:textId="77777777">
        <w:trPr>
          <w:tblCellSpacing w:w="15" w:type="dxa"/>
        </w:trPr>
        <w:tc>
          <w:tcPr>
            <w:tcW w:w="0" w:type="auto"/>
            <w:vAlign w:val="center"/>
            <w:hideMark/>
          </w:tcPr>
          <w:p w14:paraId="322DCDC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P3_BCa</w:t>
            </w:r>
          </w:p>
        </w:tc>
        <w:tc>
          <w:tcPr>
            <w:tcW w:w="0" w:type="auto"/>
            <w:vAlign w:val="center"/>
            <w:hideMark/>
          </w:tcPr>
          <w:p w14:paraId="223D251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GSM6919782</w:t>
            </w:r>
          </w:p>
        </w:tc>
        <w:tc>
          <w:tcPr>
            <w:tcW w:w="0" w:type="auto"/>
            <w:vAlign w:val="center"/>
            <w:hideMark/>
          </w:tcPr>
          <w:p w14:paraId="1EC4A14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P3</w:t>
            </w:r>
          </w:p>
        </w:tc>
        <w:tc>
          <w:tcPr>
            <w:tcW w:w="0" w:type="auto"/>
            <w:vAlign w:val="center"/>
            <w:hideMark/>
          </w:tcPr>
          <w:p w14:paraId="786AC91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33B0B9E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1DD921F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2DF815E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05621204" w14:textId="77777777">
        <w:trPr>
          <w:tblCellSpacing w:w="15" w:type="dxa"/>
        </w:trPr>
        <w:tc>
          <w:tcPr>
            <w:tcW w:w="0" w:type="auto"/>
            <w:vAlign w:val="center"/>
            <w:hideMark/>
          </w:tcPr>
          <w:p w14:paraId="5480288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P4_NAT</w:t>
            </w:r>
          </w:p>
        </w:tc>
        <w:tc>
          <w:tcPr>
            <w:tcW w:w="0" w:type="auto"/>
            <w:vAlign w:val="center"/>
            <w:hideMark/>
          </w:tcPr>
          <w:p w14:paraId="539F2C3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GSM6919783</w:t>
            </w:r>
          </w:p>
        </w:tc>
        <w:tc>
          <w:tcPr>
            <w:tcW w:w="0" w:type="auto"/>
            <w:vAlign w:val="center"/>
            <w:hideMark/>
          </w:tcPr>
          <w:p w14:paraId="1C6F1E48"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P4</w:t>
            </w:r>
          </w:p>
        </w:tc>
        <w:tc>
          <w:tcPr>
            <w:tcW w:w="0" w:type="auto"/>
            <w:vAlign w:val="center"/>
            <w:hideMark/>
          </w:tcPr>
          <w:p w14:paraId="6DE978C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Normal</w:t>
            </w:r>
          </w:p>
        </w:tc>
        <w:tc>
          <w:tcPr>
            <w:tcW w:w="0" w:type="auto"/>
            <w:vAlign w:val="center"/>
            <w:hideMark/>
          </w:tcPr>
          <w:p w14:paraId="30CAAB0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t>
            </w:r>
          </w:p>
        </w:tc>
        <w:tc>
          <w:tcPr>
            <w:tcW w:w="0" w:type="auto"/>
            <w:vAlign w:val="center"/>
            <w:hideMark/>
          </w:tcPr>
          <w:p w14:paraId="6A11063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2A2916F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3E183EF5" w14:textId="77777777">
        <w:trPr>
          <w:tblCellSpacing w:w="15" w:type="dxa"/>
        </w:trPr>
        <w:tc>
          <w:tcPr>
            <w:tcW w:w="0" w:type="auto"/>
            <w:vAlign w:val="center"/>
            <w:hideMark/>
          </w:tcPr>
          <w:p w14:paraId="1E59DD9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P4_BCa</w:t>
            </w:r>
          </w:p>
        </w:tc>
        <w:tc>
          <w:tcPr>
            <w:tcW w:w="0" w:type="auto"/>
            <w:vAlign w:val="center"/>
            <w:hideMark/>
          </w:tcPr>
          <w:p w14:paraId="78970E9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GSM6919784</w:t>
            </w:r>
          </w:p>
        </w:tc>
        <w:tc>
          <w:tcPr>
            <w:tcW w:w="0" w:type="auto"/>
            <w:vAlign w:val="center"/>
            <w:hideMark/>
          </w:tcPr>
          <w:p w14:paraId="5618D40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P4</w:t>
            </w:r>
          </w:p>
        </w:tc>
        <w:tc>
          <w:tcPr>
            <w:tcW w:w="0" w:type="auto"/>
            <w:vAlign w:val="center"/>
            <w:hideMark/>
          </w:tcPr>
          <w:p w14:paraId="118A404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7FD168D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1FAFFA0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3D17334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5B090032" w14:textId="77777777">
        <w:trPr>
          <w:tblCellSpacing w:w="15" w:type="dxa"/>
        </w:trPr>
        <w:tc>
          <w:tcPr>
            <w:tcW w:w="0" w:type="auto"/>
            <w:vAlign w:val="center"/>
            <w:hideMark/>
          </w:tcPr>
          <w:p w14:paraId="43340E0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P5_NAT</w:t>
            </w:r>
          </w:p>
        </w:tc>
        <w:tc>
          <w:tcPr>
            <w:tcW w:w="0" w:type="auto"/>
            <w:vAlign w:val="center"/>
            <w:hideMark/>
          </w:tcPr>
          <w:p w14:paraId="3F09FD6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GSM6919785</w:t>
            </w:r>
          </w:p>
        </w:tc>
        <w:tc>
          <w:tcPr>
            <w:tcW w:w="0" w:type="auto"/>
            <w:vAlign w:val="center"/>
            <w:hideMark/>
          </w:tcPr>
          <w:p w14:paraId="7D4B255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P5</w:t>
            </w:r>
          </w:p>
        </w:tc>
        <w:tc>
          <w:tcPr>
            <w:tcW w:w="0" w:type="auto"/>
            <w:vAlign w:val="center"/>
            <w:hideMark/>
          </w:tcPr>
          <w:p w14:paraId="46E575E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Normal</w:t>
            </w:r>
          </w:p>
        </w:tc>
        <w:tc>
          <w:tcPr>
            <w:tcW w:w="0" w:type="auto"/>
            <w:vAlign w:val="center"/>
            <w:hideMark/>
          </w:tcPr>
          <w:p w14:paraId="6BE8977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t>
            </w:r>
          </w:p>
        </w:tc>
        <w:tc>
          <w:tcPr>
            <w:tcW w:w="0" w:type="auto"/>
            <w:vAlign w:val="center"/>
            <w:hideMark/>
          </w:tcPr>
          <w:p w14:paraId="5508E403"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5120311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28D0A978" w14:textId="77777777">
        <w:trPr>
          <w:tblCellSpacing w:w="15" w:type="dxa"/>
        </w:trPr>
        <w:tc>
          <w:tcPr>
            <w:tcW w:w="0" w:type="auto"/>
            <w:vAlign w:val="center"/>
            <w:hideMark/>
          </w:tcPr>
          <w:p w14:paraId="03597621"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P5_BCa</w:t>
            </w:r>
          </w:p>
        </w:tc>
        <w:tc>
          <w:tcPr>
            <w:tcW w:w="0" w:type="auto"/>
            <w:vAlign w:val="center"/>
            <w:hideMark/>
          </w:tcPr>
          <w:p w14:paraId="1A157C0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GSM6919786</w:t>
            </w:r>
          </w:p>
        </w:tc>
        <w:tc>
          <w:tcPr>
            <w:tcW w:w="0" w:type="auto"/>
            <w:vAlign w:val="center"/>
            <w:hideMark/>
          </w:tcPr>
          <w:p w14:paraId="4544AAB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P5</w:t>
            </w:r>
          </w:p>
        </w:tc>
        <w:tc>
          <w:tcPr>
            <w:tcW w:w="0" w:type="auto"/>
            <w:vAlign w:val="center"/>
            <w:hideMark/>
          </w:tcPr>
          <w:p w14:paraId="7655AD21"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4FDFC0D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55F63A6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1</w:t>
            </w:r>
          </w:p>
        </w:tc>
        <w:tc>
          <w:tcPr>
            <w:tcW w:w="0" w:type="auto"/>
            <w:vAlign w:val="center"/>
            <w:hideMark/>
          </w:tcPr>
          <w:p w14:paraId="622B0E4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1009C7A9" w14:textId="77777777">
        <w:trPr>
          <w:tblCellSpacing w:w="15" w:type="dxa"/>
        </w:trPr>
        <w:tc>
          <w:tcPr>
            <w:tcW w:w="0" w:type="auto"/>
            <w:vAlign w:val="center"/>
            <w:hideMark/>
          </w:tcPr>
          <w:p w14:paraId="68021FF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P6_BCa</w:t>
            </w:r>
          </w:p>
        </w:tc>
        <w:tc>
          <w:tcPr>
            <w:tcW w:w="0" w:type="auto"/>
            <w:vAlign w:val="center"/>
            <w:hideMark/>
          </w:tcPr>
          <w:p w14:paraId="3491D3A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GSM7898117</w:t>
            </w:r>
          </w:p>
        </w:tc>
        <w:tc>
          <w:tcPr>
            <w:tcW w:w="0" w:type="auto"/>
            <w:vAlign w:val="center"/>
            <w:hideMark/>
          </w:tcPr>
          <w:p w14:paraId="59715D9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P6</w:t>
            </w:r>
          </w:p>
        </w:tc>
        <w:tc>
          <w:tcPr>
            <w:tcW w:w="0" w:type="auto"/>
            <w:vAlign w:val="center"/>
            <w:hideMark/>
          </w:tcPr>
          <w:p w14:paraId="6D21803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393FB31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5BC54FC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2</w:t>
            </w:r>
          </w:p>
        </w:tc>
        <w:tc>
          <w:tcPr>
            <w:tcW w:w="0" w:type="auto"/>
            <w:vAlign w:val="center"/>
            <w:hideMark/>
          </w:tcPr>
          <w:p w14:paraId="3B92F69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453E3515" w14:textId="77777777">
        <w:trPr>
          <w:tblCellSpacing w:w="15" w:type="dxa"/>
        </w:trPr>
        <w:tc>
          <w:tcPr>
            <w:tcW w:w="0" w:type="auto"/>
            <w:vAlign w:val="center"/>
            <w:hideMark/>
          </w:tcPr>
          <w:p w14:paraId="623D4D9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P7_BCa</w:t>
            </w:r>
          </w:p>
        </w:tc>
        <w:tc>
          <w:tcPr>
            <w:tcW w:w="0" w:type="auto"/>
            <w:vAlign w:val="center"/>
            <w:hideMark/>
          </w:tcPr>
          <w:p w14:paraId="64D6D10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GSM7898118</w:t>
            </w:r>
          </w:p>
        </w:tc>
        <w:tc>
          <w:tcPr>
            <w:tcW w:w="0" w:type="auto"/>
            <w:vAlign w:val="center"/>
            <w:hideMark/>
          </w:tcPr>
          <w:p w14:paraId="201EE433"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P7</w:t>
            </w:r>
          </w:p>
        </w:tc>
        <w:tc>
          <w:tcPr>
            <w:tcW w:w="0" w:type="auto"/>
            <w:vAlign w:val="center"/>
            <w:hideMark/>
          </w:tcPr>
          <w:p w14:paraId="5C25316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19E4EAB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7E0D9EC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2</w:t>
            </w:r>
          </w:p>
        </w:tc>
        <w:tc>
          <w:tcPr>
            <w:tcW w:w="0" w:type="auto"/>
            <w:vAlign w:val="center"/>
            <w:hideMark/>
          </w:tcPr>
          <w:p w14:paraId="6B916E3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3AF2B07B" w14:textId="77777777">
        <w:trPr>
          <w:tblCellSpacing w:w="15" w:type="dxa"/>
        </w:trPr>
        <w:tc>
          <w:tcPr>
            <w:tcW w:w="0" w:type="auto"/>
            <w:vAlign w:val="center"/>
            <w:hideMark/>
          </w:tcPr>
          <w:p w14:paraId="7E873F4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P8_BCa</w:t>
            </w:r>
          </w:p>
        </w:tc>
        <w:tc>
          <w:tcPr>
            <w:tcW w:w="0" w:type="auto"/>
            <w:vAlign w:val="center"/>
            <w:hideMark/>
          </w:tcPr>
          <w:p w14:paraId="25930F5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GSM7898119</w:t>
            </w:r>
          </w:p>
        </w:tc>
        <w:tc>
          <w:tcPr>
            <w:tcW w:w="0" w:type="auto"/>
            <w:vAlign w:val="center"/>
            <w:hideMark/>
          </w:tcPr>
          <w:p w14:paraId="15C024D8"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P8</w:t>
            </w:r>
          </w:p>
        </w:tc>
        <w:tc>
          <w:tcPr>
            <w:tcW w:w="0" w:type="auto"/>
            <w:vAlign w:val="center"/>
            <w:hideMark/>
          </w:tcPr>
          <w:p w14:paraId="07523AB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78A2C2C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1716959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2</w:t>
            </w:r>
          </w:p>
        </w:tc>
        <w:tc>
          <w:tcPr>
            <w:tcW w:w="0" w:type="auto"/>
            <w:vAlign w:val="center"/>
            <w:hideMark/>
          </w:tcPr>
          <w:p w14:paraId="5875D17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r w:rsidR="008A7229" w:rsidRPr="008A7229" w14:paraId="5E9A87EF" w14:textId="77777777">
        <w:trPr>
          <w:tblCellSpacing w:w="15" w:type="dxa"/>
        </w:trPr>
        <w:tc>
          <w:tcPr>
            <w:tcW w:w="0" w:type="auto"/>
            <w:vAlign w:val="center"/>
            <w:hideMark/>
          </w:tcPr>
          <w:p w14:paraId="0B69332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P9_BCa</w:t>
            </w:r>
          </w:p>
        </w:tc>
        <w:tc>
          <w:tcPr>
            <w:tcW w:w="0" w:type="auto"/>
            <w:vAlign w:val="center"/>
            <w:hideMark/>
          </w:tcPr>
          <w:p w14:paraId="5DDB47A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GSM7898120</w:t>
            </w:r>
          </w:p>
        </w:tc>
        <w:tc>
          <w:tcPr>
            <w:tcW w:w="0" w:type="auto"/>
            <w:vAlign w:val="center"/>
            <w:hideMark/>
          </w:tcPr>
          <w:p w14:paraId="405913F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P9</w:t>
            </w:r>
          </w:p>
        </w:tc>
        <w:tc>
          <w:tcPr>
            <w:tcW w:w="0" w:type="auto"/>
            <w:vAlign w:val="center"/>
            <w:hideMark/>
          </w:tcPr>
          <w:p w14:paraId="345F779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w:t>
            </w:r>
          </w:p>
        </w:tc>
        <w:tc>
          <w:tcPr>
            <w:tcW w:w="0" w:type="auto"/>
            <w:vAlign w:val="center"/>
            <w:hideMark/>
          </w:tcPr>
          <w:p w14:paraId="4D7CCB8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T1N0M0 or T1N1M0</w:t>
            </w:r>
          </w:p>
        </w:tc>
        <w:tc>
          <w:tcPr>
            <w:tcW w:w="0" w:type="auto"/>
            <w:vAlign w:val="center"/>
            <w:hideMark/>
          </w:tcPr>
          <w:p w14:paraId="4798DFC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2</w:t>
            </w:r>
          </w:p>
        </w:tc>
        <w:tc>
          <w:tcPr>
            <w:tcW w:w="0" w:type="auto"/>
            <w:vAlign w:val="center"/>
            <w:hideMark/>
          </w:tcPr>
          <w:p w14:paraId="4ECE6236"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Segoe UI Symbol" w:eastAsia="Times New Roman" w:hAnsi="Segoe UI Symbol" w:cs="Segoe UI Symbol"/>
                <w:kern w:val="0"/>
                <w14:ligatures w14:val="none"/>
              </w:rPr>
              <w:t>✗</w:t>
            </w:r>
          </w:p>
        </w:tc>
      </w:tr>
    </w:tbl>
    <w:p w14:paraId="695DBF40" w14:textId="77777777" w:rsidR="008A7229" w:rsidRPr="008A7229" w:rsidRDefault="00881394" w:rsidP="008A7229">
      <w:pPr>
        <w:spacing w:after="0" w:line="240" w:lineRule="auto"/>
        <w:rPr>
          <w:rFonts w:ascii="Times New Roman" w:eastAsia="Times New Roman" w:hAnsi="Times New Roman" w:cs="Times New Roman"/>
          <w:kern w:val="0"/>
          <w14:ligatures w14:val="none"/>
        </w:rPr>
      </w:pPr>
      <w:r w:rsidRPr="00881394">
        <w:rPr>
          <w:rFonts w:ascii="Times New Roman" w:eastAsia="Times New Roman" w:hAnsi="Times New Roman" w:cs="Times New Roman"/>
          <w:noProof/>
          <w:kern w:val="0"/>
        </w:rPr>
        <w:pict w14:anchorId="2F083F70">
          <v:rect id="_x0000_i1031" alt="" style="width:468pt;height:.05pt;mso-width-percent:0;mso-height-percent:0;mso-width-percent:0;mso-height-percent:0" o:hralign="center" o:hrstd="t" o:hr="t" fillcolor="#a0a0a0" stroked="f"/>
        </w:pict>
      </w:r>
    </w:p>
    <w:p w14:paraId="4C7EFBE0" w14:textId="77777777" w:rsidR="008A7229" w:rsidRPr="008A7229" w:rsidRDefault="008A7229" w:rsidP="008A72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229">
        <w:rPr>
          <w:rFonts w:ascii="Times New Roman" w:eastAsia="Times New Roman" w:hAnsi="Times New Roman" w:cs="Times New Roman"/>
          <w:b/>
          <w:bCs/>
          <w:kern w:val="0"/>
          <w:sz w:val="36"/>
          <w:szCs w:val="36"/>
          <w14:ligatures w14:val="none"/>
        </w:rPr>
        <w:t>Table 3 — Key technical facts and their analytical consequences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7634"/>
      </w:tblGrid>
      <w:tr w:rsidR="008A7229" w:rsidRPr="008A7229" w14:paraId="2498B3B8" w14:textId="77777777">
        <w:trPr>
          <w:tblHeader/>
          <w:tblCellSpacing w:w="15" w:type="dxa"/>
        </w:trPr>
        <w:tc>
          <w:tcPr>
            <w:tcW w:w="0" w:type="auto"/>
            <w:vAlign w:val="center"/>
            <w:hideMark/>
          </w:tcPr>
          <w:p w14:paraId="3E91A35B"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lastRenderedPageBreak/>
              <w:t>Technical fact</w:t>
            </w:r>
          </w:p>
        </w:tc>
        <w:tc>
          <w:tcPr>
            <w:tcW w:w="0" w:type="auto"/>
            <w:vAlign w:val="center"/>
            <w:hideMark/>
          </w:tcPr>
          <w:p w14:paraId="7434B1DF"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What it means for your analysis</w:t>
            </w:r>
          </w:p>
        </w:tc>
      </w:tr>
      <w:tr w:rsidR="008A7229" w:rsidRPr="008A7229" w14:paraId="6ECC6A66" w14:textId="77777777">
        <w:trPr>
          <w:tblCellSpacing w:w="15" w:type="dxa"/>
        </w:trPr>
        <w:tc>
          <w:tcPr>
            <w:tcW w:w="0" w:type="auto"/>
            <w:vAlign w:val="center"/>
            <w:hideMark/>
          </w:tcPr>
          <w:p w14:paraId="11336F7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3' end sequencing</w:t>
            </w:r>
          </w:p>
        </w:tc>
        <w:tc>
          <w:tcPr>
            <w:tcW w:w="0" w:type="auto"/>
            <w:vAlign w:val="center"/>
            <w:hideMark/>
          </w:tcPr>
          <w:p w14:paraId="7D48D97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Only 3' end of each transcript captured — good for gene counting, not isoform analysis</w:t>
            </w:r>
          </w:p>
        </w:tc>
      </w:tr>
      <w:tr w:rsidR="008A7229" w:rsidRPr="008A7229" w14:paraId="3ACF3905" w14:textId="77777777">
        <w:trPr>
          <w:tblCellSpacing w:w="15" w:type="dxa"/>
        </w:trPr>
        <w:tc>
          <w:tcPr>
            <w:tcW w:w="0" w:type="auto"/>
            <w:vAlign w:val="center"/>
            <w:hideMark/>
          </w:tcPr>
          <w:p w14:paraId="331AAABD"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Cell Ranger v3.1.0</w:t>
            </w:r>
          </w:p>
        </w:tc>
        <w:tc>
          <w:tcPr>
            <w:tcW w:w="0" w:type="auto"/>
            <w:vAlign w:val="center"/>
            <w:hideMark/>
          </w:tcPr>
          <w:p w14:paraId="2114ECD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Older version — counts are reliable but UMI filtering may differ from newer versions</w:t>
            </w:r>
          </w:p>
        </w:tc>
      </w:tr>
      <w:tr w:rsidR="008A7229" w:rsidRPr="008A7229" w14:paraId="0C8E0315" w14:textId="77777777">
        <w:trPr>
          <w:tblCellSpacing w:w="15" w:type="dxa"/>
        </w:trPr>
        <w:tc>
          <w:tcPr>
            <w:tcW w:w="0" w:type="auto"/>
            <w:vAlign w:val="center"/>
            <w:hideMark/>
          </w:tcPr>
          <w:p w14:paraId="3ACB35C8"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Ensembl release 96</w:t>
            </w:r>
          </w:p>
        </w:tc>
        <w:tc>
          <w:tcPr>
            <w:tcW w:w="0" w:type="auto"/>
            <w:vAlign w:val="center"/>
            <w:hideMark/>
          </w:tcPr>
          <w:p w14:paraId="20DAFFA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Gene IDs are from 2019 annotation — a few newer gene symbols may differ</w:t>
            </w:r>
          </w:p>
        </w:tc>
      </w:tr>
      <w:tr w:rsidR="008A7229" w:rsidRPr="008A7229" w14:paraId="52E86199" w14:textId="77777777">
        <w:trPr>
          <w:tblCellSpacing w:w="15" w:type="dxa"/>
        </w:trPr>
        <w:tc>
          <w:tcPr>
            <w:tcW w:w="0" w:type="auto"/>
            <w:vAlign w:val="center"/>
            <w:hideMark/>
          </w:tcPr>
          <w:p w14:paraId="3F19019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40 SRA runs for 13 samples</w:t>
            </w:r>
          </w:p>
        </w:tc>
        <w:tc>
          <w:tcPr>
            <w:tcW w:w="0" w:type="auto"/>
            <w:vAlign w:val="center"/>
            <w:hideMark/>
          </w:tcPr>
          <w:p w14:paraId="3D5DCF5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Each sample was sequenced across multiple flow cell lanes — Cell Ranger merged them before counting. You have the merged counts already, not raw lanes</w:t>
            </w:r>
          </w:p>
        </w:tc>
      </w:tr>
      <w:tr w:rsidR="008A7229" w:rsidRPr="008A7229" w14:paraId="0A32F734" w14:textId="77777777">
        <w:trPr>
          <w:tblCellSpacing w:w="15" w:type="dxa"/>
        </w:trPr>
        <w:tc>
          <w:tcPr>
            <w:tcW w:w="0" w:type="auto"/>
            <w:vAlign w:val="center"/>
            <w:hideMark/>
          </w:tcPr>
          <w:p w14:paraId="37F5035F"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P6-P9 created later</w:t>
            </w:r>
          </w:p>
        </w:tc>
        <w:tc>
          <w:tcPr>
            <w:tcW w:w="0" w:type="auto"/>
            <w:vAlign w:val="center"/>
            <w:hideMark/>
          </w:tcPr>
          <w:p w14:paraId="4D8F36B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Different processing date = potential batch effect. Must be corrected before integrating with P1-P5</w:t>
            </w:r>
          </w:p>
        </w:tc>
      </w:tr>
      <w:tr w:rsidR="008A7229" w:rsidRPr="008A7229" w14:paraId="1240B44D" w14:textId="77777777">
        <w:trPr>
          <w:tblCellSpacing w:w="15" w:type="dxa"/>
        </w:trPr>
        <w:tc>
          <w:tcPr>
            <w:tcW w:w="0" w:type="auto"/>
            <w:vAlign w:val="center"/>
            <w:hideMark/>
          </w:tcPr>
          <w:p w14:paraId="60424ED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 stage only</w:t>
            </w:r>
          </w:p>
        </w:tc>
        <w:tc>
          <w:tcPr>
            <w:tcW w:w="0" w:type="auto"/>
            <w:vAlign w:val="center"/>
            <w:hideMark/>
          </w:tcPr>
          <w:p w14:paraId="6AD897B4"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All patients are stage T1 — tumor invades lamina propria but not muscle. This is early-stage bladder cancer, not muscle-invasive. Homogeneous staging is good — reduces clinical confounding</w:t>
            </w:r>
          </w:p>
        </w:tc>
      </w:tr>
      <w:tr w:rsidR="008A7229" w:rsidRPr="008A7229" w14:paraId="23551B2E" w14:textId="77777777">
        <w:trPr>
          <w:tblCellSpacing w:w="15" w:type="dxa"/>
        </w:trPr>
        <w:tc>
          <w:tcPr>
            <w:tcW w:w="0" w:type="auto"/>
            <w:vAlign w:val="center"/>
            <w:hideMark/>
          </w:tcPr>
          <w:p w14:paraId="5751B4A1"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 treatment</w:t>
            </w:r>
          </w:p>
        </w:tc>
        <w:tc>
          <w:tcPr>
            <w:tcW w:w="0" w:type="auto"/>
            <w:vAlign w:val="center"/>
            <w:hideMark/>
          </w:tcPr>
          <w:p w14:paraId="748B6957"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Naive tumors — immune cells reflect natural tumor microenvironment, not treatment effects. Clean for studying the NGF-ILC2 axis</w:t>
            </w:r>
          </w:p>
        </w:tc>
      </w:tr>
      <w:tr w:rsidR="008A7229" w:rsidRPr="008A7229" w14:paraId="6A323268" w14:textId="77777777">
        <w:trPr>
          <w:tblCellSpacing w:w="15" w:type="dxa"/>
        </w:trPr>
        <w:tc>
          <w:tcPr>
            <w:tcW w:w="0" w:type="auto"/>
            <w:vAlign w:val="center"/>
            <w:hideMark/>
          </w:tcPr>
          <w:p w14:paraId="13006ED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 muscle-invasive samples</w:t>
            </w:r>
          </w:p>
        </w:tc>
        <w:tc>
          <w:tcPr>
            <w:tcW w:w="0" w:type="auto"/>
            <w:vAlign w:val="center"/>
            <w:hideMark/>
          </w:tcPr>
          <w:p w14:paraId="12A8A0EC"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Limits generalizability — your findings apply to T1 NMIBC specifically</w:t>
            </w:r>
          </w:p>
        </w:tc>
      </w:tr>
    </w:tbl>
    <w:p w14:paraId="22C4B439"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pict w14:anchorId="3188A186">
          <v:rect id="_x0000_i1028" style="width:0;height:1.5pt" o:hralign="center" o:hrstd="t" o:hr="t" fillcolor="#a0a0a0" stroked="f"/>
        </w:pict>
      </w:r>
    </w:p>
    <w:p w14:paraId="6F42AC85" w14:textId="77777777" w:rsidR="008A7229" w:rsidRPr="008A7229" w:rsidRDefault="008A7229" w:rsidP="008A72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229">
        <w:rPr>
          <w:rFonts w:ascii="Times New Roman" w:eastAsia="Times New Roman" w:hAnsi="Times New Roman" w:cs="Times New Roman"/>
          <w:b/>
          <w:bCs/>
          <w:kern w:val="0"/>
          <w:sz w:val="36"/>
          <w:szCs w:val="36"/>
          <w14:ligatures w14:val="none"/>
        </w:rPr>
        <w:t>Table 4 — TNM staging explained (for your project narrative)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499"/>
        <w:gridCol w:w="1429"/>
      </w:tblGrid>
      <w:tr w:rsidR="008A7229" w:rsidRPr="008A7229" w14:paraId="1D1298DD" w14:textId="77777777">
        <w:trPr>
          <w:tblHeader/>
          <w:tblCellSpacing w:w="15" w:type="dxa"/>
        </w:trPr>
        <w:tc>
          <w:tcPr>
            <w:tcW w:w="0" w:type="auto"/>
            <w:vAlign w:val="center"/>
            <w:hideMark/>
          </w:tcPr>
          <w:p w14:paraId="6BE164E6"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Stage component</w:t>
            </w:r>
          </w:p>
        </w:tc>
        <w:tc>
          <w:tcPr>
            <w:tcW w:w="0" w:type="auto"/>
            <w:vAlign w:val="center"/>
            <w:hideMark/>
          </w:tcPr>
          <w:p w14:paraId="40E8ABB0"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Meaning</w:t>
            </w:r>
          </w:p>
        </w:tc>
        <w:tc>
          <w:tcPr>
            <w:tcW w:w="0" w:type="auto"/>
            <w:vAlign w:val="center"/>
            <w:hideMark/>
          </w:tcPr>
          <w:p w14:paraId="390F5A93" w14:textId="77777777" w:rsidR="008A7229" w:rsidRPr="008A7229" w:rsidRDefault="008A7229" w:rsidP="008A7229">
            <w:pPr>
              <w:spacing w:after="0" w:line="240" w:lineRule="auto"/>
              <w:jc w:val="center"/>
              <w:rPr>
                <w:rFonts w:ascii="Times New Roman" w:eastAsia="Times New Roman" w:hAnsi="Times New Roman" w:cs="Times New Roman"/>
                <w:b/>
                <w:bCs/>
                <w:kern w:val="0"/>
                <w14:ligatures w14:val="none"/>
              </w:rPr>
            </w:pPr>
            <w:r w:rsidRPr="008A7229">
              <w:rPr>
                <w:rFonts w:ascii="Times New Roman" w:eastAsia="Times New Roman" w:hAnsi="Times New Roman" w:cs="Times New Roman"/>
                <w:b/>
                <w:bCs/>
                <w:kern w:val="0"/>
                <w14:ligatures w14:val="none"/>
              </w:rPr>
              <w:t>In your data</w:t>
            </w:r>
          </w:p>
        </w:tc>
      </w:tr>
      <w:tr w:rsidR="008A7229" w:rsidRPr="008A7229" w14:paraId="1D9B8EFE" w14:textId="77777777">
        <w:trPr>
          <w:tblCellSpacing w:w="15" w:type="dxa"/>
        </w:trPr>
        <w:tc>
          <w:tcPr>
            <w:tcW w:w="0" w:type="auto"/>
            <w:vAlign w:val="center"/>
            <w:hideMark/>
          </w:tcPr>
          <w:p w14:paraId="6D7F197E"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w:t>
            </w:r>
          </w:p>
        </w:tc>
        <w:tc>
          <w:tcPr>
            <w:tcW w:w="0" w:type="auto"/>
            <w:vAlign w:val="center"/>
            <w:hideMark/>
          </w:tcPr>
          <w:p w14:paraId="4001F45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Tumor invades subepithelial connective tissue</w:t>
            </w:r>
          </w:p>
        </w:tc>
        <w:tc>
          <w:tcPr>
            <w:tcW w:w="0" w:type="auto"/>
            <w:vAlign w:val="center"/>
            <w:hideMark/>
          </w:tcPr>
          <w:p w14:paraId="26080B0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All patients</w:t>
            </w:r>
          </w:p>
        </w:tc>
      </w:tr>
      <w:tr w:rsidR="008A7229" w:rsidRPr="008A7229" w14:paraId="38BB0141" w14:textId="77777777">
        <w:trPr>
          <w:tblCellSpacing w:w="15" w:type="dxa"/>
        </w:trPr>
        <w:tc>
          <w:tcPr>
            <w:tcW w:w="0" w:type="auto"/>
            <w:vAlign w:val="center"/>
            <w:hideMark/>
          </w:tcPr>
          <w:p w14:paraId="73C96762"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N0</w:t>
            </w:r>
          </w:p>
        </w:tc>
        <w:tc>
          <w:tcPr>
            <w:tcW w:w="0" w:type="auto"/>
            <w:vAlign w:val="center"/>
            <w:hideMark/>
          </w:tcPr>
          <w:p w14:paraId="109014E3"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 regional lymph node metastasis</w:t>
            </w:r>
          </w:p>
        </w:tc>
        <w:tc>
          <w:tcPr>
            <w:tcW w:w="0" w:type="auto"/>
            <w:vAlign w:val="center"/>
            <w:hideMark/>
          </w:tcPr>
          <w:p w14:paraId="027E0CB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Most patients</w:t>
            </w:r>
          </w:p>
        </w:tc>
      </w:tr>
      <w:tr w:rsidR="008A7229" w:rsidRPr="008A7229" w14:paraId="37BF9677" w14:textId="77777777">
        <w:trPr>
          <w:tblCellSpacing w:w="15" w:type="dxa"/>
        </w:trPr>
        <w:tc>
          <w:tcPr>
            <w:tcW w:w="0" w:type="auto"/>
            <w:vAlign w:val="center"/>
            <w:hideMark/>
          </w:tcPr>
          <w:p w14:paraId="792BF19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N1</w:t>
            </w:r>
          </w:p>
        </w:tc>
        <w:tc>
          <w:tcPr>
            <w:tcW w:w="0" w:type="auto"/>
            <w:vAlign w:val="center"/>
            <w:hideMark/>
          </w:tcPr>
          <w:p w14:paraId="25E0B3B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Single regional lymph node metastasis</w:t>
            </w:r>
          </w:p>
        </w:tc>
        <w:tc>
          <w:tcPr>
            <w:tcW w:w="0" w:type="auto"/>
            <w:vAlign w:val="center"/>
            <w:hideMark/>
          </w:tcPr>
          <w:p w14:paraId="385BE07B"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Some patients</w:t>
            </w:r>
          </w:p>
        </w:tc>
      </w:tr>
      <w:tr w:rsidR="008A7229" w:rsidRPr="008A7229" w14:paraId="66F00E2B" w14:textId="77777777">
        <w:trPr>
          <w:tblCellSpacing w:w="15" w:type="dxa"/>
        </w:trPr>
        <w:tc>
          <w:tcPr>
            <w:tcW w:w="0" w:type="auto"/>
            <w:vAlign w:val="center"/>
            <w:hideMark/>
          </w:tcPr>
          <w:p w14:paraId="4BFC2D85"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M0</w:t>
            </w:r>
          </w:p>
        </w:tc>
        <w:tc>
          <w:tcPr>
            <w:tcW w:w="0" w:type="auto"/>
            <w:vAlign w:val="center"/>
            <w:hideMark/>
          </w:tcPr>
          <w:p w14:paraId="246B1C70"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No distant metastasis</w:t>
            </w:r>
          </w:p>
        </w:tc>
        <w:tc>
          <w:tcPr>
            <w:tcW w:w="0" w:type="auto"/>
            <w:vAlign w:val="center"/>
            <w:hideMark/>
          </w:tcPr>
          <w:p w14:paraId="3C2EB55A" w14:textId="77777777" w:rsidR="008A7229" w:rsidRPr="008A7229" w:rsidRDefault="008A7229" w:rsidP="008A7229">
            <w:pPr>
              <w:spacing w:after="0"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All patients</w:t>
            </w:r>
          </w:p>
        </w:tc>
      </w:tr>
    </w:tbl>
    <w:p w14:paraId="225C649C"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T1N1M0 vs T1N0M0 is an important distinction — N1 means lymph node involvement. If you can find which patients are N0 vs N1, that becomes a biological variable worth testing: does the NGF-ILC2 axis differ between N0 and N1?</w:t>
      </w:r>
    </w:p>
    <w:p w14:paraId="4D8C781B" w14:textId="77777777" w:rsidR="008A7229" w:rsidRPr="008A7229" w:rsidRDefault="00881394" w:rsidP="008A7229">
      <w:pPr>
        <w:spacing w:after="0" w:line="240" w:lineRule="auto"/>
        <w:rPr>
          <w:rFonts w:ascii="Times New Roman" w:eastAsia="Times New Roman" w:hAnsi="Times New Roman" w:cs="Times New Roman"/>
          <w:kern w:val="0"/>
          <w14:ligatures w14:val="none"/>
        </w:rPr>
      </w:pPr>
      <w:r w:rsidRPr="00881394">
        <w:rPr>
          <w:rFonts w:ascii="Times New Roman" w:eastAsia="Times New Roman" w:hAnsi="Times New Roman" w:cs="Times New Roman"/>
          <w:noProof/>
          <w:kern w:val="0"/>
        </w:rPr>
        <w:pict w14:anchorId="3C834DE3">
          <v:rect id="_x0000_i1030" alt="" style="width:468pt;height:.05pt;mso-width-percent:0;mso-height-percent:0;mso-width-percent:0;mso-height-percent:0" o:hralign="center" o:hrstd="t" o:hr="t" fillcolor="#a0a0a0" stroked="f"/>
        </w:pict>
      </w:r>
    </w:p>
    <w:p w14:paraId="20E88FEF" w14:textId="77777777" w:rsidR="008A7229" w:rsidRPr="008A7229" w:rsidRDefault="008A7229" w:rsidP="008A72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229">
        <w:rPr>
          <w:rFonts w:ascii="Times New Roman" w:eastAsia="Times New Roman" w:hAnsi="Times New Roman" w:cs="Times New Roman"/>
          <w:b/>
          <w:bCs/>
          <w:kern w:val="0"/>
          <w:sz w:val="36"/>
          <w:szCs w:val="36"/>
          <w14:ligatures w14:val="none"/>
        </w:rPr>
        <w:t>Part 2 — Universal guidelines for reading any dataset in future projects</w:t>
      </w:r>
    </w:p>
    <w:p w14:paraId="14E67B6D"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These apply to GEO, ArrayExpress, TCGA, ENCODE, or any public repository.</w:t>
      </w:r>
    </w:p>
    <w:p w14:paraId="6919AF88"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lastRenderedPageBreak/>
        <w:t>Guideline 1 — Read the original paper first, not the GEO page</w:t>
      </w:r>
    </w:p>
    <w:p w14:paraId="196FD152"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The GEO page is a metadata summary. The paper contains the biological reasoning, the exact patient selection criteria, the exclusion criteria, and the figures that tell you what the authors found. Always find the paper linked on the GEO page (look for the citation field) and read the methods section before touching the data.</w:t>
      </w:r>
    </w:p>
    <w:p w14:paraId="71BDF341"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2 — Ask five questions about every dataset</w:t>
      </w:r>
    </w:p>
    <w:p w14:paraId="1F29F4DC"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Write these down for every project:</w:t>
      </w:r>
    </w:p>
    <w:p w14:paraId="27A35325" w14:textId="77777777" w:rsidR="008A7229" w:rsidRPr="008A7229" w:rsidRDefault="008A7229" w:rsidP="008A72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What is the biological question the data was designed to answer?</w:t>
      </w:r>
    </w:p>
    <w:p w14:paraId="3FB98743" w14:textId="77777777" w:rsidR="008A7229" w:rsidRPr="008A7229" w:rsidRDefault="008A7229" w:rsidP="008A72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What is the unit of observation — cell, sample, patient, tissue?</w:t>
      </w:r>
    </w:p>
    <w:p w14:paraId="4B86E07E" w14:textId="77777777" w:rsidR="008A7229" w:rsidRPr="008A7229" w:rsidRDefault="008A7229" w:rsidP="008A72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What technology generated the data and what are its known limitations?</w:t>
      </w:r>
    </w:p>
    <w:p w14:paraId="105F22BC" w14:textId="77777777" w:rsidR="008A7229" w:rsidRPr="008A7229" w:rsidRDefault="008A7229" w:rsidP="008A72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What covariates are available — age, sex, stage, treatment, batch?</w:t>
      </w:r>
    </w:p>
    <w:p w14:paraId="2CC43B6C" w14:textId="77777777" w:rsidR="008A7229" w:rsidRPr="008A7229" w:rsidRDefault="008A7229" w:rsidP="008A72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What is missing — what clinical information was not collected?</w:t>
      </w:r>
    </w:p>
    <w:p w14:paraId="7F286FC1"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3 — Understand the SRA structure before downloading</w:t>
      </w:r>
    </w:p>
    <w:p w14:paraId="4D5430EE"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SRA runs (SRR...) are the raw sequencing files — one per flow cell lane. GSM IDs are biological samples — one per tissue biopsy. GSE IDs are datasets — one per publication. The relationship is GSE → multiple GSMs → multiple SRRs. Always work at the GSM level for biological questions. SRR level is only needed if you are reprocessing raw reads yourself.</w:t>
      </w:r>
    </w:p>
    <w:p w14:paraId="31E5F101"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4 — Identify batches before analysis</w:t>
      </w:r>
    </w:p>
    <w:p w14:paraId="5D5B8555"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Batch = any group of samples processed separately at different times or by different people. Batches introduce systematic technical variation that mimics biological signal. In your data P1-P5 and P6-P9 are two batches. Always note batch before QC and correct for it before integration. Tools: Harmony (which we will use), ComBat-seq, scVI.</w:t>
      </w:r>
    </w:p>
    <w:p w14:paraId="1B170325"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5 — Distinguish biological variables from technical variables</w:t>
      </w:r>
    </w:p>
    <w:p w14:paraId="5CE0602E"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Biological variables are what you want to study — tumor vs normal, N0 vs N1, mast cell vs ILC2. Technical variables are sources of noise — batch, sequencing depth, library preparation date. Your entire analysis is an attempt to amplify biological signal while removing technical noise. Write down both lists before starting.</w:t>
      </w:r>
    </w:p>
    <w:p w14:paraId="26D6B854"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6 — Check data processing history</w:t>
      </w:r>
    </w:p>
    <w:p w14:paraId="166A2C69"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Always note what software and genome version were used. In your case Cell Ranger 3.1.0 with Ensembl 96. This matters because if you later integrate with another dataset processed with Cell Ranger 7 and Ensembl 109, gene IDs may not match perfectly. Ensembl IDs are stable but gene symbols change between releases.</w:t>
      </w:r>
    </w:p>
    <w:p w14:paraId="02366CF9"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7 — Note what is missing and why</w:t>
      </w:r>
    </w:p>
    <w:p w14:paraId="7CFF421A"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lastRenderedPageBreak/>
        <w:t>Missing data is never random. No treatment data here probably means these were treatment-naive patients at the time of resection — clinically important. If age is missing for some patients, ask whether missingness correlates with outcome. Missing data patterns tell you something about the study design and its limitations.</w:t>
      </w:r>
    </w:p>
    <w:p w14:paraId="6797E1BF"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b/>
          <w:bCs/>
          <w:kern w:val="0"/>
          <w14:ligatures w14:val="none"/>
        </w:rPr>
        <w:t>Guideline 8 — Read the data processing section of methods</w:t>
      </w:r>
    </w:p>
    <w:p w14:paraId="48BC485C"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In the paper, the methods section titled "Data processing" or "Bioinformatics analysis" tells you exactly what filtering thresholds the original authors used — minimum genes per cell, maximum mitochondrial percentage, doublet removal. These are your starting QC thresholds. You may adjust them but you should start where the paper started and justify any deviation.</w:t>
      </w:r>
    </w:p>
    <w:p w14:paraId="7A30C171" w14:textId="77777777" w:rsidR="008A7229" w:rsidRPr="008A7229" w:rsidRDefault="00881394" w:rsidP="008A7229">
      <w:pPr>
        <w:spacing w:after="0" w:line="240" w:lineRule="auto"/>
        <w:rPr>
          <w:rFonts w:ascii="Times New Roman" w:eastAsia="Times New Roman" w:hAnsi="Times New Roman" w:cs="Times New Roman"/>
          <w:kern w:val="0"/>
          <w14:ligatures w14:val="none"/>
        </w:rPr>
      </w:pPr>
      <w:r w:rsidRPr="00881394">
        <w:rPr>
          <w:rFonts w:ascii="Times New Roman" w:eastAsia="Times New Roman" w:hAnsi="Times New Roman" w:cs="Times New Roman"/>
          <w:noProof/>
          <w:kern w:val="0"/>
        </w:rPr>
        <w:pict w14:anchorId="5B533D85">
          <v:rect id="_x0000_i1029" alt="" style="width:468pt;height:.05pt;mso-width-percent:0;mso-height-percent:0;mso-width-percent:0;mso-height-percent:0" o:hralign="center" o:hrstd="t" o:hr="t" fillcolor="#a0a0a0" stroked="f"/>
        </w:pict>
      </w:r>
    </w:p>
    <w:p w14:paraId="3B7A0BF4" w14:textId="77777777" w:rsidR="008A7229" w:rsidRPr="008A7229" w:rsidRDefault="008A7229" w:rsidP="008A7229">
      <w:pPr>
        <w:spacing w:before="100" w:beforeAutospacing="1" w:after="100" w:afterAutospacing="1" w:line="240" w:lineRule="auto"/>
        <w:rPr>
          <w:rFonts w:ascii="Times New Roman" w:eastAsia="Times New Roman" w:hAnsi="Times New Roman" w:cs="Times New Roman"/>
          <w:kern w:val="0"/>
          <w14:ligatures w14:val="none"/>
        </w:rPr>
      </w:pPr>
      <w:r w:rsidRPr="008A7229">
        <w:rPr>
          <w:rFonts w:ascii="Times New Roman" w:eastAsia="Times New Roman" w:hAnsi="Times New Roman" w:cs="Times New Roman"/>
          <w:kern w:val="0"/>
          <w14:ligatures w14:val="none"/>
        </w:rPr>
        <w:t xml:space="preserve">Now that you understand the data properly, say </w:t>
      </w:r>
      <w:r w:rsidRPr="008A7229">
        <w:rPr>
          <w:rFonts w:ascii="Times New Roman" w:eastAsia="Times New Roman" w:hAnsi="Times New Roman" w:cs="Times New Roman"/>
          <w:b/>
          <w:bCs/>
          <w:kern w:val="0"/>
          <w14:ligatures w14:val="none"/>
        </w:rPr>
        <w:t>next</w:t>
      </w:r>
      <w:r w:rsidRPr="008A7229">
        <w:rPr>
          <w:rFonts w:ascii="Times New Roman" w:eastAsia="Times New Roman" w:hAnsi="Times New Roman" w:cs="Times New Roman"/>
          <w:kern w:val="0"/>
          <w14:ligatures w14:val="none"/>
        </w:rPr>
        <w:t xml:space="preserve"> when you are ready and we go back to Colab and run the single-sample loader for GSM6919778 with full understanding of what we are loading and why.</w:t>
      </w:r>
    </w:p>
    <w:p w14:paraId="313D8630" w14:textId="77777777" w:rsidR="00917880" w:rsidRDefault="00917880"/>
    <w:sectPr w:rsidR="00917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6AF"/>
    <w:multiLevelType w:val="multilevel"/>
    <w:tmpl w:val="16D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5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29"/>
    <w:rsid w:val="001E05ED"/>
    <w:rsid w:val="00260AA1"/>
    <w:rsid w:val="002F7D19"/>
    <w:rsid w:val="003963D9"/>
    <w:rsid w:val="00881394"/>
    <w:rsid w:val="008A7229"/>
    <w:rsid w:val="00917880"/>
    <w:rsid w:val="009B1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8355"/>
  <w15:chartTrackingRefBased/>
  <w15:docId w15:val="{D1D9215E-9C9C-C540-91D3-D6AD421A0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229"/>
    <w:rPr>
      <w:rFonts w:eastAsiaTheme="majorEastAsia" w:cstheme="majorBidi"/>
      <w:color w:val="272727" w:themeColor="text1" w:themeTint="D8"/>
    </w:rPr>
  </w:style>
  <w:style w:type="paragraph" w:styleId="Title">
    <w:name w:val="Title"/>
    <w:basedOn w:val="Normal"/>
    <w:next w:val="Normal"/>
    <w:link w:val="TitleChar"/>
    <w:uiPriority w:val="10"/>
    <w:qFormat/>
    <w:rsid w:val="008A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229"/>
    <w:pPr>
      <w:spacing w:before="160"/>
      <w:jc w:val="center"/>
    </w:pPr>
    <w:rPr>
      <w:i/>
      <w:iCs/>
      <w:color w:val="404040" w:themeColor="text1" w:themeTint="BF"/>
    </w:rPr>
  </w:style>
  <w:style w:type="character" w:customStyle="1" w:styleId="QuoteChar">
    <w:name w:val="Quote Char"/>
    <w:basedOn w:val="DefaultParagraphFont"/>
    <w:link w:val="Quote"/>
    <w:uiPriority w:val="29"/>
    <w:rsid w:val="008A7229"/>
    <w:rPr>
      <w:i/>
      <w:iCs/>
      <w:color w:val="404040" w:themeColor="text1" w:themeTint="BF"/>
    </w:rPr>
  </w:style>
  <w:style w:type="paragraph" w:styleId="ListParagraph">
    <w:name w:val="List Paragraph"/>
    <w:basedOn w:val="Normal"/>
    <w:uiPriority w:val="34"/>
    <w:qFormat/>
    <w:rsid w:val="008A7229"/>
    <w:pPr>
      <w:ind w:left="720"/>
      <w:contextualSpacing/>
    </w:pPr>
  </w:style>
  <w:style w:type="character" w:styleId="IntenseEmphasis">
    <w:name w:val="Intense Emphasis"/>
    <w:basedOn w:val="DefaultParagraphFont"/>
    <w:uiPriority w:val="21"/>
    <w:qFormat/>
    <w:rsid w:val="008A7229"/>
    <w:rPr>
      <w:i/>
      <w:iCs/>
      <w:color w:val="0F4761" w:themeColor="accent1" w:themeShade="BF"/>
    </w:rPr>
  </w:style>
  <w:style w:type="paragraph" w:styleId="IntenseQuote">
    <w:name w:val="Intense Quote"/>
    <w:basedOn w:val="Normal"/>
    <w:next w:val="Normal"/>
    <w:link w:val="IntenseQuoteChar"/>
    <w:uiPriority w:val="30"/>
    <w:qFormat/>
    <w:rsid w:val="008A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229"/>
    <w:rPr>
      <w:i/>
      <w:iCs/>
      <w:color w:val="0F4761" w:themeColor="accent1" w:themeShade="BF"/>
    </w:rPr>
  </w:style>
  <w:style w:type="character" w:styleId="IntenseReference">
    <w:name w:val="Intense Reference"/>
    <w:basedOn w:val="DefaultParagraphFont"/>
    <w:uiPriority w:val="32"/>
    <w:qFormat/>
    <w:rsid w:val="008A7229"/>
    <w:rPr>
      <w:b/>
      <w:bCs/>
      <w:smallCaps/>
      <w:color w:val="0F4761" w:themeColor="accent1" w:themeShade="BF"/>
      <w:spacing w:val="5"/>
    </w:rPr>
  </w:style>
  <w:style w:type="paragraph" w:styleId="NormalWeb">
    <w:name w:val="Normal (Web)"/>
    <w:basedOn w:val="Normal"/>
    <w:uiPriority w:val="99"/>
    <w:semiHidden/>
    <w:unhideWhenUsed/>
    <w:rsid w:val="008A72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72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Susarla</dc:creator>
  <cp:keywords/>
  <dc:description/>
  <cp:lastModifiedBy>Raghuram Susarla</cp:lastModifiedBy>
  <cp:revision>1</cp:revision>
  <dcterms:created xsi:type="dcterms:W3CDTF">2026-05-13T10:21:00Z</dcterms:created>
  <dcterms:modified xsi:type="dcterms:W3CDTF">2026-05-13T10:21:00Z</dcterms:modified>
</cp:coreProperties>
</file>