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4B86C" w14:textId="77777777" w:rsidR="00FD3AD1" w:rsidRPr="00FD3AD1" w:rsidRDefault="00FD3AD1" w:rsidP="00FD3AD1">
      <w:pPr>
        <w:spacing w:before="100" w:beforeAutospacing="1" w:after="100" w:afterAutospacing="1" w:line="240" w:lineRule="auto"/>
        <w:rPr>
          <w:rFonts w:ascii="Times New Roman" w:eastAsia="Times New Roman" w:hAnsi="Times New Roman" w:cs="Times New Roman"/>
          <w:kern w:val="0"/>
          <w14:ligatures w14:val="none"/>
        </w:rPr>
      </w:pPr>
      <w:r w:rsidRPr="00FD3AD1">
        <w:rPr>
          <w:rFonts w:ascii="Times New Roman" w:eastAsia="Times New Roman" w:hAnsi="Times New Roman" w:cs="Times New Roman"/>
          <w:kern w:val="0"/>
          <w14:ligatures w14:val="none"/>
        </w:rPr>
        <w:t>Perfect — I have everything I need. Let me design this properly.Great — I now have a solid picture of the field, available data, and what's doable. Here's your full project blueprint:Here is the full project blueprint, designed to be realistic for your level, your hardware, and Spain's job market.</w:t>
      </w:r>
    </w:p>
    <w:p w14:paraId="56840543" w14:textId="77777777" w:rsidR="00FD3AD1" w:rsidRPr="00FD3AD1" w:rsidRDefault="00062BB9" w:rsidP="00FD3AD1">
      <w:pPr>
        <w:spacing w:after="0" w:line="240" w:lineRule="auto"/>
        <w:rPr>
          <w:rFonts w:ascii="Times New Roman" w:eastAsia="Times New Roman" w:hAnsi="Times New Roman" w:cs="Times New Roman"/>
          <w:kern w:val="0"/>
          <w14:ligatures w14:val="none"/>
        </w:rPr>
      </w:pPr>
      <w:r w:rsidRPr="00062BB9">
        <w:rPr>
          <w:rFonts w:ascii="Times New Roman" w:eastAsia="Times New Roman" w:hAnsi="Times New Roman" w:cs="Times New Roman"/>
          <w:noProof/>
          <w:kern w:val="0"/>
        </w:rPr>
        <w:pict w14:anchorId="4922905C">
          <v:rect id="_x0000_i1029" alt="" style="width:468pt;height:.05pt;mso-width-percent:0;mso-height-percent:0;mso-width-percent:0;mso-height-percent:0" o:hralign="center" o:hrstd="t" o:hr="t" fillcolor="#a0a0a0" stroked="f"/>
        </w:pict>
      </w:r>
    </w:p>
    <w:p w14:paraId="21CAC91D" w14:textId="77777777" w:rsidR="00FD3AD1" w:rsidRPr="00FD3AD1" w:rsidRDefault="00FD3AD1" w:rsidP="00FD3AD1">
      <w:pPr>
        <w:spacing w:before="100" w:beforeAutospacing="1" w:after="100" w:afterAutospacing="1" w:line="240" w:lineRule="auto"/>
        <w:rPr>
          <w:rFonts w:ascii="Times New Roman" w:eastAsia="Times New Roman" w:hAnsi="Times New Roman" w:cs="Times New Roman"/>
          <w:kern w:val="0"/>
          <w14:ligatures w14:val="none"/>
        </w:rPr>
      </w:pPr>
      <w:r w:rsidRPr="00FD3AD1">
        <w:rPr>
          <w:rFonts w:ascii="Times New Roman" w:eastAsia="Times New Roman" w:hAnsi="Times New Roman" w:cs="Times New Roman"/>
          <w:b/>
          <w:bCs/>
          <w:kern w:val="0"/>
          <w14:ligatures w14:val="none"/>
        </w:rPr>
        <w:t>The core idea</w:t>
      </w:r>
    </w:p>
    <w:p w14:paraId="7B9214FB" w14:textId="77777777" w:rsidR="00FD3AD1" w:rsidRPr="00FD3AD1" w:rsidRDefault="00FD3AD1" w:rsidP="00FD3AD1">
      <w:pPr>
        <w:spacing w:before="100" w:beforeAutospacing="1" w:after="100" w:afterAutospacing="1" w:line="240" w:lineRule="auto"/>
        <w:rPr>
          <w:rFonts w:ascii="Times New Roman" w:eastAsia="Times New Roman" w:hAnsi="Times New Roman" w:cs="Times New Roman"/>
          <w:kern w:val="0"/>
          <w14:ligatures w14:val="none"/>
        </w:rPr>
      </w:pPr>
      <w:r w:rsidRPr="00FD3AD1">
        <w:rPr>
          <w:rFonts w:ascii="Times New Roman" w:eastAsia="Times New Roman" w:hAnsi="Times New Roman" w:cs="Times New Roman"/>
          <w:kern w:val="0"/>
          <w14:ligatures w14:val="none"/>
        </w:rPr>
        <w:t xml:space="preserve">The paper you read established the mast cell → NGF → ILC2 → Treg axis experimentally, mostly in mice and a small patient cohort. Your project takes that finding and asks: </w:t>
      </w:r>
      <w:r w:rsidRPr="00FD3AD1">
        <w:rPr>
          <w:rFonts w:ascii="Times New Roman" w:eastAsia="Times New Roman" w:hAnsi="Times New Roman" w:cs="Times New Roman"/>
          <w:i/>
          <w:iCs/>
          <w:kern w:val="0"/>
          <w14:ligatures w14:val="none"/>
        </w:rPr>
        <w:t>does this axis hold up at scale in human data, can it predict patient outcomes, and can we computationally identify drugs that disrupt it?</w:t>
      </w:r>
      <w:r w:rsidRPr="00FD3AD1">
        <w:rPr>
          <w:rFonts w:ascii="Times New Roman" w:eastAsia="Times New Roman" w:hAnsi="Times New Roman" w:cs="Times New Roman"/>
          <w:kern w:val="0"/>
          <w14:ligatures w14:val="none"/>
        </w:rPr>
        <w:t xml:space="preserve"> That is a completely original and publishable angle.</w:t>
      </w:r>
    </w:p>
    <w:p w14:paraId="2E3BCAE9" w14:textId="77777777" w:rsidR="00FD3AD1" w:rsidRPr="00FD3AD1" w:rsidRDefault="00062BB9" w:rsidP="00FD3AD1">
      <w:pPr>
        <w:spacing w:after="0" w:line="240" w:lineRule="auto"/>
        <w:rPr>
          <w:rFonts w:ascii="Times New Roman" w:eastAsia="Times New Roman" w:hAnsi="Times New Roman" w:cs="Times New Roman"/>
          <w:kern w:val="0"/>
          <w14:ligatures w14:val="none"/>
        </w:rPr>
      </w:pPr>
      <w:r w:rsidRPr="00062BB9">
        <w:rPr>
          <w:rFonts w:ascii="Times New Roman" w:eastAsia="Times New Roman" w:hAnsi="Times New Roman" w:cs="Times New Roman"/>
          <w:noProof/>
          <w:kern w:val="0"/>
        </w:rPr>
        <w:pict w14:anchorId="5230F98C">
          <v:rect id="_x0000_i1028" alt="" style="width:468pt;height:.05pt;mso-width-percent:0;mso-height-percent:0;mso-width-percent:0;mso-height-percent:0" o:hralign="center" o:hrstd="t" o:hr="t" fillcolor="#a0a0a0" stroked="f"/>
        </w:pict>
      </w:r>
    </w:p>
    <w:p w14:paraId="46E40B82" w14:textId="77777777" w:rsidR="00FD3AD1" w:rsidRPr="00FD3AD1" w:rsidRDefault="00FD3AD1" w:rsidP="00FD3AD1">
      <w:pPr>
        <w:spacing w:before="100" w:beforeAutospacing="1" w:after="100" w:afterAutospacing="1" w:line="240" w:lineRule="auto"/>
        <w:rPr>
          <w:rFonts w:ascii="Times New Roman" w:eastAsia="Times New Roman" w:hAnsi="Times New Roman" w:cs="Times New Roman"/>
          <w:kern w:val="0"/>
          <w14:ligatures w14:val="none"/>
        </w:rPr>
      </w:pPr>
      <w:r w:rsidRPr="00FD3AD1">
        <w:rPr>
          <w:rFonts w:ascii="Times New Roman" w:eastAsia="Times New Roman" w:hAnsi="Times New Roman" w:cs="Times New Roman"/>
          <w:b/>
          <w:bCs/>
          <w:kern w:val="0"/>
          <w14:ligatures w14:val="none"/>
        </w:rPr>
        <w:t>Phase 1 — Months 1–2: Build your cell atlas</w:t>
      </w:r>
    </w:p>
    <w:p w14:paraId="359A6347" w14:textId="77777777" w:rsidR="00FD3AD1" w:rsidRPr="00FD3AD1" w:rsidRDefault="00FD3AD1" w:rsidP="00FD3AD1">
      <w:pPr>
        <w:spacing w:before="100" w:beforeAutospacing="1" w:after="100" w:afterAutospacing="1" w:line="240" w:lineRule="auto"/>
        <w:rPr>
          <w:rFonts w:ascii="Times New Roman" w:eastAsia="Times New Roman" w:hAnsi="Times New Roman" w:cs="Times New Roman"/>
          <w:kern w:val="0"/>
          <w14:ligatures w14:val="none"/>
        </w:rPr>
      </w:pPr>
      <w:r w:rsidRPr="00FD3AD1">
        <w:rPr>
          <w:rFonts w:ascii="Times New Roman" w:eastAsia="Times New Roman" w:hAnsi="Times New Roman" w:cs="Times New Roman"/>
          <w:kern w:val="0"/>
          <w14:ligatures w14:val="none"/>
        </w:rPr>
        <w:t>You download three public datasets from GEO and TCGA. The GEO dataset GSE222315 contains scRNA-seq data from 9 bladder cancer patients, and TCGA-BLCA contains RNA-seq profiles and survival data from 403 samples. Additional scRNA-seq datasets like GSE135337 (7 primary tumors) are also publicly available and widely used in bladder cancer TME studies.</w:t>
      </w:r>
    </w:p>
    <w:p w14:paraId="7EDF6797" w14:textId="77777777" w:rsidR="00FD3AD1" w:rsidRPr="00FD3AD1" w:rsidRDefault="00FD3AD1" w:rsidP="00FD3AD1">
      <w:pPr>
        <w:spacing w:before="100" w:beforeAutospacing="1" w:after="100" w:afterAutospacing="1" w:line="240" w:lineRule="auto"/>
        <w:rPr>
          <w:rFonts w:ascii="Times New Roman" w:eastAsia="Times New Roman" w:hAnsi="Times New Roman" w:cs="Times New Roman"/>
          <w:kern w:val="0"/>
          <w14:ligatures w14:val="none"/>
        </w:rPr>
      </w:pPr>
      <w:r w:rsidRPr="00FD3AD1">
        <w:rPr>
          <w:rFonts w:ascii="Times New Roman" w:eastAsia="Times New Roman" w:hAnsi="Times New Roman" w:cs="Times New Roman"/>
          <w:kern w:val="0"/>
          <w14:ligatures w14:val="none"/>
        </w:rPr>
        <w:t xml:space="preserve">You process the single-cell data with Seurat or Scanpy, cluster cells, and annotate mast cells (markers: </w:t>
      </w:r>
      <w:r w:rsidRPr="00FD3AD1">
        <w:rPr>
          <w:rFonts w:ascii="Courier New" w:eastAsia="Times New Roman" w:hAnsi="Courier New" w:cs="Courier New"/>
          <w:kern w:val="0"/>
          <w:sz w:val="20"/>
          <w:szCs w:val="20"/>
          <w14:ligatures w14:val="none"/>
        </w:rPr>
        <w:t>TPSAB1</w:t>
      </w:r>
      <w:r w:rsidRPr="00FD3AD1">
        <w:rPr>
          <w:rFonts w:ascii="Times New Roman" w:eastAsia="Times New Roman" w:hAnsi="Times New Roman" w:cs="Times New Roman"/>
          <w:kern w:val="0"/>
          <w14:ligatures w14:val="none"/>
        </w:rPr>
        <w:t xml:space="preserve">, </w:t>
      </w:r>
      <w:r w:rsidRPr="00FD3AD1">
        <w:rPr>
          <w:rFonts w:ascii="Courier New" w:eastAsia="Times New Roman" w:hAnsi="Courier New" w:cs="Courier New"/>
          <w:kern w:val="0"/>
          <w:sz w:val="20"/>
          <w:szCs w:val="20"/>
          <w14:ligatures w14:val="none"/>
        </w:rPr>
        <w:t>KIT</w:t>
      </w:r>
      <w:r w:rsidRPr="00FD3AD1">
        <w:rPr>
          <w:rFonts w:ascii="Times New Roman" w:eastAsia="Times New Roman" w:hAnsi="Times New Roman" w:cs="Times New Roman"/>
          <w:kern w:val="0"/>
          <w14:ligatures w14:val="none"/>
        </w:rPr>
        <w:t>), ILC2s (</w:t>
      </w:r>
      <w:r w:rsidRPr="00FD3AD1">
        <w:rPr>
          <w:rFonts w:ascii="Courier New" w:eastAsia="Times New Roman" w:hAnsi="Courier New" w:cs="Courier New"/>
          <w:kern w:val="0"/>
          <w:sz w:val="20"/>
          <w:szCs w:val="20"/>
          <w14:ligatures w14:val="none"/>
        </w:rPr>
        <w:t>GATA3</w:t>
      </w:r>
      <w:r w:rsidRPr="00FD3AD1">
        <w:rPr>
          <w:rFonts w:ascii="Times New Roman" w:eastAsia="Times New Roman" w:hAnsi="Times New Roman" w:cs="Times New Roman"/>
          <w:kern w:val="0"/>
          <w14:ligatures w14:val="none"/>
        </w:rPr>
        <w:t xml:space="preserve">, </w:t>
      </w:r>
      <w:r w:rsidRPr="00FD3AD1">
        <w:rPr>
          <w:rFonts w:ascii="Courier New" w:eastAsia="Times New Roman" w:hAnsi="Courier New" w:cs="Courier New"/>
          <w:kern w:val="0"/>
          <w:sz w:val="20"/>
          <w:szCs w:val="20"/>
          <w14:ligatures w14:val="none"/>
        </w:rPr>
        <w:t>IL1RL1</w:t>
      </w:r>
      <w:r w:rsidRPr="00FD3AD1">
        <w:rPr>
          <w:rFonts w:ascii="Times New Roman" w:eastAsia="Times New Roman" w:hAnsi="Times New Roman" w:cs="Times New Roman"/>
          <w:kern w:val="0"/>
          <w14:ligatures w14:val="none"/>
        </w:rPr>
        <w:t xml:space="preserve">, </w:t>
      </w:r>
      <w:r w:rsidRPr="00FD3AD1">
        <w:rPr>
          <w:rFonts w:ascii="Courier New" w:eastAsia="Times New Roman" w:hAnsi="Courier New" w:cs="Courier New"/>
          <w:kern w:val="0"/>
          <w:sz w:val="20"/>
          <w:szCs w:val="20"/>
          <w14:ligatures w14:val="none"/>
        </w:rPr>
        <w:t>KLRG1</w:t>
      </w:r>
      <w:r w:rsidRPr="00FD3AD1">
        <w:rPr>
          <w:rFonts w:ascii="Times New Roman" w:eastAsia="Times New Roman" w:hAnsi="Times New Roman" w:cs="Times New Roman"/>
          <w:kern w:val="0"/>
          <w14:ligatures w14:val="none"/>
        </w:rPr>
        <w:t>), and Tregs (</w:t>
      </w:r>
      <w:r w:rsidRPr="00FD3AD1">
        <w:rPr>
          <w:rFonts w:ascii="Courier New" w:eastAsia="Times New Roman" w:hAnsi="Courier New" w:cs="Courier New"/>
          <w:kern w:val="0"/>
          <w:sz w:val="20"/>
          <w:szCs w:val="20"/>
          <w14:ligatures w14:val="none"/>
        </w:rPr>
        <w:t>FOXP3</w:t>
      </w:r>
      <w:r w:rsidRPr="00FD3AD1">
        <w:rPr>
          <w:rFonts w:ascii="Times New Roman" w:eastAsia="Times New Roman" w:hAnsi="Times New Roman" w:cs="Times New Roman"/>
          <w:kern w:val="0"/>
          <w14:ligatures w14:val="none"/>
        </w:rPr>
        <w:t xml:space="preserve">, </w:t>
      </w:r>
      <w:r w:rsidRPr="00FD3AD1">
        <w:rPr>
          <w:rFonts w:ascii="Courier New" w:eastAsia="Times New Roman" w:hAnsi="Courier New" w:cs="Courier New"/>
          <w:kern w:val="0"/>
          <w:sz w:val="20"/>
          <w:szCs w:val="20"/>
          <w14:ligatures w14:val="none"/>
        </w:rPr>
        <w:t>IL2RA</w:t>
      </w:r>
      <w:r w:rsidRPr="00FD3AD1">
        <w:rPr>
          <w:rFonts w:ascii="Times New Roman" w:eastAsia="Times New Roman" w:hAnsi="Times New Roman" w:cs="Times New Roman"/>
          <w:kern w:val="0"/>
          <w14:ligatures w14:val="none"/>
        </w:rPr>
        <w:t xml:space="preserve">). Your first concrete result is confirming that </w:t>
      </w:r>
      <w:r w:rsidRPr="00FD3AD1">
        <w:rPr>
          <w:rFonts w:ascii="Courier New" w:eastAsia="Times New Roman" w:hAnsi="Courier New" w:cs="Courier New"/>
          <w:kern w:val="0"/>
          <w:sz w:val="20"/>
          <w:szCs w:val="20"/>
          <w14:ligatures w14:val="none"/>
        </w:rPr>
        <w:t>NGFR</w:t>
      </w:r>
      <w:r w:rsidRPr="00FD3AD1">
        <w:rPr>
          <w:rFonts w:ascii="Times New Roman" w:eastAsia="Times New Roman" w:hAnsi="Times New Roman" w:cs="Times New Roman"/>
          <w:kern w:val="0"/>
          <w14:ligatures w14:val="none"/>
        </w:rPr>
        <w:t>/</w:t>
      </w:r>
      <w:r w:rsidRPr="00FD3AD1">
        <w:rPr>
          <w:rFonts w:ascii="Courier New" w:eastAsia="Times New Roman" w:hAnsi="Courier New" w:cs="Courier New"/>
          <w:kern w:val="0"/>
          <w:sz w:val="20"/>
          <w:szCs w:val="20"/>
          <w14:ligatures w14:val="none"/>
        </w:rPr>
        <w:t>NTRK1</w:t>
      </w:r>
      <w:r w:rsidRPr="00FD3AD1">
        <w:rPr>
          <w:rFonts w:ascii="Times New Roman" w:eastAsia="Times New Roman" w:hAnsi="Times New Roman" w:cs="Times New Roman"/>
          <w:kern w:val="0"/>
          <w14:ligatures w14:val="none"/>
        </w:rPr>
        <w:t xml:space="preserve"> (the TrkA receptor) is indeed expressed on ILC2s in human public data — validating the paper's claim computationally.</w:t>
      </w:r>
    </w:p>
    <w:p w14:paraId="5B961306" w14:textId="77777777" w:rsidR="00FD3AD1" w:rsidRPr="00FD3AD1" w:rsidRDefault="00062BB9" w:rsidP="00FD3AD1">
      <w:pPr>
        <w:spacing w:after="0" w:line="240" w:lineRule="auto"/>
        <w:rPr>
          <w:rFonts w:ascii="Times New Roman" w:eastAsia="Times New Roman" w:hAnsi="Times New Roman" w:cs="Times New Roman"/>
          <w:kern w:val="0"/>
          <w14:ligatures w14:val="none"/>
        </w:rPr>
      </w:pPr>
      <w:r w:rsidRPr="00062BB9">
        <w:rPr>
          <w:rFonts w:ascii="Times New Roman" w:eastAsia="Times New Roman" w:hAnsi="Times New Roman" w:cs="Times New Roman"/>
          <w:noProof/>
          <w:kern w:val="0"/>
        </w:rPr>
        <w:pict w14:anchorId="04A3029D">
          <v:rect id="_x0000_i1027" alt="" style="width:468pt;height:.05pt;mso-width-percent:0;mso-height-percent:0;mso-width-percent:0;mso-height-percent:0" o:hralign="center" o:hrstd="t" o:hr="t" fillcolor="#a0a0a0" stroked="f"/>
        </w:pict>
      </w:r>
    </w:p>
    <w:p w14:paraId="2764C118" w14:textId="77777777" w:rsidR="00FD3AD1" w:rsidRPr="00FD3AD1" w:rsidRDefault="00FD3AD1" w:rsidP="00FD3AD1">
      <w:pPr>
        <w:spacing w:before="100" w:beforeAutospacing="1" w:after="100" w:afterAutospacing="1" w:line="240" w:lineRule="auto"/>
        <w:rPr>
          <w:rFonts w:ascii="Times New Roman" w:eastAsia="Times New Roman" w:hAnsi="Times New Roman" w:cs="Times New Roman"/>
          <w:kern w:val="0"/>
          <w14:ligatures w14:val="none"/>
        </w:rPr>
      </w:pPr>
      <w:r w:rsidRPr="00FD3AD1">
        <w:rPr>
          <w:rFonts w:ascii="Times New Roman" w:eastAsia="Times New Roman" w:hAnsi="Times New Roman" w:cs="Times New Roman"/>
          <w:b/>
          <w:bCs/>
          <w:kern w:val="0"/>
          <w14:ligatures w14:val="none"/>
        </w:rPr>
        <w:t>Phase 2 — Months 3–4: Communication &amp; survival</w:t>
      </w:r>
    </w:p>
    <w:p w14:paraId="5F508F7B" w14:textId="77777777" w:rsidR="00FD3AD1" w:rsidRPr="00FD3AD1" w:rsidRDefault="00FD3AD1" w:rsidP="00FD3AD1">
      <w:pPr>
        <w:spacing w:before="100" w:beforeAutospacing="1" w:after="100" w:afterAutospacing="1" w:line="240" w:lineRule="auto"/>
        <w:rPr>
          <w:rFonts w:ascii="Times New Roman" w:eastAsia="Times New Roman" w:hAnsi="Times New Roman" w:cs="Times New Roman"/>
          <w:kern w:val="0"/>
          <w14:ligatures w14:val="none"/>
        </w:rPr>
      </w:pPr>
      <w:r w:rsidRPr="00FD3AD1">
        <w:rPr>
          <w:rFonts w:ascii="Times New Roman" w:eastAsia="Times New Roman" w:hAnsi="Times New Roman" w:cs="Times New Roman"/>
          <w:kern w:val="0"/>
          <w14:ligatures w14:val="none"/>
        </w:rPr>
        <w:t>This is the analytical heart of the project. You run CellChat or NicheNet to reconstruct the ligand-receptor network and score how strongly mast cells signal to ILC2s via NGF-TrkA. CellChat has already been applied to bladder cancer scRNA-seq to reconstruct cell–cell communication networks focusing on immune crosstalk. You then deconvolve the large TCGA-BLCA bulk dataset to estimate mast cell and ILC2 abundance per patient, and build Kaplan–Meier and Cox regression survival models. Your hypothesis: patients with high NGF expression in ILC2-rich tumors have worse overall survival — which the paper showed qualitatively, but you will do it rigorously at scale.</w:t>
      </w:r>
    </w:p>
    <w:p w14:paraId="309D52C0" w14:textId="77777777" w:rsidR="00FD3AD1" w:rsidRPr="00FD3AD1" w:rsidRDefault="00062BB9" w:rsidP="00FD3AD1">
      <w:pPr>
        <w:spacing w:after="0" w:line="240" w:lineRule="auto"/>
        <w:rPr>
          <w:rFonts w:ascii="Times New Roman" w:eastAsia="Times New Roman" w:hAnsi="Times New Roman" w:cs="Times New Roman"/>
          <w:kern w:val="0"/>
          <w14:ligatures w14:val="none"/>
        </w:rPr>
      </w:pPr>
      <w:r w:rsidRPr="00062BB9">
        <w:rPr>
          <w:rFonts w:ascii="Times New Roman" w:eastAsia="Times New Roman" w:hAnsi="Times New Roman" w:cs="Times New Roman"/>
          <w:noProof/>
          <w:kern w:val="0"/>
        </w:rPr>
        <w:pict w14:anchorId="39F9071F">
          <v:rect id="_x0000_i1026" alt="" style="width:468pt;height:.05pt;mso-width-percent:0;mso-height-percent:0;mso-width-percent:0;mso-height-percent:0" o:hralign="center" o:hrstd="t" o:hr="t" fillcolor="#a0a0a0" stroked="f"/>
        </w:pict>
      </w:r>
    </w:p>
    <w:p w14:paraId="1E7C6D43" w14:textId="77777777" w:rsidR="00FD3AD1" w:rsidRPr="00FD3AD1" w:rsidRDefault="00FD3AD1" w:rsidP="00FD3AD1">
      <w:pPr>
        <w:spacing w:before="100" w:beforeAutospacing="1" w:after="100" w:afterAutospacing="1" w:line="240" w:lineRule="auto"/>
        <w:rPr>
          <w:rFonts w:ascii="Times New Roman" w:eastAsia="Times New Roman" w:hAnsi="Times New Roman" w:cs="Times New Roman"/>
          <w:kern w:val="0"/>
          <w14:ligatures w14:val="none"/>
        </w:rPr>
      </w:pPr>
      <w:r w:rsidRPr="00FD3AD1">
        <w:rPr>
          <w:rFonts w:ascii="Times New Roman" w:eastAsia="Times New Roman" w:hAnsi="Times New Roman" w:cs="Times New Roman"/>
          <w:b/>
          <w:bCs/>
          <w:kern w:val="0"/>
          <w14:ligatures w14:val="none"/>
        </w:rPr>
        <w:t>Phase 3 — Months 5–6: Drug prediction &amp; portfolio</w:t>
      </w:r>
    </w:p>
    <w:p w14:paraId="26787131" w14:textId="77777777" w:rsidR="00FD3AD1" w:rsidRPr="00FD3AD1" w:rsidRDefault="00FD3AD1" w:rsidP="00FD3AD1">
      <w:pPr>
        <w:spacing w:before="100" w:beforeAutospacing="1" w:after="100" w:afterAutospacing="1" w:line="240" w:lineRule="auto"/>
        <w:rPr>
          <w:rFonts w:ascii="Times New Roman" w:eastAsia="Times New Roman" w:hAnsi="Times New Roman" w:cs="Times New Roman"/>
          <w:kern w:val="0"/>
          <w14:ligatures w14:val="none"/>
        </w:rPr>
      </w:pPr>
      <w:r w:rsidRPr="00FD3AD1">
        <w:rPr>
          <w:rFonts w:ascii="Times New Roman" w:eastAsia="Times New Roman" w:hAnsi="Times New Roman" w:cs="Times New Roman"/>
          <w:kern w:val="0"/>
          <w14:ligatures w14:val="none"/>
        </w:rPr>
        <w:lastRenderedPageBreak/>
        <w:t xml:space="preserve">You build a multi-gene prognostic signature (using LASSO regression) from the key axis genes (NGF, NTRK1, IL5, IL13, FOXP3) and validate it in an independent cohort (GSE13507, 160 samples). Then you query ConnectivityMap (CMap/LINCS) — a free web tool — to find drugs whose gene expression signatures </w:t>
      </w:r>
      <w:r w:rsidRPr="00FD3AD1">
        <w:rPr>
          <w:rFonts w:ascii="Times New Roman" w:eastAsia="Times New Roman" w:hAnsi="Times New Roman" w:cs="Times New Roman"/>
          <w:i/>
          <w:iCs/>
          <w:kern w:val="0"/>
          <w14:ligatures w14:val="none"/>
        </w:rPr>
        <w:t>reverse</w:t>
      </w:r>
      <w:r w:rsidRPr="00FD3AD1">
        <w:rPr>
          <w:rFonts w:ascii="Times New Roman" w:eastAsia="Times New Roman" w:hAnsi="Times New Roman" w:cs="Times New Roman"/>
          <w:kern w:val="0"/>
          <w14:ligatures w14:val="none"/>
        </w:rPr>
        <w:t xml:space="preserve"> your ILC2 activation signature. This is how researchers computationally propose drug repurposing candidates. You finish by packaging everything in a public GitHub repository with a Quarto report and optionally a small Shiny dashboard.</w:t>
      </w:r>
    </w:p>
    <w:p w14:paraId="759B3412" w14:textId="77777777" w:rsidR="00FD3AD1" w:rsidRPr="00FD3AD1" w:rsidRDefault="00062BB9" w:rsidP="00FD3AD1">
      <w:pPr>
        <w:spacing w:after="0" w:line="240" w:lineRule="auto"/>
        <w:rPr>
          <w:rFonts w:ascii="Times New Roman" w:eastAsia="Times New Roman" w:hAnsi="Times New Roman" w:cs="Times New Roman"/>
          <w:kern w:val="0"/>
          <w14:ligatures w14:val="none"/>
        </w:rPr>
      </w:pPr>
      <w:r w:rsidRPr="00062BB9">
        <w:rPr>
          <w:rFonts w:ascii="Times New Roman" w:eastAsia="Times New Roman" w:hAnsi="Times New Roman" w:cs="Times New Roman"/>
          <w:noProof/>
          <w:kern w:val="0"/>
        </w:rPr>
        <w:pict w14:anchorId="21FD5DF2">
          <v:rect id="_x0000_i1025" alt="" style="width:468pt;height:.05pt;mso-width-percent:0;mso-height-percent:0;mso-width-percent:0;mso-height-percent:0" o:hralign="center" o:hrstd="t" o:hr="t" fillcolor="#a0a0a0" stroked="f"/>
        </w:pict>
      </w:r>
    </w:p>
    <w:p w14:paraId="5E299D7C" w14:textId="77777777" w:rsidR="00FD3AD1" w:rsidRPr="00FD3AD1" w:rsidRDefault="00FD3AD1" w:rsidP="00FD3AD1">
      <w:pPr>
        <w:spacing w:before="100" w:beforeAutospacing="1" w:after="100" w:afterAutospacing="1" w:line="240" w:lineRule="auto"/>
        <w:rPr>
          <w:rFonts w:ascii="Times New Roman" w:eastAsia="Times New Roman" w:hAnsi="Times New Roman" w:cs="Times New Roman"/>
          <w:kern w:val="0"/>
          <w14:ligatures w14:val="none"/>
        </w:rPr>
      </w:pPr>
      <w:r w:rsidRPr="00FD3AD1">
        <w:rPr>
          <w:rFonts w:ascii="Times New Roman" w:eastAsia="Times New Roman" w:hAnsi="Times New Roman" w:cs="Times New Roman"/>
          <w:b/>
          <w:bCs/>
          <w:kern w:val="0"/>
          <w14:ligatures w14:val="none"/>
        </w:rPr>
        <w:t>Why this lands jobs in Spain</w:t>
      </w:r>
    </w:p>
    <w:p w14:paraId="7D8B7D21" w14:textId="77777777" w:rsidR="00FD3AD1" w:rsidRPr="00FD3AD1" w:rsidRDefault="00FD3AD1" w:rsidP="00FD3AD1">
      <w:pPr>
        <w:spacing w:before="100" w:beforeAutospacing="1" w:after="100" w:afterAutospacing="1" w:line="240" w:lineRule="auto"/>
        <w:rPr>
          <w:rFonts w:ascii="Times New Roman" w:eastAsia="Times New Roman" w:hAnsi="Times New Roman" w:cs="Times New Roman"/>
          <w:kern w:val="0"/>
          <w14:ligatures w14:val="none"/>
        </w:rPr>
      </w:pPr>
      <w:r w:rsidRPr="00FD3AD1">
        <w:rPr>
          <w:rFonts w:ascii="Times New Roman" w:eastAsia="Times New Roman" w:hAnsi="Times New Roman" w:cs="Times New Roman"/>
          <w:kern w:val="0"/>
          <w14:ligatures w14:val="none"/>
        </w:rPr>
        <w:t>Spanish research institutions (CIC bioGUNE, CNIO, IRB Barcelona, VHIO) and pharma (Almirall, PharmaMar, Roche Spain) are actively hiring people who combine immunology domain knowledge with computational skills. This project gives you:</w:t>
      </w:r>
    </w:p>
    <w:p w14:paraId="6B4C4815" w14:textId="77777777" w:rsidR="00FD3AD1" w:rsidRPr="00FD3AD1" w:rsidRDefault="00FD3AD1" w:rsidP="00FD3AD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D3AD1">
        <w:rPr>
          <w:rFonts w:ascii="Times New Roman" w:eastAsia="Times New Roman" w:hAnsi="Times New Roman" w:cs="Times New Roman"/>
          <w:kern w:val="0"/>
          <w14:ligatures w14:val="none"/>
        </w:rPr>
        <w:t>Hands-on scRNA-seq analysis (the #1 technical skill asked for in Spanish bioinformatics job ads right now)</w:t>
      </w:r>
    </w:p>
    <w:p w14:paraId="68763973" w14:textId="77777777" w:rsidR="00FD3AD1" w:rsidRPr="00FD3AD1" w:rsidRDefault="00FD3AD1" w:rsidP="00FD3AD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D3AD1">
        <w:rPr>
          <w:rFonts w:ascii="Times New Roman" w:eastAsia="Times New Roman" w:hAnsi="Times New Roman" w:cs="Times New Roman"/>
          <w:kern w:val="0"/>
          <w14:ligatures w14:val="none"/>
        </w:rPr>
        <w:t>A survival analysis pipeline (clinical translation — pharma loves this)</w:t>
      </w:r>
    </w:p>
    <w:p w14:paraId="1A86D94E" w14:textId="77777777" w:rsidR="00FD3AD1" w:rsidRPr="00FD3AD1" w:rsidRDefault="00FD3AD1" w:rsidP="00FD3AD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D3AD1">
        <w:rPr>
          <w:rFonts w:ascii="Times New Roman" w:eastAsia="Times New Roman" w:hAnsi="Times New Roman" w:cs="Times New Roman"/>
          <w:kern w:val="0"/>
          <w14:ligatures w14:val="none"/>
        </w:rPr>
        <w:t>A drug repurposing output (immediately industry-relevant)</w:t>
      </w:r>
    </w:p>
    <w:p w14:paraId="424B47B9" w14:textId="77777777" w:rsidR="00FD3AD1" w:rsidRPr="00FD3AD1" w:rsidRDefault="00FD3AD1" w:rsidP="00FD3AD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D3AD1">
        <w:rPr>
          <w:rFonts w:ascii="Times New Roman" w:eastAsia="Times New Roman" w:hAnsi="Times New Roman" w:cs="Times New Roman"/>
          <w:kern w:val="0"/>
          <w14:ligatures w14:val="none"/>
        </w:rPr>
        <w:t>A public GitHub repo (your portfolio, your most important asset)</w:t>
      </w:r>
    </w:p>
    <w:p w14:paraId="5D0B5B7F" w14:textId="77777777" w:rsidR="00FD3AD1" w:rsidRPr="00FD3AD1" w:rsidRDefault="00FD3AD1" w:rsidP="00FD3AD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D3AD1">
        <w:rPr>
          <w:rFonts w:ascii="Times New Roman" w:eastAsia="Times New Roman" w:hAnsi="Times New Roman" w:cs="Times New Roman"/>
          <w:kern w:val="0"/>
          <w14:ligatures w14:val="none"/>
        </w:rPr>
        <w:t>A story: you read a Nature Communications paper, reproduced and extended it computationally, and generated novel hypotheses — that narrative is exactly what hiring managers and PhD supervisors want to hear</w:t>
      </w:r>
    </w:p>
    <w:p w14:paraId="17C2086E" w14:textId="77777777" w:rsidR="00FD3AD1" w:rsidRPr="00FD3AD1" w:rsidRDefault="00FD3AD1" w:rsidP="00FD3AD1">
      <w:pPr>
        <w:spacing w:before="100" w:beforeAutospacing="1" w:after="100" w:afterAutospacing="1" w:line="240" w:lineRule="auto"/>
        <w:rPr>
          <w:rFonts w:ascii="Times New Roman" w:eastAsia="Times New Roman" w:hAnsi="Times New Roman" w:cs="Times New Roman"/>
          <w:kern w:val="0"/>
          <w14:ligatures w14:val="none"/>
        </w:rPr>
      </w:pPr>
      <w:r w:rsidRPr="00FD3AD1">
        <w:rPr>
          <w:rFonts w:ascii="Times New Roman" w:eastAsia="Times New Roman" w:hAnsi="Times New Roman" w:cs="Times New Roman"/>
          <w:kern w:val="0"/>
          <w14:ligatures w14:val="none"/>
        </w:rPr>
        <w:t>Click any box in the diagram for a detailed next step. Want me to start with Phase 1 — a step-by-step guide to downloading and processing GSE222315?</w:t>
      </w:r>
    </w:p>
    <w:p w14:paraId="4DE96484" w14:textId="77777777" w:rsidR="00917880" w:rsidRDefault="00917880"/>
    <w:p w14:paraId="28CAA8F8" w14:textId="77777777" w:rsidR="00036A5F" w:rsidRDefault="00036A5F" w:rsidP="00036A5F">
      <w:r>
        <w:t xml:space="preserve">Claude command: </w:t>
      </w:r>
      <w:r>
        <w:t>Phase 1, Step 1: Data download</w:t>
      </w:r>
    </w:p>
    <w:p w14:paraId="01C108A4" w14:textId="77777777" w:rsidR="00036A5F" w:rsidRDefault="00036A5F" w:rsidP="00036A5F">
      <w:r>
        <w:t>Notebook: 01_data_download_and_inspection.ipynb</w:t>
      </w:r>
    </w:p>
    <w:p w14:paraId="6575272F" w14:textId="77777777" w:rsidR="00036A5F" w:rsidRDefault="00036A5F" w:rsidP="00036A5F">
      <w:r>
        <w:t>Completed: Drive mount, path setup</w:t>
      </w:r>
    </w:p>
    <w:p w14:paraId="5A6D2B57" w14:textId="77777777" w:rsidR="00036A5F" w:rsidRDefault="00036A5F" w:rsidP="00036A5F">
      <w:r>
        <w:t>Next: Fix scanpy install, then download GSE222315</w:t>
      </w:r>
    </w:p>
    <w:p w14:paraId="29247D5A" w14:textId="77777777" w:rsidR="00036A5F" w:rsidRDefault="00036A5F" w:rsidP="00036A5F">
      <w:r>
        <w:t>Dataset: GSE222315 (bladder cancer scRNA-seq, 9 patients)</w:t>
      </w:r>
    </w:p>
    <w:p w14:paraId="0D9E7BE8" w14:textId="77E9A9E1" w:rsidR="00036A5F" w:rsidRDefault="00036A5F" w:rsidP="00036A5F">
      <w:r>
        <w:t>Project Drive path: /content/drive/MyDrive/ngf_ilc2_bladder</w:t>
      </w:r>
    </w:p>
    <w:sectPr w:rsidR="00036A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22038"/>
    <w:multiLevelType w:val="multilevel"/>
    <w:tmpl w:val="8404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519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AD1"/>
    <w:rsid w:val="00036A5F"/>
    <w:rsid w:val="00062BB9"/>
    <w:rsid w:val="001E05ED"/>
    <w:rsid w:val="00260AA1"/>
    <w:rsid w:val="003963D9"/>
    <w:rsid w:val="00917880"/>
    <w:rsid w:val="009B1D9D"/>
    <w:rsid w:val="00C808CB"/>
    <w:rsid w:val="00FD3A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AECC6"/>
  <w15:chartTrackingRefBased/>
  <w15:docId w15:val="{72EF260E-BC82-DD4D-9F63-9533B4DAB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A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3A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3A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A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A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A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A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A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A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A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3A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3A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A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A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A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A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A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AD1"/>
    <w:rPr>
      <w:rFonts w:eastAsiaTheme="majorEastAsia" w:cstheme="majorBidi"/>
      <w:color w:val="272727" w:themeColor="text1" w:themeTint="D8"/>
    </w:rPr>
  </w:style>
  <w:style w:type="paragraph" w:styleId="Title">
    <w:name w:val="Title"/>
    <w:basedOn w:val="Normal"/>
    <w:next w:val="Normal"/>
    <w:link w:val="TitleChar"/>
    <w:uiPriority w:val="10"/>
    <w:qFormat/>
    <w:rsid w:val="00FD3A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A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A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A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AD1"/>
    <w:pPr>
      <w:spacing w:before="160"/>
      <w:jc w:val="center"/>
    </w:pPr>
    <w:rPr>
      <w:i/>
      <w:iCs/>
      <w:color w:val="404040" w:themeColor="text1" w:themeTint="BF"/>
    </w:rPr>
  </w:style>
  <w:style w:type="character" w:customStyle="1" w:styleId="QuoteChar">
    <w:name w:val="Quote Char"/>
    <w:basedOn w:val="DefaultParagraphFont"/>
    <w:link w:val="Quote"/>
    <w:uiPriority w:val="29"/>
    <w:rsid w:val="00FD3AD1"/>
    <w:rPr>
      <w:i/>
      <w:iCs/>
      <w:color w:val="404040" w:themeColor="text1" w:themeTint="BF"/>
    </w:rPr>
  </w:style>
  <w:style w:type="paragraph" w:styleId="ListParagraph">
    <w:name w:val="List Paragraph"/>
    <w:basedOn w:val="Normal"/>
    <w:uiPriority w:val="34"/>
    <w:qFormat/>
    <w:rsid w:val="00FD3AD1"/>
    <w:pPr>
      <w:ind w:left="720"/>
      <w:contextualSpacing/>
    </w:pPr>
  </w:style>
  <w:style w:type="character" w:styleId="IntenseEmphasis">
    <w:name w:val="Intense Emphasis"/>
    <w:basedOn w:val="DefaultParagraphFont"/>
    <w:uiPriority w:val="21"/>
    <w:qFormat/>
    <w:rsid w:val="00FD3AD1"/>
    <w:rPr>
      <w:i/>
      <w:iCs/>
      <w:color w:val="0F4761" w:themeColor="accent1" w:themeShade="BF"/>
    </w:rPr>
  </w:style>
  <w:style w:type="paragraph" w:styleId="IntenseQuote">
    <w:name w:val="Intense Quote"/>
    <w:basedOn w:val="Normal"/>
    <w:next w:val="Normal"/>
    <w:link w:val="IntenseQuoteChar"/>
    <w:uiPriority w:val="30"/>
    <w:qFormat/>
    <w:rsid w:val="00FD3A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AD1"/>
    <w:rPr>
      <w:i/>
      <w:iCs/>
      <w:color w:val="0F4761" w:themeColor="accent1" w:themeShade="BF"/>
    </w:rPr>
  </w:style>
  <w:style w:type="character" w:styleId="IntenseReference">
    <w:name w:val="Intense Reference"/>
    <w:basedOn w:val="DefaultParagraphFont"/>
    <w:uiPriority w:val="32"/>
    <w:qFormat/>
    <w:rsid w:val="00FD3AD1"/>
    <w:rPr>
      <w:b/>
      <w:bCs/>
      <w:smallCaps/>
      <w:color w:val="0F4761" w:themeColor="accent1" w:themeShade="BF"/>
      <w:spacing w:val="5"/>
    </w:rPr>
  </w:style>
  <w:style w:type="paragraph" w:styleId="NormalWeb">
    <w:name w:val="Normal (Web)"/>
    <w:basedOn w:val="Normal"/>
    <w:uiPriority w:val="99"/>
    <w:semiHidden/>
    <w:unhideWhenUsed/>
    <w:rsid w:val="00FD3AD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D3AD1"/>
    <w:rPr>
      <w:b/>
      <w:bCs/>
    </w:rPr>
  </w:style>
  <w:style w:type="character" w:styleId="Emphasis">
    <w:name w:val="Emphasis"/>
    <w:basedOn w:val="DefaultParagraphFont"/>
    <w:uiPriority w:val="20"/>
    <w:qFormat/>
    <w:rsid w:val="00FD3AD1"/>
    <w:rPr>
      <w:i/>
      <w:iCs/>
    </w:rPr>
  </w:style>
  <w:style w:type="character" w:styleId="HTMLCode">
    <w:name w:val="HTML Code"/>
    <w:basedOn w:val="DefaultParagraphFont"/>
    <w:uiPriority w:val="99"/>
    <w:semiHidden/>
    <w:unhideWhenUsed/>
    <w:rsid w:val="00FD3AD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285</TotalTime>
  <Pages>2</Pages>
  <Words>590</Words>
  <Characters>3368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Raghuram Susarla</dc:creator>
  <cp:keywords/>
  <dc:description/>
  <cp:lastModifiedBy>Raghuram Susarla</cp:lastModifiedBy>
  <cp:revision>1</cp:revision>
  <dcterms:created xsi:type="dcterms:W3CDTF">2026-05-11T07:00:00Z</dcterms:created>
  <dcterms:modified xsi:type="dcterms:W3CDTF">2026-05-11T14:28:00Z</dcterms:modified>
</cp:coreProperties>
</file>