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85" w:rsidRPr="00CD5694" w:rsidRDefault="0045727E" w:rsidP="00CD5694">
      <w:pPr>
        <w:pStyle w:val="Title"/>
        <w:ind w:right="-450"/>
      </w:pPr>
      <w:r>
        <w:rPr>
          <w:rStyle w:val="TitleChar"/>
          <w:sz w:val="36"/>
          <w:szCs w:val="36"/>
        </w:rPr>
        <w:t>Implementing a</w:t>
      </w:r>
      <w:r w:rsidR="00696485" w:rsidRPr="00CD5694">
        <w:rPr>
          <w:rStyle w:val="TitleChar"/>
          <w:sz w:val="36"/>
          <w:szCs w:val="36"/>
        </w:rPr>
        <w:t xml:space="preserve"> </w:t>
      </w:r>
      <w:r>
        <w:rPr>
          <w:rStyle w:val="TitleChar"/>
          <w:sz w:val="36"/>
          <w:szCs w:val="36"/>
        </w:rPr>
        <w:t>smart beta strategy and comparing</w:t>
      </w:r>
      <w:r w:rsidR="00696485" w:rsidRPr="00CD5694">
        <w:rPr>
          <w:rStyle w:val="TitleChar"/>
          <w:sz w:val="36"/>
          <w:szCs w:val="36"/>
        </w:rPr>
        <w:t xml:space="preserve"> it with a benchmark</w:t>
      </w:r>
      <w:r w:rsidR="00696485" w:rsidRPr="00CD5694">
        <w:t xml:space="preserve">  </w:t>
      </w:r>
    </w:p>
    <w:p w:rsidR="004B6388" w:rsidRDefault="009C70B9" w:rsidP="009C70B9">
      <w:pPr>
        <w:pStyle w:val="Heading1"/>
      </w:pPr>
      <w:r>
        <w:t xml:space="preserve">Results of </w:t>
      </w:r>
      <w:r w:rsidR="00696485">
        <w:t>smart beta s</w:t>
      </w:r>
      <w:r w:rsidRPr="009C70B9">
        <w:t>trategy</w:t>
      </w:r>
    </w:p>
    <w:p w:rsidR="009C70B9" w:rsidRDefault="009C70B9" w:rsidP="009C70B9"/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1818"/>
        <w:gridCol w:w="3510"/>
        <w:gridCol w:w="2070"/>
      </w:tblGrid>
      <w:tr w:rsidR="009C70B9" w:rsidTr="009C70B9">
        <w:tc>
          <w:tcPr>
            <w:tcW w:w="1818" w:type="dxa"/>
            <w:shd w:val="clear" w:color="auto" w:fill="E36C0A" w:themeFill="accent6" w:themeFillShade="BF"/>
          </w:tcPr>
          <w:p w:rsidR="009C70B9" w:rsidRPr="009C70B9" w:rsidRDefault="009C70B9" w:rsidP="009C70B9">
            <w:pPr>
              <w:jc w:val="center"/>
              <w:rPr>
                <w:b/>
              </w:rPr>
            </w:pPr>
            <w:r w:rsidRPr="009C70B9">
              <w:rPr>
                <w:b/>
              </w:rPr>
              <w:t>Property</w:t>
            </w:r>
          </w:p>
        </w:tc>
        <w:tc>
          <w:tcPr>
            <w:tcW w:w="3510" w:type="dxa"/>
            <w:shd w:val="clear" w:color="auto" w:fill="E36C0A" w:themeFill="accent6" w:themeFillShade="BF"/>
          </w:tcPr>
          <w:p w:rsidR="009C70B9" w:rsidRPr="009C70B9" w:rsidRDefault="009C70B9" w:rsidP="009C70B9">
            <w:pPr>
              <w:jc w:val="center"/>
              <w:rPr>
                <w:b/>
              </w:rPr>
            </w:pPr>
            <w:r w:rsidRPr="009C70B9">
              <w:rPr>
                <w:b/>
              </w:rPr>
              <w:t>Portfolio with Smart beta strategy</w:t>
            </w:r>
          </w:p>
        </w:tc>
        <w:tc>
          <w:tcPr>
            <w:tcW w:w="2070" w:type="dxa"/>
            <w:shd w:val="clear" w:color="auto" w:fill="E36C0A" w:themeFill="accent6" w:themeFillShade="BF"/>
          </w:tcPr>
          <w:p w:rsidR="009C70B9" w:rsidRPr="009C70B9" w:rsidRDefault="009C70B9" w:rsidP="009C70B9">
            <w:pPr>
              <w:jc w:val="center"/>
              <w:rPr>
                <w:b/>
              </w:rPr>
            </w:pPr>
            <w:r w:rsidRPr="009C70B9">
              <w:rPr>
                <w:b/>
              </w:rPr>
              <w:t>Benchmark (SPDR)</w:t>
            </w:r>
          </w:p>
        </w:tc>
      </w:tr>
      <w:tr w:rsidR="009C70B9" w:rsidTr="009C70B9">
        <w:tc>
          <w:tcPr>
            <w:tcW w:w="1818" w:type="dxa"/>
          </w:tcPr>
          <w:p w:rsidR="009C70B9" w:rsidRDefault="009C70B9" w:rsidP="009C70B9">
            <w:pPr>
              <w:jc w:val="center"/>
            </w:pPr>
            <w:r>
              <w:t>Returns</w:t>
            </w:r>
          </w:p>
        </w:tc>
        <w:tc>
          <w:tcPr>
            <w:tcW w:w="3510" w:type="dxa"/>
          </w:tcPr>
          <w:p w:rsidR="009C70B9" w:rsidRDefault="009C70B9" w:rsidP="009C70B9">
            <w:pPr>
              <w:jc w:val="center"/>
            </w:pPr>
            <w:r>
              <w:t>7.64%</w:t>
            </w:r>
          </w:p>
        </w:tc>
        <w:tc>
          <w:tcPr>
            <w:tcW w:w="2070" w:type="dxa"/>
          </w:tcPr>
          <w:p w:rsidR="009C70B9" w:rsidRDefault="009C70B9" w:rsidP="009C70B9">
            <w:pPr>
              <w:jc w:val="center"/>
            </w:pPr>
            <w:r>
              <w:t>7.21%</w:t>
            </w:r>
          </w:p>
        </w:tc>
      </w:tr>
      <w:tr w:rsidR="009C70B9" w:rsidTr="009C70B9">
        <w:tc>
          <w:tcPr>
            <w:tcW w:w="1818" w:type="dxa"/>
          </w:tcPr>
          <w:p w:rsidR="009C70B9" w:rsidRDefault="009C70B9" w:rsidP="009C70B9">
            <w:pPr>
              <w:jc w:val="center"/>
            </w:pPr>
            <w:r>
              <w:t>Risk</w:t>
            </w:r>
          </w:p>
        </w:tc>
        <w:tc>
          <w:tcPr>
            <w:tcW w:w="3510" w:type="dxa"/>
          </w:tcPr>
          <w:p w:rsidR="009C70B9" w:rsidRDefault="009C70B9" w:rsidP="009C70B9">
            <w:pPr>
              <w:jc w:val="center"/>
            </w:pPr>
            <w:r>
              <w:t>0.4351</w:t>
            </w:r>
          </w:p>
        </w:tc>
        <w:tc>
          <w:tcPr>
            <w:tcW w:w="2070" w:type="dxa"/>
          </w:tcPr>
          <w:p w:rsidR="009C70B9" w:rsidRDefault="009C70B9" w:rsidP="009C70B9">
            <w:pPr>
              <w:jc w:val="center"/>
            </w:pPr>
            <w:r>
              <w:t>0.4584</w:t>
            </w:r>
          </w:p>
        </w:tc>
      </w:tr>
      <w:tr w:rsidR="009C70B9" w:rsidTr="009C70B9">
        <w:tc>
          <w:tcPr>
            <w:tcW w:w="1818" w:type="dxa"/>
          </w:tcPr>
          <w:p w:rsidR="009C70B9" w:rsidRDefault="009C70B9" w:rsidP="009C70B9">
            <w:pPr>
              <w:jc w:val="center"/>
            </w:pPr>
            <w:r>
              <w:t>Sharpe Ratio</w:t>
            </w:r>
          </w:p>
        </w:tc>
        <w:tc>
          <w:tcPr>
            <w:tcW w:w="3510" w:type="dxa"/>
          </w:tcPr>
          <w:p w:rsidR="009C70B9" w:rsidRDefault="009C70B9" w:rsidP="009C70B9">
            <w:pPr>
              <w:jc w:val="center"/>
            </w:pPr>
            <w:r>
              <w:t>0.1515</w:t>
            </w:r>
          </w:p>
        </w:tc>
        <w:tc>
          <w:tcPr>
            <w:tcW w:w="2070" w:type="dxa"/>
          </w:tcPr>
          <w:p w:rsidR="009C70B9" w:rsidRDefault="009C70B9" w:rsidP="009C70B9">
            <w:pPr>
              <w:jc w:val="center"/>
            </w:pPr>
            <w:r>
              <w:t>0.1343</w:t>
            </w:r>
          </w:p>
        </w:tc>
      </w:tr>
    </w:tbl>
    <w:p w:rsidR="009C70B9" w:rsidRDefault="009C70B9" w:rsidP="009C70B9"/>
    <w:p w:rsidR="00FF185D" w:rsidRPr="00696485" w:rsidRDefault="00FF185D" w:rsidP="009C70B9">
      <w:r w:rsidRPr="00696485">
        <w:t>The smart beta strategy which is implemented in this assignment is an equal weightage strategy</w:t>
      </w:r>
      <w:r w:rsidR="009C6264">
        <w:t xml:space="preserve">, i.e., an equal </w:t>
      </w:r>
      <w:r w:rsidRPr="00696485">
        <w:t xml:space="preserve">weight is assigned to all the assets in the portfolio rather than assigning weights with respect to their market capitalization. The benchmark considered here is S&amp;P 500 index, where the weight to each asset in the security is assigned based on </w:t>
      </w:r>
      <w:r w:rsidR="00696485" w:rsidRPr="00696485">
        <w:t xml:space="preserve">its </w:t>
      </w:r>
      <w:r w:rsidRPr="00696485">
        <w:t xml:space="preserve">market capitalization. </w:t>
      </w:r>
    </w:p>
    <w:p w:rsidR="00696485" w:rsidRPr="00696485" w:rsidRDefault="00FF185D" w:rsidP="009C70B9">
      <w:r w:rsidRPr="00696485">
        <w:t xml:space="preserve">The results above show that when 100 USD </w:t>
      </w:r>
      <w:r w:rsidR="00696485" w:rsidRPr="00696485">
        <w:t>is</w:t>
      </w:r>
      <w:r w:rsidRPr="00696485">
        <w:t xml:space="preserve"> invested in the smart beta strategy and in the S&amp;P 500 index, the smart beta strategy earns more return with less risk compared to the benchmark.</w:t>
      </w:r>
    </w:p>
    <w:p w:rsidR="00696485" w:rsidRPr="00696485" w:rsidRDefault="00696485" w:rsidP="009C70B9">
      <w:r w:rsidRPr="00696485">
        <w:t>The</w:t>
      </w:r>
      <w:r>
        <w:t xml:space="preserve"> higher the S</w:t>
      </w:r>
      <w:r w:rsidRPr="00696485">
        <w:t xml:space="preserve">harpe ratio indicates </w:t>
      </w:r>
      <w:r w:rsidRPr="00696485">
        <w:rPr>
          <w:rFonts w:cs="Arial"/>
          <w:color w:val="222222"/>
          <w:shd w:val="clear" w:color="auto" w:fill="FFFFFF"/>
        </w:rPr>
        <w:t>the better a portfolio’s returns have been relative to the risk it has taken on, compared to the benchmark.</w:t>
      </w:r>
    </w:p>
    <w:p w:rsidR="009C70B9" w:rsidRDefault="00696485" w:rsidP="009C70B9">
      <w:pPr>
        <w:pStyle w:val="Heading1"/>
      </w:pPr>
      <w:r>
        <w:t>Smart beta strategy pros and c</w:t>
      </w:r>
      <w:r w:rsidR="009C6264">
        <w:t>ons</w:t>
      </w:r>
    </w:p>
    <w:p w:rsidR="009C6264" w:rsidRPr="009C6264" w:rsidRDefault="009C6264" w:rsidP="009C6264">
      <w:pPr>
        <w:pStyle w:val="Heading3"/>
      </w:pPr>
      <w:r>
        <w:t>Pros:</w:t>
      </w:r>
    </w:p>
    <w:p w:rsidR="009C6264" w:rsidRDefault="009C6264" w:rsidP="009C6264">
      <w:pPr>
        <w:pStyle w:val="ListParagraph"/>
        <w:numPr>
          <w:ilvl w:val="0"/>
          <w:numId w:val="1"/>
        </w:numPr>
      </w:pPr>
      <w:r>
        <w:t>Because of the equal weightage given to all the securities, the portfolio reduce</w:t>
      </w:r>
      <w:r w:rsidR="002A2C17">
        <w:t>s</w:t>
      </w:r>
      <w:bookmarkStart w:id="0" w:name="_GoBack"/>
      <w:bookmarkEnd w:id="0"/>
      <w:r>
        <w:t xml:space="preserve"> the over exposure of the largest market cap securities which are present in the index.</w:t>
      </w:r>
    </w:p>
    <w:p w:rsidR="009C6264" w:rsidRDefault="004A6573" w:rsidP="004A6573">
      <w:pPr>
        <w:pStyle w:val="ListParagraph"/>
        <w:numPr>
          <w:ilvl w:val="0"/>
          <w:numId w:val="1"/>
        </w:numPr>
      </w:pPr>
      <w:r>
        <w:t>Broadens the portfolio risk</w:t>
      </w:r>
    </w:p>
    <w:p w:rsidR="009C6264" w:rsidRDefault="009C6264" w:rsidP="009C6264">
      <w:pPr>
        <w:pStyle w:val="Heading3"/>
      </w:pPr>
      <w:r>
        <w:t>Cons:</w:t>
      </w:r>
    </w:p>
    <w:p w:rsidR="009C6264" w:rsidRDefault="009C6264" w:rsidP="009C6264">
      <w:pPr>
        <w:pStyle w:val="ListParagraph"/>
        <w:numPr>
          <w:ilvl w:val="0"/>
          <w:numId w:val="2"/>
        </w:numPr>
      </w:pPr>
      <w:r>
        <w:t>The relative performance of the equally weighted portfolio de</w:t>
      </w:r>
      <w:r w:rsidR="00743810">
        <w:t xml:space="preserve">pends on the performance of </w:t>
      </w:r>
      <w:r w:rsidR="004A6573">
        <w:t>its largest components.</w:t>
      </w:r>
    </w:p>
    <w:p w:rsidR="004A6573" w:rsidRPr="009C6264" w:rsidRDefault="004A6573" w:rsidP="004A6573">
      <w:pPr>
        <w:ind w:left="360"/>
      </w:pPr>
    </w:p>
    <w:sectPr w:rsidR="004A6573" w:rsidRPr="009C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95629"/>
    <w:multiLevelType w:val="hybridMultilevel"/>
    <w:tmpl w:val="0318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707B5"/>
    <w:multiLevelType w:val="hybridMultilevel"/>
    <w:tmpl w:val="D0EC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0B9"/>
    <w:rsid w:val="002A2C17"/>
    <w:rsid w:val="0045727E"/>
    <w:rsid w:val="00476B52"/>
    <w:rsid w:val="004A6573"/>
    <w:rsid w:val="00551A4C"/>
    <w:rsid w:val="00696485"/>
    <w:rsid w:val="00743810"/>
    <w:rsid w:val="009C6264"/>
    <w:rsid w:val="009C70B9"/>
    <w:rsid w:val="00B84550"/>
    <w:rsid w:val="00CD569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2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C70B9"/>
    <w:pPr>
      <w:spacing w:after="0" w:line="240" w:lineRule="auto"/>
    </w:pPr>
  </w:style>
  <w:style w:type="table" w:styleId="TableGrid">
    <w:name w:val="Table Grid"/>
    <w:basedOn w:val="TableNormal"/>
    <w:uiPriority w:val="59"/>
    <w:rsid w:val="009C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6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62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62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2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C70B9"/>
    <w:pPr>
      <w:spacing w:after="0" w:line="240" w:lineRule="auto"/>
    </w:pPr>
  </w:style>
  <w:style w:type="table" w:styleId="TableGrid">
    <w:name w:val="Table Grid"/>
    <w:basedOn w:val="TableNormal"/>
    <w:uiPriority w:val="59"/>
    <w:rsid w:val="009C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96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6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62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6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62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HedgeIt</dc:creator>
  <cp:lastModifiedBy>HedgeIt</cp:lastModifiedBy>
  <cp:revision>24</cp:revision>
  <dcterms:created xsi:type="dcterms:W3CDTF">2017-11-11T22:02:00Z</dcterms:created>
  <dcterms:modified xsi:type="dcterms:W3CDTF">2017-11-12T14:46:00Z</dcterms:modified>
</cp:coreProperties>
</file>