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34441" w14:textId="77777777" w:rsidR="009D451E" w:rsidRDefault="00000000">
      <w:pPr>
        <w:spacing w:after="40"/>
      </w:pPr>
      <w:r>
        <w:rPr>
          <w:rFonts w:ascii="Arial" w:hAnsi="Arial"/>
          <w:b/>
          <w:color w:val="1E3A8A"/>
          <w:sz w:val="36"/>
        </w:rPr>
        <w:t>CapitalX: Portfolio Optimization &amp; Risk Intelligence Platform</w:t>
      </w:r>
    </w:p>
    <w:p w14:paraId="0E4E2757" w14:textId="77777777" w:rsidR="009D451E" w:rsidRDefault="00000000">
      <w:pPr>
        <w:spacing w:after="280"/>
      </w:pPr>
      <w:r>
        <w:rPr>
          <w:rFonts w:ascii="Arial" w:hAnsi="Arial"/>
          <w:i/>
          <w:color w:val="2563EB"/>
          <w:sz w:val="21"/>
        </w:rPr>
        <w:t>Hackathon Idea Submission | Track: Fintech &amp; AI</w:t>
      </w:r>
    </w:p>
    <w:p w14:paraId="6747FCA6" w14:textId="77777777" w:rsidR="009D451E" w:rsidRDefault="00000000">
      <w:pPr>
        <w:pBdr>
          <w:bottom w:val="single" w:sz="8" w:space="4" w:color="CBD5E1"/>
        </w:pBdr>
        <w:spacing w:before="280" w:after="80"/>
      </w:pPr>
      <w:r>
        <w:rPr>
          <w:rFonts w:ascii="Arial" w:hAnsi="Arial"/>
          <w:b/>
          <w:color w:val="1E3A8A"/>
          <w:sz w:val="26"/>
        </w:rPr>
        <w:t>1. Problem Statement</w:t>
      </w:r>
    </w:p>
    <w:p w14:paraId="6678F515" w14:textId="77777777" w:rsidR="00EF2C8E" w:rsidRDefault="00EF2C8E">
      <w:pPr>
        <w:pBdr>
          <w:bottom w:val="single" w:sz="8" w:space="4" w:color="CBD5E1"/>
        </w:pBdr>
        <w:spacing w:before="280" w:after="80"/>
        <w:rPr>
          <w:rFonts w:ascii="Arial" w:hAnsi="Arial"/>
          <w:color w:val="1F2937"/>
          <w:sz w:val="20"/>
        </w:rPr>
      </w:pPr>
      <w:r w:rsidRPr="00EF2C8E">
        <w:rPr>
          <w:rFonts w:ascii="Arial" w:hAnsi="Arial"/>
          <w:color w:val="1F2937"/>
          <w:sz w:val="20"/>
        </w:rPr>
        <w:t>When we analyzed the behavior of individual investors, we identified the key challenge - investors buy 5-6 popular stocks (e.g., Apple, Microsoft, Nvidia, Google, Amazon), thinking that the diversity in their portfolio is sufficient. However, in reality, those assets are highly correlated and drop simultaneously on market turmoil. A similar situation happens when a technology sector faces headwinds - a diversified technology portfolio underperforms severely due to a lack of dispersion. At the same time, the tools for portfolio analysis are not suitable for an average investor, while our website directly answers questions that every retail investor asks themselves: 'How risky is my portfolio? what percentage of each stock I should buy?', and 'what trades I can make right now'. The tool called CapitalX was created to bridge the gap between institutional quantitative portfolio optimization and individual investors.</w:t>
      </w:r>
    </w:p>
    <w:p w14:paraId="16899B9C" w14:textId="03581DB9" w:rsidR="009D451E" w:rsidRDefault="00000000">
      <w:pPr>
        <w:pBdr>
          <w:bottom w:val="single" w:sz="8" w:space="4" w:color="CBD5E1"/>
        </w:pBdr>
        <w:spacing w:before="280" w:after="80"/>
      </w:pPr>
      <w:r>
        <w:rPr>
          <w:rFonts w:ascii="Arial" w:hAnsi="Arial"/>
          <w:b/>
          <w:color w:val="1E3A8A"/>
          <w:sz w:val="26"/>
        </w:rPr>
        <w:t>2. Proposed Solution</w:t>
      </w:r>
    </w:p>
    <w:p w14:paraId="38235E94" w14:textId="3C6FD16C" w:rsidR="009D451E" w:rsidRDefault="005652BC">
      <w:pPr>
        <w:spacing w:after="120"/>
      </w:pPr>
      <w:r w:rsidRPr="005652BC">
        <w:rPr>
          <w:rFonts w:ascii="Arial" w:hAnsi="Arial"/>
          <w:color w:val="1F2937"/>
          <w:sz w:val="20"/>
        </w:rPr>
        <w:t>CapitalX is an innovative web platform where users can interactively test and optimize their investment portfolios. The application consists of two major parts: a quantitative engine that performs all calculations and an intelligent interface that helps users interact with the results. Here's the detail of what our solution can do right now</w:t>
      </w:r>
      <w:r>
        <w:rPr>
          <w:rFonts w:ascii="Arial" w:hAnsi="Arial"/>
          <w:color w:val="1F2937"/>
          <w:sz w:val="20"/>
        </w:rPr>
        <w:t>.</w:t>
      </w:r>
    </w:p>
    <w:p w14:paraId="3FF0225E" w14:textId="77777777" w:rsidR="009D451E" w:rsidRDefault="00000000">
      <w:pPr>
        <w:spacing w:after="120"/>
      </w:pPr>
      <w:r>
        <w:rPr>
          <w:rFonts w:ascii="Arial" w:hAnsi="Arial"/>
          <w:color w:val="1F2937"/>
          <w:sz w:val="20"/>
        </w:rPr>
        <w:t>Core Quantitative Engine (The Foundation):</w:t>
      </w:r>
    </w:p>
    <w:p w14:paraId="7A633860" w14:textId="77777777" w:rsidR="009D451E" w:rsidRDefault="00000000">
      <w:pPr>
        <w:pStyle w:val="ListBullet"/>
        <w:spacing w:after="80"/>
      </w:pPr>
      <w:r>
        <w:rPr>
          <w:rFonts w:ascii="Arial" w:hAnsi="Arial"/>
          <w:b/>
          <w:color w:val="1F2937"/>
          <w:sz w:val="20"/>
        </w:rPr>
        <w:t xml:space="preserve">Market Data Ingestion: </w:t>
      </w:r>
      <w:r>
        <w:rPr>
          <w:rFonts w:ascii="Arial" w:hAnsi="Arial"/>
          <w:color w:val="1F2937"/>
          <w:sz w:val="20"/>
        </w:rPr>
        <w:t>The user inputs any set of stock tickers, current portfolio weights, and a historical lookback period (1 to 5 years). The engine downloads adjusted daily closing prices from Yahoo Finance and calculates continuous daily log returns.</w:t>
      </w:r>
    </w:p>
    <w:p w14:paraId="4B76BEF9" w14:textId="042618BF" w:rsidR="009D451E" w:rsidRDefault="00000000">
      <w:pPr>
        <w:pStyle w:val="ListBullet"/>
        <w:spacing w:after="80"/>
      </w:pPr>
      <w:r>
        <w:rPr>
          <w:rFonts w:ascii="Arial" w:hAnsi="Arial"/>
          <w:b/>
          <w:color w:val="1F2937"/>
          <w:sz w:val="20"/>
        </w:rPr>
        <w:t xml:space="preserve">Statistical Analysis: </w:t>
      </w:r>
      <w:r w:rsidR="00E418B0" w:rsidRPr="00E418B0">
        <w:rPr>
          <w:rFonts w:ascii="Arial" w:hAnsi="Arial"/>
          <w:color w:val="1F2937"/>
          <w:sz w:val="20"/>
        </w:rPr>
        <w:t>We then estimate the expected return of each asset, its volatility, and Pearson's correlation matrix</w:t>
      </w:r>
      <w:r w:rsidR="00E418B0">
        <w:rPr>
          <w:rFonts w:ascii="Arial" w:hAnsi="Arial"/>
          <w:color w:val="1F2937"/>
          <w:sz w:val="20"/>
        </w:rPr>
        <w:t xml:space="preserve"> </w:t>
      </w:r>
      <w:r>
        <w:rPr>
          <w:rFonts w:ascii="Arial" w:hAnsi="Arial"/>
          <w:color w:val="1F2937"/>
          <w:sz w:val="20"/>
        </w:rPr>
        <w:t>to reveal which assets are secretly moving together.</w:t>
      </w:r>
    </w:p>
    <w:p w14:paraId="2589394A" w14:textId="77777777" w:rsidR="009D451E" w:rsidRDefault="00000000">
      <w:pPr>
        <w:pStyle w:val="ListBullet"/>
        <w:spacing w:after="80"/>
      </w:pPr>
      <w:r>
        <w:rPr>
          <w:rFonts w:ascii="Arial" w:hAnsi="Arial"/>
          <w:b/>
          <w:color w:val="1F2937"/>
          <w:sz w:val="20"/>
        </w:rPr>
        <w:t xml:space="preserve">Covariance Matrix Estimation: </w:t>
      </w:r>
      <w:r>
        <w:rPr>
          <w:rFonts w:ascii="Arial" w:hAnsi="Arial"/>
          <w:color w:val="1F2937"/>
          <w:sz w:val="20"/>
        </w:rPr>
        <w:t>Uses Ledoit-Wolf shrinkage to condition the covariance matrix against sample noise and clips eigenvalues to ensure the matrix remains positive semi-definite.</w:t>
      </w:r>
    </w:p>
    <w:p w14:paraId="42EE589F" w14:textId="77777777" w:rsidR="00E418B0" w:rsidRPr="00E418B0" w:rsidRDefault="00000000" w:rsidP="00E418B0">
      <w:pPr>
        <w:pStyle w:val="ListBullet"/>
        <w:spacing w:after="80"/>
      </w:pPr>
      <w:r w:rsidRPr="00E418B0">
        <w:rPr>
          <w:rFonts w:ascii="Arial" w:hAnsi="Arial"/>
          <w:b/>
          <w:color w:val="1F2937"/>
          <w:sz w:val="20"/>
        </w:rPr>
        <w:t xml:space="preserve">Mean-Variance Portfolio Optimization: </w:t>
      </w:r>
      <w:r w:rsidR="00E418B0" w:rsidRPr="00E418B0">
        <w:rPr>
          <w:rFonts w:ascii="Arial" w:hAnsi="Arial"/>
          <w:color w:val="1F2937"/>
          <w:sz w:val="20"/>
        </w:rPr>
        <w:t xml:space="preserve">We perform a mean-variance optimization to find the exact allocation for two model portfolios: </w:t>
      </w:r>
    </w:p>
    <w:p w14:paraId="14B8BCB3" w14:textId="77777777" w:rsidR="00E418B0" w:rsidRPr="00E418B0" w:rsidRDefault="00E418B0" w:rsidP="00E418B0">
      <w:pPr>
        <w:pStyle w:val="ListBullet"/>
        <w:numPr>
          <w:ilvl w:val="0"/>
          <w:numId w:val="0"/>
        </w:numPr>
        <w:spacing w:after="80"/>
        <w:ind w:left="360"/>
      </w:pPr>
      <w:r w:rsidRPr="00E418B0">
        <w:rPr>
          <w:rFonts w:ascii="Arial" w:hAnsi="Arial"/>
          <w:color w:val="1F2937"/>
          <w:sz w:val="20"/>
        </w:rPr>
        <w:t xml:space="preserve">1) Global Minimum Volatility (GMV) portfolio that has the lowest risk, and </w:t>
      </w:r>
    </w:p>
    <w:p w14:paraId="426E0E14" w14:textId="77777777" w:rsidR="00E418B0" w:rsidRDefault="00E418B0" w:rsidP="00E418B0">
      <w:pPr>
        <w:pStyle w:val="ListBullet"/>
        <w:numPr>
          <w:ilvl w:val="0"/>
          <w:numId w:val="0"/>
        </w:numPr>
        <w:spacing w:after="80"/>
        <w:ind w:left="360"/>
        <w:rPr>
          <w:rFonts w:ascii="Arial" w:hAnsi="Arial"/>
          <w:color w:val="1F2937"/>
          <w:sz w:val="20"/>
        </w:rPr>
      </w:pPr>
      <w:r w:rsidRPr="00E418B0">
        <w:rPr>
          <w:rFonts w:ascii="Arial" w:hAnsi="Arial"/>
          <w:color w:val="1F2937"/>
          <w:sz w:val="20"/>
        </w:rPr>
        <w:t xml:space="preserve">2) Maximum-Sharp ratio (Tangency) portfolio that maximizes the ratio of excess return per unit of volatility. </w:t>
      </w:r>
    </w:p>
    <w:p w14:paraId="4CE9376D" w14:textId="0E2BD3EE" w:rsidR="009D451E" w:rsidRDefault="00E418B0" w:rsidP="00E418B0">
      <w:pPr>
        <w:pStyle w:val="ListBullet"/>
        <w:numPr>
          <w:ilvl w:val="0"/>
          <w:numId w:val="0"/>
        </w:numPr>
        <w:spacing w:after="80"/>
        <w:ind w:left="360"/>
      </w:pPr>
      <w:r w:rsidRPr="00E418B0">
        <w:rPr>
          <w:rFonts w:ascii="Arial" w:hAnsi="Arial"/>
          <w:color w:val="1F2937"/>
          <w:sz w:val="20"/>
        </w:rPr>
        <w:t xml:space="preserve">To find those allocations, we use numerical quadratic programming (SciPy SLSQP, CVXPY) to find the minimum of a convex </w:t>
      </w:r>
      <w:proofErr w:type="spellStart"/>
      <w:r w:rsidRPr="00E418B0">
        <w:rPr>
          <w:rFonts w:ascii="Arial" w:hAnsi="Arial"/>
          <w:color w:val="1F2937"/>
          <w:sz w:val="20"/>
        </w:rPr>
        <w:t>function.</w:t>
      </w:r>
      <w:r w:rsidR="00000000" w:rsidRPr="00E418B0">
        <w:rPr>
          <w:rFonts w:ascii="Arial" w:hAnsi="Arial"/>
          <w:b/>
          <w:color w:val="1F2937"/>
          <w:sz w:val="20"/>
        </w:rPr>
        <w:t>Markowitz</w:t>
      </w:r>
      <w:proofErr w:type="spellEnd"/>
      <w:r w:rsidR="00000000" w:rsidRPr="00E418B0">
        <w:rPr>
          <w:rFonts w:ascii="Arial" w:hAnsi="Arial"/>
          <w:b/>
          <w:color w:val="1F2937"/>
          <w:sz w:val="20"/>
        </w:rPr>
        <w:t xml:space="preserve"> Efficient Frontier: </w:t>
      </w:r>
      <w:r w:rsidR="00000000" w:rsidRPr="00E418B0">
        <w:rPr>
          <w:rFonts w:ascii="Arial" w:hAnsi="Arial"/>
          <w:color w:val="1F2937"/>
          <w:sz w:val="20"/>
        </w:rPr>
        <w:t>Generates and plots the complete Efficient Frontier curve by sweeping across target returns, showing the user exactly where their current portfolio sits compared to optimal portfolios.</w:t>
      </w:r>
    </w:p>
    <w:p w14:paraId="44A9E5D1" w14:textId="77777777" w:rsidR="00E418B0" w:rsidRPr="00E418B0" w:rsidRDefault="00000000" w:rsidP="00E418B0">
      <w:pPr>
        <w:pStyle w:val="ListBullet"/>
        <w:spacing w:after="120"/>
      </w:pPr>
      <w:r w:rsidRPr="00E418B0">
        <w:rPr>
          <w:rFonts w:ascii="Arial" w:hAnsi="Arial"/>
          <w:b/>
          <w:color w:val="1F2937"/>
          <w:sz w:val="20"/>
        </w:rPr>
        <w:t xml:space="preserve">Rebalancing &amp; Trade Recommendations: </w:t>
      </w:r>
      <w:r w:rsidR="00E418B0" w:rsidRPr="00E418B0">
        <w:rPr>
          <w:rFonts w:ascii="Arial" w:hAnsi="Arial"/>
          <w:color w:val="1F2937"/>
          <w:sz w:val="20"/>
        </w:rPr>
        <w:t>We compare the user portfolio against the tangency portfolio and show the recommended trades in the table below showing the percent change for each asset that should be bought, sold, or held.</w:t>
      </w:r>
      <w:r w:rsidR="00E418B0">
        <w:rPr>
          <w:rFonts w:ascii="Arial" w:hAnsi="Arial"/>
          <w:color w:val="1F2937"/>
          <w:sz w:val="20"/>
        </w:rPr>
        <w:t xml:space="preserve">                                                                                      </w:t>
      </w:r>
    </w:p>
    <w:p w14:paraId="3C720CD7" w14:textId="77777777" w:rsidR="00E418B0" w:rsidRPr="00E418B0" w:rsidRDefault="00E418B0" w:rsidP="00E418B0">
      <w:pPr>
        <w:pStyle w:val="ListBullet"/>
        <w:numPr>
          <w:ilvl w:val="0"/>
          <w:numId w:val="0"/>
        </w:numPr>
        <w:spacing w:after="120"/>
        <w:ind w:left="360"/>
      </w:pPr>
    </w:p>
    <w:p w14:paraId="62A84506" w14:textId="44E2660E" w:rsidR="009D451E" w:rsidRPr="00E418B0" w:rsidRDefault="00E418B0" w:rsidP="00E418B0">
      <w:pPr>
        <w:pStyle w:val="ListBullet"/>
        <w:spacing w:after="120"/>
        <w:rPr>
          <w:b/>
          <w:bCs/>
        </w:rPr>
      </w:pPr>
      <w:r w:rsidRPr="00E418B0">
        <w:rPr>
          <w:rFonts w:ascii="Arial" w:hAnsi="Arial"/>
          <w:b/>
          <w:bCs/>
          <w:color w:val="1F2937"/>
          <w:sz w:val="20"/>
        </w:rPr>
        <w:t>Intelligence &amp; Decision-Support Layer (The Soul)</w:t>
      </w:r>
    </w:p>
    <w:p w14:paraId="6C6CD822" w14:textId="77777777" w:rsidR="009D451E" w:rsidRDefault="00000000">
      <w:pPr>
        <w:pStyle w:val="ListBullet"/>
        <w:spacing w:after="80"/>
      </w:pPr>
      <w:r>
        <w:rPr>
          <w:rFonts w:ascii="Arial" w:hAnsi="Arial"/>
          <w:b/>
          <w:color w:val="1F2937"/>
          <w:sz w:val="20"/>
        </w:rPr>
        <w:lastRenderedPageBreak/>
        <w:t xml:space="preserve">Portfolio Health Score (0-100): </w:t>
      </w:r>
      <w:r>
        <w:rPr>
          <w:rFonts w:ascii="Arial" w:hAnsi="Arial"/>
          <w:color w:val="1F2937"/>
          <w:sz w:val="20"/>
        </w:rPr>
        <w:t>Combines diversification, Sharpe efficiency, volatility discipline, and tail-risk into a single intuitive health grade (A+ to F).</w:t>
      </w:r>
    </w:p>
    <w:p w14:paraId="26AC9234" w14:textId="77777777" w:rsidR="009D451E" w:rsidRDefault="00000000">
      <w:pPr>
        <w:pStyle w:val="ListBullet"/>
        <w:spacing w:after="80"/>
      </w:pPr>
      <w:r>
        <w:rPr>
          <w:rFonts w:ascii="Arial" w:hAnsi="Arial"/>
          <w:b/>
          <w:color w:val="1F2937"/>
          <w:sz w:val="20"/>
        </w:rPr>
        <w:t>Spectral Effective Bets (</w:t>
      </w:r>
      <w:proofErr w:type="spellStart"/>
      <w:r>
        <w:rPr>
          <w:rFonts w:ascii="Arial" w:hAnsi="Arial"/>
          <w:b/>
          <w:color w:val="1F2937"/>
          <w:sz w:val="20"/>
        </w:rPr>
        <w:t>N_eff</w:t>
      </w:r>
      <w:proofErr w:type="spellEnd"/>
      <w:r>
        <w:rPr>
          <w:rFonts w:ascii="Arial" w:hAnsi="Arial"/>
          <w:b/>
          <w:color w:val="1F2937"/>
          <w:sz w:val="20"/>
        </w:rPr>
        <w:t xml:space="preserve">): </w:t>
      </w:r>
      <w:r>
        <w:rPr>
          <w:rFonts w:ascii="Arial" w:hAnsi="Arial"/>
          <w:color w:val="1F2937"/>
          <w:sz w:val="20"/>
        </w:rPr>
        <w:t>Uses Shannon entropy on correlation eigenvalues to show true diversification. If an investor holds 5 tech stocks, it reveals they mathematically only have ~1.3 independent bets.</w:t>
      </w:r>
    </w:p>
    <w:p w14:paraId="4571A67D" w14:textId="77777777" w:rsidR="009D451E" w:rsidRDefault="00000000">
      <w:pPr>
        <w:pStyle w:val="ListBullet"/>
        <w:spacing w:after="80"/>
      </w:pPr>
      <w:r>
        <w:rPr>
          <w:rFonts w:ascii="Arial" w:hAnsi="Arial"/>
          <w:b/>
          <w:color w:val="1F2937"/>
          <w:sz w:val="20"/>
        </w:rPr>
        <w:t xml:space="preserve">Plain-English AI Commentary: </w:t>
      </w:r>
      <w:r>
        <w:rPr>
          <w:rFonts w:ascii="Arial" w:hAnsi="Arial"/>
          <w:color w:val="1F2937"/>
          <w:sz w:val="20"/>
        </w:rPr>
        <w:t>Translates mathematical results into a readable summary explaining risk blindspots and rebalancing logic, with an optional 'Roast My Portfolio' mode that points out common retail investing mistakes.</w:t>
      </w:r>
    </w:p>
    <w:p w14:paraId="3317D536" w14:textId="385714C6" w:rsidR="002F05A9" w:rsidRPr="002F05A9" w:rsidRDefault="002F05A9">
      <w:pPr>
        <w:pStyle w:val="ListBullet"/>
        <w:spacing w:after="80"/>
      </w:pPr>
      <w:r w:rsidRPr="002F05A9">
        <w:rPr>
          <w:rFonts w:ascii="Arial" w:hAnsi="Arial"/>
          <w:b/>
          <w:color w:val="1F2937"/>
          <w:sz w:val="20"/>
        </w:rPr>
        <w:t>1-Click Crisis Simulator</w:t>
      </w:r>
      <w:r>
        <w:rPr>
          <w:rFonts w:ascii="Arial" w:hAnsi="Arial"/>
          <w:b/>
          <w:color w:val="1F2937"/>
          <w:sz w:val="20"/>
        </w:rPr>
        <w:t>:</w:t>
      </w:r>
      <w:r w:rsidRPr="002F05A9">
        <w:rPr>
          <w:rFonts w:ascii="Arial" w:hAnsi="Arial"/>
          <w:b/>
          <w:color w:val="1F2937"/>
          <w:sz w:val="20"/>
        </w:rPr>
        <w:t xml:space="preserve"> </w:t>
      </w:r>
      <w:r w:rsidRPr="002F05A9">
        <w:rPr>
          <w:rFonts w:ascii="Arial" w:hAnsi="Arial"/>
          <w:bCs/>
          <w:color w:val="1F2937"/>
          <w:sz w:val="20"/>
        </w:rPr>
        <w:t>shows portfolio drawdowns during the COVID-2020 crash, the 2022 Fed tightening cycle, and the 2008 financial crisis.</w:t>
      </w:r>
    </w:p>
    <w:p w14:paraId="595C0E5F" w14:textId="0E67411E" w:rsidR="002F05A9" w:rsidRPr="002F05A9" w:rsidRDefault="00000000" w:rsidP="002F05A9">
      <w:pPr>
        <w:pStyle w:val="ListBullet"/>
        <w:spacing w:after="80"/>
      </w:pPr>
      <w:r w:rsidRPr="002F05A9">
        <w:rPr>
          <w:rFonts w:ascii="Arial" w:hAnsi="Arial"/>
          <w:b/>
          <w:color w:val="1F2937"/>
          <w:sz w:val="20"/>
        </w:rPr>
        <w:t xml:space="preserve"> 'What-If' Sandbox: </w:t>
      </w:r>
      <w:r w:rsidR="002F05A9">
        <w:rPr>
          <w:rFonts w:ascii="Arial" w:hAnsi="Arial"/>
          <w:color w:val="1F2937"/>
          <w:sz w:val="20"/>
        </w:rPr>
        <w:t>A</w:t>
      </w:r>
      <w:r w:rsidR="002F05A9" w:rsidRPr="002F05A9">
        <w:rPr>
          <w:rFonts w:ascii="Arial" w:hAnsi="Arial"/>
          <w:color w:val="1F2937"/>
          <w:sz w:val="20"/>
        </w:rPr>
        <w:t>llows the user to test their portfolio against new assets (Gold, US-Treasury, Cash) with no extra charges.</w:t>
      </w:r>
    </w:p>
    <w:p w14:paraId="5F3E46F2" w14:textId="0FCD7DB4" w:rsidR="009D451E" w:rsidRDefault="00000000" w:rsidP="002F05A9">
      <w:pPr>
        <w:pStyle w:val="ListBullet"/>
        <w:spacing w:after="80"/>
      </w:pPr>
      <w:r w:rsidRPr="002F05A9">
        <w:rPr>
          <w:rFonts w:ascii="Arial" w:hAnsi="Arial"/>
          <w:b/>
          <w:color w:val="1F2937"/>
          <w:sz w:val="20"/>
        </w:rPr>
        <w:t xml:space="preserve">1-Click Institutional Tear Sheet: </w:t>
      </w:r>
      <w:r w:rsidRPr="002F05A9">
        <w:rPr>
          <w:rFonts w:ascii="Arial" w:hAnsi="Arial"/>
          <w:color w:val="1F2937"/>
          <w:sz w:val="20"/>
        </w:rPr>
        <w:t>Allows users to export a clean, printable 1-page investment summary PDF.</w:t>
      </w:r>
    </w:p>
    <w:p w14:paraId="7334A7EC" w14:textId="77777777" w:rsidR="009D451E" w:rsidRDefault="00000000">
      <w:pPr>
        <w:pBdr>
          <w:bottom w:val="single" w:sz="8" w:space="4" w:color="CBD5E1"/>
        </w:pBdr>
        <w:spacing w:before="280" w:after="80"/>
      </w:pPr>
      <w:r>
        <w:rPr>
          <w:rFonts w:ascii="Arial" w:hAnsi="Arial"/>
          <w:b/>
          <w:color w:val="1E3A8A"/>
          <w:sz w:val="26"/>
        </w:rPr>
        <w:t>3. Technology &amp; Architecture</w:t>
      </w:r>
    </w:p>
    <w:p w14:paraId="461B0C29" w14:textId="77777777" w:rsidR="009D451E" w:rsidRDefault="00000000">
      <w:pPr>
        <w:pStyle w:val="ListBullet"/>
        <w:spacing w:after="80"/>
      </w:pPr>
      <w:r>
        <w:rPr>
          <w:rFonts w:ascii="Arial" w:hAnsi="Arial"/>
          <w:b/>
          <w:color w:val="1F2937"/>
          <w:sz w:val="20"/>
        </w:rPr>
        <w:t xml:space="preserve">Backend Framework: </w:t>
      </w:r>
      <w:r>
        <w:rPr>
          <w:rFonts w:ascii="Arial" w:hAnsi="Arial"/>
          <w:color w:val="1F2937"/>
          <w:sz w:val="20"/>
        </w:rPr>
        <w:t>Python 3.11 with FastAPI. Handles asynchronous API requests with sub-second response times.</w:t>
      </w:r>
    </w:p>
    <w:p w14:paraId="16AE4B73" w14:textId="77777777" w:rsidR="009D451E" w:rsidRDefault="00000000">
      <w:pPr>
        <w:pStyle w:val="ListBullet"/>
        <w:spacing w:after="80"/>
      </w:pPr>
      <w:r>
        <w:rPr>
          <w:rFonts w:ascii="Arial" w:hAnsi="Arial"/>
          <w:b/>
          <w:color w:val="1F2937"/>
          <w:sz w:val="20"/>
        </w:rPr>
        <w:t xml:space="preserve">Quantitative Libraries: </w:t>
      </w:r>
      <w:r>
        <w:rPr>
          <w:rFonts w:ascii="Arial" w:hAnsi="Arial"/>
          <w:color w:val="1F2937"/>
          <w:sz w:val="20"/>
        </w:rPr>
        <w:t>NumPy and Pandas for fast return series manipulation. SciPy and CVXPY for quadratic optimization solvers (SLSQP, OSQP, Clarabel) with multi-tier fallbacks to prevent optimization failures.</w:t>
      </w:r>
    </w:p>
    <w:p w14:paraId="37914A5A" w14:textId="77777777" w:rsidR="009D451E" w:rsidRDefault="00000000">
      <w:pPr>
        <w:pStyle w:val="ListBullet"/>
        <w:spacing w:after="80"/>
      </w:pPr>
      <w:r>
        <w:rPr>
          <w:rFonts w:ascii="Arial" w:hAnsi="Arial"/>
          <w:b/>
          <w:color w:val="1F2937"/>
          <w:sz w:val="20"/>
        </w:rPr>
        <w:t xml:space="preserve">Data Pipeline: </w:t>
      </w:r>
      <w:r>
        <w:rPr>
          <w:rFonts w:ascii="Arial" w:hAnsi="Arial"/>
          <w:color w:val="1F2937"/>
          <w:sz w:val="20"/>
        </w:rPr>
        <w:t>yfinance integration with thread-safe in-memory caching to minimize redundant external API calls.</w:t>
      </w:r>
    </w:p>
    <w:p w14:paraId="5BDE34C9" w14:textId="77777777" w:rsidR="009D451E" w:rsidRDefault="00000000">
      <w:pPr>
        <w:pStyle w:val="ListBullet"/>
        <w:spacing w:after="80"/>
      </w:pPr>
      <w:r>
        <w:rPr>
          <w:rFonts w:ascii="Arial" w:hAnsi="Arial"/>
          <w:b/>
          <w:color w:val="1F2937"/>
          <w:sz w:val="20"/>
        </w:rPr>
        <w:t xml:space="preserve">Frontend Stack: </w:t>
      </w:r>
      <w:r>
        <w:rPr>
          <w:rFonts w:ascii="Arial" w:hAnsi="Arial"/>
          <w:color w:val="1F2937"/>
          <w:sz w:val="20"/>
        </w:rPr>
        <w:t>Vanilla modern JavaScript (ES6+ modules), HTML5, and CSS3. We avoided heavy frontend frameworks like React to keep bundle size near zero and ensure fast load times.</w:t>
      </w:r>
    </w:p>
    <w:p w14:paraId="769BF7E8" w14:textId="77777777" w:rsidR="009D451E" w:rsidRDefault="00000000">
      <w:pPr>
        <w:pStyle w:val="ListBullet"/>
        <w:spacing w:after="80"/>
      </w:pPr>
      <w:r>
        <w:rPr>
          <w:rFonts w:ascii="Arial" w:hAnsi="Arial"/>
          <w:b/>
          <w:color w:val="1F2937"/>
          <w:sz w:val="20"/>
        </w:rPr>
        <w:t xml:space="preserve">Visualizations: </w:t>
      </w:r>
      <w:r>
        <w:rPr>
          <w:rFonts w:ascii="Arial" w:hAnsi="Arial"/>
          <w:color w:val="1F2937"/>
          <w:sz w:val="20"/>
        </w:rPr>
        <w:t>Chart.js for interactive Efficient Frontier scatter plots, correlation heatmaps, asset volatility comparisons, and rolling risk graphs.</w:t>
      </w:r>
    </w:p>
    <w:p w14:paraId="588266E8" w14:textId="77777777" w:rsidR="009D451E" w:rsidRDefault="00000000">
      <w:pPr>
        <w:pBdr>
          <w:bottom w:val="single" w:sz="8" w:space="4" w:color="CBD5E1"/>
        </w:pBdr>
        <w:spacing w:before="280" w:after="80"/>
      </w:pPr>
      <w:r>
        <w:rPr>
          <w:rFonts w:ascii="Arial" w:hAnsi="Arial"/>
          <w:b/>
          <w:color w:val="1E3A8A"/>
          <w:sz w:val="26"/>
        </w:rPr>
        <w:t>4. Innovation &amp; Uniqueness</w:t>
      </w:r>
    </w:p>
    <w:p w14:paraId="1DB2B437" w14:textId="77777777" w:rsidR="009D451E" w:rsidRDefault="00000000">
      <w:pPr>
        <w:pStyle w:val="ListBullet"/>
        <w:spacing w:after="80"/>
      </w:pPr>
      <w:r>
        <w:rPr>
          <w:rFonts w:ascii="Arial" w:hAnsi="Arial"/>
          <w:b/>
          <w:color w:val="1F2937"/>
          <w:sz w:val="20"/>
        </w:rPr>
        <w:t xml:space="preserve">Actionable Trade Instructions: </w:t>
      </w:r>
      <w:r>
        <w:rPr>
          <w:rFonts w:ascii="Arial" w:hAnsi="Arial"/>
          <w:color w:val="1F2937"/>
          <w:sz w:val="20"/>
        </w:rPr>
        <w:t>Instead of stopping at charts and formulas, CapitalX tells the user the exact percentage adjustment needed for each stock to reach optimal risk-adjusted returns.</w:t>
      </w:r>
    </w:p>
    <w:p w14:paraId="6BB864F7" w14:textId="77777777" w:rsidR="009D451E" w:rsidRDefault="00000000">
      <w:pPr>
        <w:pStyle w:val="ListBullet"/>
        <w:spacing w:after="80"/>
      </w:pPr>
      <w:r>
        <w:rPr>
          <w:rFonts w:ascii="Arial" w:hAnsi="Arial"/>
          <w:b/>
          <w:color w:val="1F2937"/>
          <w:sz w:val="20"/>
        </w:rPr>
        <w:t xml:space="preserve">True Diversification vs Nominal Diversification: </w:t>
      </w:r>
      <w:r>
        <w:rPr>
          <w:rFonts w:ascii="Arial" w:hAnsi="Arial"/>
          <w:color w:val="1F2937"/>
          <w:sz w:val="20"/>
        </w:rPr>
        <w:t>Most apps just count how many stocks you own. We calculate the spectral Effective Number of Bets to expose false diversification.</w:t>
      </w:r>
    </w:p>
    <w:p w14:paraId="1C064068" w14:textId="77777777" w:rsidR="009D451E" w:rsidRDefault="00000000">
      <w:pPr>
        <w:pStyle w:val="ListBullet"/>
        <w:spacing w:after="80"/>
      </w:pPr>
      <w:r>
        <w:rPr>
          <w:rFonts w:ascii="Arial" w:hAnsi="Arial"/>
          <w:b/>
          <w:color w:val="1F2937"/>
          <w:sz w:val="20"/>
        </w:rPr>
        <w:t xml:space="preserve">Accessible Risk Communication: </w:t>
      </w:r>
      <w:r>
        <w:rPr>
          <w:rFonts w:ascii="Arial" w:hAnsi="Arial"/>
          <w:color w:val="1F2937"/>
          <w:sz w:val="20"/>
        </w:rPr>
        <w:t>By translating Greek statistics into a clear Health Score and plain-English memos, anyone from a student to an experienced retail trader can immediately understand their portfolio risk.</w:t>
      </w:r>
    </w:p>
    <w:p w14:paraId="36E1A62E" w14:textId="77777777" w:rsidR="009D451E" w:rsidRDefault="00000000">
      <w:pPr>
        <w:pStyle w:val="ListBullet"/>
        <w:spacing w:after="80"/>
      </w:pPr>
      <w:r>
        <w:rPr>
          <w:rFonts w:ascii="Arial" w:hAnsi="Arial"/>
          <w:b/>
          <w:color w:val="1F2937"/>
          <w:sz w:val="20"/>
        </w:rPr>
        <w:t xml:space="preserve">Interactive Experimentation: </w:t>
      </w:r>
      <w:r>
        <w:rPr>
          <w:rFonts w:ascii="Arial" w:hAnsi="Arial"/>
          <w:color w:val="1F2937"/>
          <w:sz w:val="20"/>
        </w:rPr>
        <w:t>The What-If sandbox lets users explore realistic hedging strategies in seconds without needing spreadsheet modeling skills.</w:t>
      </w:r>
    </w:p>
    <w:p w14:paraId="09B108BB" w14:textId="77777777" w:rsidR="009D451E" w:rsidRDefault="00000000">
      <w:pPr>
        <w:pBdr>
          <w:bottom w:val="single" w:sz="8" w:space="4" w:color="CBD5E1"/>
        </w:pBdr>
        <w:spacing w:before="280" w:after="80"/>
      </w:pPr>
      <w:r>
        <w:rPr>
          <w:rFonts w:ascii="Arial" w:hAnsi="Arial"/>
          <w:b/>
          <w:color w:val="1E3A8A"/>
          <w:sz w:val="26"/>
        </w:rPr>
        <w:t>5. Impact &amp; Future Roadmap</w:t>
      </w:r>
    </w:p>
    <w:p w14:paraId="67A8B57D" w14:textId="77777777" w:rsidR="009D451E" w:rsidRDefault="00000000">
      <w:pPr>
        <w:pStyle w:val="ListBullet"/>
        <w:spacing w:after="80"/>
      </w:pPr>
      <w:r>
        <w:rPr>
          <w:rFonts w:ascii="Arial" w:hAnsi="Arial"/>
          <w:b/>
          <w:color w:val="1F2937"/>
          <w:sz w:val="20"/>
        </w:rPr>
        <w:t xml:space="preserve">Democratizing Institutional Finance: </w:t>
      </w:r>
      <w:r>
        <w:rPr>
          <w:rFonts w:ascii="Arial" w:hAnsi="Arial"/>
          <w:color w:val="1F2937"/>
          <w:sz w:val="20"/>
        </w:rPr>
        <w:t>Gives everyday investors access to portfolio optimization techniques that were previously only available in costly enterprise software like Bloomberg or Morningstar Direct.</w:t>
      </w:r>
    </w:p>
    <w:p w14:paraId="4E476828" w14:textId="77777777" w:rsidR="009D451E" w:rsidRDefault="00000000">
      <w:pPr>
        <w:pStyle w:val="ListBullet"/>
        <w:spacing w:after="80"/>
      </w:pPr>
      <w:r>
        <w:rPr>
          <w:rFonts w:ascii="Arial" w:hAnsi="Arial"/>
          <w:b/>
          <w:color w:val="1F2937"/>
          <w:sz w:val="20"/>
        </w:rPr>
        <w:lastRenderedPageBreak/>
        <w:t xml:space="preserve">Preventing Avoidable Capital Losses: </w:t>
      </w:r>
      <w:r>
        <w:rPr>
          <w:rFonts w:ascii="Arial" w:hAnsi="Arial"/>
          <w:color w:val="1F2937"/>
          <w:sz w:val="20"/>
        </w:rPr>
        <w:t>Helps investors spot excessive correlation and risk concentration before market downturns happen.</w:t>
      </w:r>
    </w:p>
    <w:p w14:paraId="2473A804" w14:textId="77777777" w:rsidR="009D451E" w:rsidRDefault="00000000">
      <w:pPr>
        <w:pStyle w:val="ListBullet"/>
        <w:spacing w:after="80"/>
      </w:pPr>
      <w:r>
        <w:rPr>
          <w:rFonts w:ascii="Arial" w:hAnsi="Arial"/>
          <w:b/>
          <w:color w:val="1F2937"/>
          <w:sz w:val="20"/>
        </w:rPr>
        <w:t xml:space="preserve">Future Enhancements: </w:t>
      </w:r>
      <w:r>
        <w:rPr>
          <w:rFonts w:ascii="Arial" w:hAnsi="Arial"/>
          <w:color w:val="1F2937"/>
          <w:sz w:val="20"/>
        </w:rPr>
        <w:t>We plan to integrate direct broker APIs (such as Alpaca and Interactive Brokers) so users can execute rebalancing trades directly from the dashboard, as well as adding ESG and factor-tilt constraints.</w:t>
      </w:r>
    </w:p>
    <w:sectPr w:rsidR="009D451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1224328">
    <w:abstractNumId w:val="8"/>
  </w:num>
  <w:num w:numId="2" w16cid:durableId="21909060">
    <w:abstractNumId w:val="6"/>
  </w:num>
  <w:num w:numId="3" w16cid:durableId="2014137392">
    <w:abstractNumId w:val="5"/>
  </w:num>
  <w:num w:numId="4" w16cid:durableId="2146509583">
    <w:abstractNumId w:val="4"/>
  </w:num>
  <w:num w:numId="5" w16cid:durableId="1068265434">
    <w:abstractNumId w:val="7"/>
  </w:num>
  <w:num w:numId="6" w16cid:durableId="2089618266">
    <w:abstractNumId w:val="3"/>
  </w:num>
  <w:num w:numId="7" w16cid:durableId="557202866">
    <w:abstractNumId w:val="2"/>
  </w:num>
  <w:num w:numId="8" w16cid:durableId="1524513790">
    <w:abstractNumId w:val="1"/>
  </w:num>
  <w:num w:numId="9" w16cid:durableId="365567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F18"/>
    <w:rsid w:val="0015074B"/>
    <w:rsid w:val="0029639D"/>
    <w:rsid w:val="002F05A9"/>
    <w:rsid w:val="00326F90"/>
    <w:rsid w:val="0034434B"/>
    <w:rsid w:val="00444507"/>
    <w:rsid w:val="005652BC"/>
    <w:rsid w:val="009D451E"/>
    <w:rsid w:val="00AA1D8D"/>
    <w:rsid w:val="00B47730"/>
    <w:rsid w:val="00CB0664"/>
    <w:rsid w:val="00E418B0"/>
    <w:rsid w:val="00EF2C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A7147"/>
  <w14:defaultImageDpi w14:val="300"/>
  <w15:docId w15:val="{9EA45A87-9FE8-4BF2-9655-8432E18D6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Niranjan Gowda K M</cp:lastModifiedBy>
  <cp:revision>6</cp:revision>
  <dcterms:created xsi:type="dcterms:W3CDTF">2013-12-23T23:15:00Z</dcterms:created>
  <dcterms:modified xsi:type="dcterms:W3CDTF">2026-09-19T06:29:00Z</dcterms:modified>
  <cp:category/>
</cp:coreProperties>
</file>