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Ajay Kumar Garg Engineering College, Ghaziabad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Blockchain Research Lab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February,2020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 for Seminar Hall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Dear Sir,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BRL is organising a workshop on Flutter and DL Gateway on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April,2020.We need to promote the workshop in the college so that more participants will register themselves for the same . So, we request you to provide the permission to print the flex.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Dates for Workshop: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03.04.2020 and 04.04.2020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shall be highly grateful if you grant us the permission for the same.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Thanking You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BRL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(Mr. Aditya Pratap Singh, Mr. Anuj Dwivedi)                         BRL Head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Coordinator                                                                                  S.L Kapoor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coordinator                                                               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(Dr R.K. Agarwal)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DIRECTOR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BRL Head Coordinator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Shubh Singhal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Shakti Jaiswal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Prakhar Agarwal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51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