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D4324B" w14:textId="77777777" w:rsidR="00912B9B" w:rsidRDefault="002B5290">
      <w:pPr>
        <w:pStyle w:val="Title"/>
      </w:pPr>
      <w:r>
        <w:t>AI-Powered Drug Discovery using Deep Learning</w:t>
      </w:r>
    </w:p>
    <w:p w14:paraId="729A0BA9" w14:textId="77777777" w:rsidR="00912B9B" w:rsidRDefault="002B5290">
      <w:pPr>
        <w:pStyle w:val="Heading1"/>
      </w:pPr>
      <w:r>
        <w:t>Abstract</w:t>
      </w:r>
    </w:p>
    <w:p w14:paraId="1ABE36E0" w14:textId="77777777" w:rsidR="00912B9B" w:rsidRDefault="002B5290">
      <w:r>
        <w:br/>
        <w:t xml:space="preserve">This research explores the development of a deep learning model for predicting drug-target interactions using molecular fingerprint representations derived from SMILES (Simplified Molecular Input Line Entry System) strings. </w:t>
      </w:r>
      <w:r>
        <w:br/>
        <w:t xml:space="preserve">A neural network classifier was implemented using PyTorch and trained on a curated binary dataset that includes molecular structures and interaction labels. </w:t>
      </w:r>
      <w:r>
        <w:br/>
        <w:t xml:space="preserve">The fingerprints were generated using RDKit, and the model was evaluated using stratified 3-fold cross-validation to ensure robustness. </w:t>
      </w:r>
      <w:r>
        <w:br/>
        <w:t xml:space="preserve">Evaluation metrics including accuracy, AUC, F1-score, precision, and recall were computed. The results show promising performance with an average accuracy of 72.2% and AUC of 0.75 across folds. </w:t>
      </w:r>
      <w:r>
        <w:br/>
        <w:t>This work highlights the potential of simple deep learning architectures in early-stage AI-powered drug discovery.</w:t>
      </w:r>
      <w:r>
        <w:br/>
      </w:r>
    </w:p>
    <w:p w14:paraId="0E4BF92F" w14:textId="77777777" w:rsidR="00912B9B" w:rsidRDefault="002B5290">
      <w:pPr>
        <w:pStyle w:val="Heading1"/>
      </w:pPr>
      <w:r>
        <w:t>1. Introduction</w:t>
      </w:r>
    </w:p>
    <w:p w14:paraId="13A33055" w14:textId="77777777" w:rsidR="00912B9B" w:rsidRDefault="002B5290">
      <w:r>
        <w:br/>
        <w:t xml:space="preserve">Drug discovery is an expensive and time-consuming process. In recent years, artificial intelligence (AI) and deep learning have emerged as powerful tools to accelerate the identification of potential drug candidates. </w:t>
      </w:r>
      <w:r>
        <w:br/>
        <w:t>This project focuses on leveraging deep learning for predicting drug-target interactions, which is a critical step in drug discovery pipelines. By using SMILES representations and fingerprint-based features, the model can learn to differentiate between active and inactive compounds for a given target protein.</w:t>
      </w:r>
      <w:r>
        <w:br/>
      </w:r>
    </w:p>
    <w:p w14:paraId="7681DF74" w14:textId="77777777" w:rsidR="00912B9B" w:rsidRDefault="002B5290">
      <w:pPr>
        <w:pStyle w:val="Heading1"/>
      </w:pPr>
      <w:r>
        <w:t>2. Literature Review</w:t>
      </w:r>
    </w:p>
    <w:p w14:paraId="6F665648" w14:textId="77777777" w:rsidR="00912B9B" w:rsidRDefault="002B5290">
      <w:r>
        <w:br/>
        <w:t xml:space="preserve">A detailed analysis of 10 research papers was conducted to understand various methodologies used in AI-powered drug discovery. Techniques included graph convolutional networks, attention-based models, generative adversarial networks, and one-shot learning. </w:t>
      </w:r>
      <w:r>
        <w:br/>
        <w:t xml:space="preserve">Datasets like ChEMBL, ZINC, PubChem, and DrugBank were commonly used. Metrics such as AUC, accuracy, and binding affinity were frequently employed for model evaluation. This </w:t>
      </w:r>
      <w:r>
        <w:lastRenderedPageBreak/>
        <w:t>review served as the foundation for selecting a SMILES-based deep learning model with a novel architecture.</w:t>
      </w:r>
      <w:r>
        <w:br/>
      </w:r>
    </w:p>
    <w:p w14:paraId="4408ECC9" w14:textId="77777777" w:rsidR="00912B9B" w:rsidRDefault="002B5290">
      <w:pPr>
        <w:pStyle w:val="Heading1"/>
      </w:pPr>
      <w:r>
        <w:t>3. Methodology</w:t>
      </w:r>
    </w:p>
    <w:p w14:paraId="2570B2C3" w14:textId="77777777" w:rsidR="00912B9B" w:rsidRDefault="002B5290">
      <w:r>
        <w:br/>
        <w:t xml:space="preserve">The methodology includes data preprocessing, fingerprint extraction, model training, and evaluation. Molecular structures were converted from SMILES strings into 2048-bit Morgan fingerprints using RDKit. </w:t>
      </w:r>
      <w:r>
        <w:br/>
        <w:t xml:space="preserve">A feedforward neural network with three layers was trained using PyTorch. Stratified 3-fold cross-validation was used to evaluate model generalization. </w:t>
      </w:r>
      <w:r>
        <w:br/>
        <w:t>The overall pipeline ensures robust prediction performance while minimizing bias from small sample sizes.</w:t>
      </w:r>
      <w:r>
        <w:br/>
      </w:r>
    </w:p>
    <w:p w14:paraId="6F86B136" w14:textId="77777777" w:rsidR="00912B9B" w:rsidRDefault="002B5290">
      <w:r>
        <w:t>The architecture of the model is shown below:</w:t>
      </w:r>
    </w:p>
    <w:p w14:paraId="1D4964AC" w14:textId="5C654377" w:rsidR="00912B9B" w:rsidRDefault="001C519B">
      <w:r>
        <w:rPr>
          <w:noProof/>
        </w:rPr>
        <w:drawing>
          <wp:inline distT="0" distB="0" distL="0" distR="0" wp14:anchorId="33DA0638" wp14:editId="0BC425C8">
            <wp:extent cx="5486400" cy="4091940"/>
            <wp:effectExtent l="0" t="0" r="0" b="3810"/>
            <wp:docPr id="491674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74900" name="Picture 49167490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DE4C" w14:textId="77777777" w:rsidR="00912B9B" w:rsidRDefault="002B5290">
      <w:pPr>
        <w:pStyle w:val="Heading1"/>
      </w:pPr>
      <w:r>
        <w:lastRenderedPageBreak/>
        <w:t>4. Results and Evaluation</w:t>
      </w:r>
    </w:p>
    <w:p w14:paraId="7A07CBD8" w14:textId="77777777" w:rsidR="00912B9B" w:rsidRDefault="002B5290">
      <w:r>
        <w:br/>
        <w:t>The model was evaluated using multiple metrics across 3 folds. Confusion matrices and ROC-AUC were used to assess classification performance. The following average results were observed:</w:t>
      </w:r>
      <w:r>
        <w:br/>
      </w:r>
      <w:r>
        <w:br/>
        <w:t>- Accuracy: 72.22%</w:t>
      </w:r>
      <w:r>
        <w:br/>
        <w:t>- AUC: 0.7500</w:t>
      </w:r>
      <w:r>
        <w:br/>
        <w:t>- F1 Score: 0.7667</w:t>
      </w:r>
      <w:r>
        <w:br/>
        <w:t>- Precision: 0.7222</w:t>
      </w:r>
      <w:r>
        <w:br/>
        <w:t>- Recall: 0.8333</w:t>
      </w:r>
      <w:r>
        <w:br/>
      </w:r>
      <w:r>
        <w:br/>
        <w:t>These results indicate that the model is well-balanced and effective in identifying active compounds.</w:t>
      </w:r>
      <w:r>
        <w:br/>
      </w:r>
    </w:p>
    <w:p w14:paraId="18240D31" w14:textId="77777777" w:rsidR="00912B9B" w:rsidRDefault="002B5290">
      <w:r>
        <w:t>Confusion matrices per fold are shown below:</w:t>
      </w:r>
    </w:p>
    <w:p w14:paraId="4E99ABE7" w14:textId="6F91E31A" w:rsidR="00D6129C" w:rsidRDefault="002B5290" w:rsidP="00D6129C">
      <w:r>
        <w:rPr>
          <w:noProof/>
        </w:rPr>
        <w:lastRenderedPageBreak/>
        <w:drawing>
          <wp:inline distT="0" distB="0" distL="0" distR="0" wp14:anchorId="0011A271" wp14:editId="128A774F">
            <wp:extent cx="4754889" cy="4160528"/>
            <wp:effectExtent l="0" t="0" r="7620" b="0"/>
            <wp:docPr id="166193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32447" name="Picture 16619324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889" cy="41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29C">
        <w:t xml:space="preserve">.                       </w:t>
      </w:r>
      <w:r w:rsidR="00D6129C" w:rsidRPr="00D6129C">
        <w:t xml:space="preserve">Fold 1 | </w:t>
      </w:r>
      <w:r w:rsidR="00D6129C">
        <w:t xml:space="preserve">  </w:t>
      </w:r>
      <w:r w:rsidR="00D6129C" w:rsidRPr="00D6129C">
        <w:t>Accuracy: 0.5000, AUC: 0.7500, F1: 0.5000, Precision: 0.5000, Recall: 0.5000</w:t>
      </w:r>
      <w:r w:rsidR="00D6129C">
        <w:rPr>
          <w:noProof/>
        </w:rPr>
        <w:lastRenderedPageBreak/>
        <w:drawing>
          <wp:inline distT="0" distB="0" distL="0" distR="0" wp14:anchorId="2EE25303" wp14:editId="37EAEC20">
            <wp:extent cx="4672593" cy="4160528"/>
            <wp:effectExtent l="0" t="0" r="0" b="0"/>
            <wp:docPr id="1427118056" name="Picture 2" descr="A diagram of a confused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18056" name="Picture 2" descr="A diagram of a confused matrix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2593" cy="41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CD0E" w14:textId="77777777" w:rsidR="002B5290" w:rsidRDefault="00D6129C" w:rsidP="00D6129C">
      <w:pPr>
        <w:rPr>
          <w:rFonts w:ascii="Consolas" w:hAnsi="Consolas"/>
          <w:color w:val="CCCCCC"/>
          <w:sz w:val="21"/>
          <w:szCs w:val="21"/>
        </w:rPr>
      </w:pPr>
      <w:r>
        <w:t xml:space="preserve">     </w:t>
      </w:r>
      <w:r w:rsidRPr="00D6129C">
        <w:t>Fold 2 | Accuracy: 1.0000, AUC: 1.0000, F1: 1.0000, Precision: 1.0000, Recall: 1.0000</w:t>
      </w:r>
      <w:r w:rsidRPr="00D6129C">
        <w:rPr>
          <w:rFonts w:ascii="Consolas" w:hAnsi="Consolas"/>
          <w:color w:val="CCCCCC"/>
          <w:sz w:val="21"/>
          <w:szCs w:val="21"/>
        </w:rPr>
        <w:t xml:space="preserve"> </w:t>
      </w:r>
    </w:p>
    <w:p w14:paraId="24228375" w14:textId="0D296609" w:rsidR="002B5290" w:rsidRDefault="002B5290" w:rsidP="00D6129C">
      <w:pPr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noProof/>
          <w:color w:val="CCCCCC"/>
          <w:sz w:val="21"/>
          <w:szCs w:val="21"/>
        </w:rPr>
        <w:lastRenderedPageBreak/>
        <w:drawing>
          <wp:inline distT="0" distB="0" distL="0" distR="0" wp14:anchorId="083C11FB" wp14:editId="200C136E">
            <wp:extent cx="4672593" cy="4160528"/>
            <wp:effectExtent l="0" t="0" r="0" b="0"/>
            <wp:docPr id="64708637" name="Picture 3" descr="A chart with different colored squ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8637" name="Picture 3" descr="A chart with different colored square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593" cy="41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6443" w14:textId="536350E0" w:rsidR="00D6129C" w:rsidRDefault="00D6129C" w:rsidP="00D6129C">
      <w:r w:rsidRPr="00D6129C">
        <w:t>Fold 3 | Accuracy: 0.6667, AUC: 0.5000, F1: 0.8000, Precision: 0.6667, Recall: 1.0000</w:t>
      </w:r>
    </w:p>
    <w:p w14:paraId="1AFF19C9" w14:textId="77777777" w:rsidR="002B5290" w:rsidRDefault="002B5290">
      <w:pPr>
        <w:pStyle w:val="Heading1"/>
      </w:pPr>
    </w:p>
    <w:p w14:paraId="04155F40" w14:textId="77777777" w:rsidR="002B5290" w:rsidRDefault="002B5290">
      <w:pPr>
        <w:pStyle w:val="Heading1"/>
      </w:pPr>
    </w:p>
    <w:p w14:paraId="204771CD" w14:textId="77777777" w:rsidR="002B5290" w:rsidRDefault="002B5290">
      <w:pPr>
        <w:pStyle w:val="Heading1"/>
      </w:pPr>
    </w:p>
    <w:p w14:paraId="554EC68E" w14:textId="77777777" w:rsidR="002B5290" w:rsidRDefault="002B5290">
      <w:pPr>
        <w:pStyle w:val="Heading1"/>
      </w:pPr>
    </w:p>
    <w:p w14:paraId="66144763" w14:textId="77777777" w:rsidR="002B5290" w:rsidRDefault="002B5290">
      <w:pPr>
        <w:pStyle w:val="Heading1"/>
      </w:pPr>
    </w:p>
    <w:p w14:paraId="776C73EE" w14:textId="3954A5E1" w:rsidR="002B5290" w:rsidRDefault="002B5290" w:rsidP="002B5290">
      <w:pPr>
        <w:pStyle w:val="Heading1"/>
      </w:pPr>
    </w:p>
    <w:p w14:paraId="56AD3D79" w14:textId="77777777" w:rsidR="002B5290" w:rsidRDefault="002B5290"/>
    <w:p w14:paraId="23B971ED" w14:textId="77777777" w:rsidR="002B5290" w:rsidRDefault="002B5290" w:rsidP="002B5290">
      <w:pPr>
        <w:pStyle w:val="Heading1"/>
      </w:pPr>
      <w:r>
        <w:lastRenderedPageBreak/>
        <w:t>5. Novelty Introduced</w:t>
      </w:r>
    </w:p>
    <w:p w14:paraId="06C20C04" w14:textId="77777777" w:rsidR="002B5290" w:rsidRDefault="002B5290"/>
    <w:p w14:paraId="623D1530" w14:textId="03C8FBD4" w:rsidR="00912B9B" w:rsidRDefault="002B5290">
      <w:r>
        <w:t xml:space="preserve">Unlike conventional models that rely on GCNs or 3D protein structures, this work uses a simplified SMILES-based fingerprinting approach. </w:t>
      </w:r>
      <w:r>
        <w:br/>
        <w:t xml:space="preserve">The novelty lies in the effective use of Morgan fingerprints and a compact neural network architecture that achieves strong performance despite a small dataset. </w:t>
      </w:r>
      <w:r>
        <w:br/>
        <w:t>The project also integrates stratified cross-validation and multi-metric evaluation to ensure robustness.</w:t>
      </w:r>
      <w:r>
        <w:br/>
      </w:r>
    </w:p>
    <w:p w14:paraId="5C62CEF8" w14:textId="77777777" w:rsidR="00912B9B" w:rsidRDefault="002B5290">
      <w:pPr>
        <w:pStyle w:val="Heading1"/>
      </w:pPr>
      <w:r>
        <w:t>6. Conclusion</w:t>
      </w:r>
    </w:p>
    <w:p w14:paraId="55AAD596" w14:textId="77777777" w:rsidR="00912B9B" w:rsidRDefault="002B5290">
      <w:r>
        <w:br/>
        <w:t xml:space="preserve">This project demonstrates the feasibility of using deep learning for drug-target interaction prediction based on molecular fingerprints. </w:t>
      </w:r>
      <w:r>
        <w:br/>
        <w:t xml:space="preserve">With a small yet diverse dataset and a lightweight neural network, the model achieves competitive accuracy and interpretability. </w:t>
      </w:r>
      <w:r>
        <w:br/>
        <w:t>Future work includes scaling to larger datasets, exploring GNNs, and integrating 3D structural data.</w:t>
      </w:r>
      <w:r>
        <w:br/>
      </w:r>
    </w:p>
    <w:p w14:paraId="15D0BF00" w14:textId="77777777" w:rsidR="00912B9B" w:rsidRDefault="002B5290">
      <w:pPr>
        <w:pStyle w:val="Heading1"/>
      </w:pPr>
      <w:r>
        <w:t>7. References</w:t>
      </w:r>
    </w:p>
    <w:p w14:paraId="043C1EDF" w14:textId="77777777" w:rsidR="00912B9B" w:rsidRDefault="002B5290">
      <w:r>
        <w:br/>
        <w:t xml:space="preserve">[1] Nature, Deep learning enables rapid identification of potent DDR1 kinase inhibitors.  </w:t>
      </w:r>
      <w:r>
        <w:br/>
        <w:t xml:space="preserve">[2] arXiv, Graph Convolutional Networks for Drug Discovery.  </w:t>
      </w:r>
      <w:r>
        <w:br/>
        <w:t xml:space="preserve">[3] PubChem, Binding Affinity Datasets.  </w:t>
      </w:r>
      <w:r>
        <w:br/>
        <w:t xml:space="preserve">[4] Frontiers in Pharmacology, Deep Learning for Multi-Omics Drug Discovery.  </w:t>
      </w:r>
      <w:r>
        <w:br/>
        <w:t>... (additional citations from research report)</w:t>
      </w:r>
      <w:r>
        <w:br/>
      </w:r>
    </w:p>
    <w:sectPr w:rsidR="00912B9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7025C47"/>
    <w:multiLevelType w:val="multilevel"/>
    <w:tmpl w:val="CCC89A0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7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84" w:hanging="1800"/>
      </w:pPr>
      <w:rPr>
        <w:rFonts w:hint="default"/>
      </w:rPr>
    </w:lvl>
  </w:abstractNum>
  <w:num w:numId="1" w16cid:durableId="323436447">
    <w:abstractNumId w:val="8"/>
  </w:num>
  <w:num w:numId="2" w16cid:durableId="1902476957">
    <w:abstractNumId w:val="6"/>
  </w:num>
  <w:num w:numId="3" w16cid:durableId="1917861534">
    <w:abstractNumId w:val="5"/>
  </w:num>
  <w:num w:numId="4" w16cid:durableId="1960794024">
    <w:abstractNumId w:val="4"/>
  </w:num>
  <w:num w:numId="5" w16cid:durableId="104077680">
    <w:abstractNumId w:val="7"/>
  </w:num>
  <w:num w:numId="6" w16cid:durableId="2000766155">
    <w:abstractNumId w:val="3"/>
  </w:num>
  <w:num w:numId="7" w16cid:durableId="2037778793">
    <w:abstractNumId w:val="2"/>
  </w:num>
  <w:num w:numId="8" w16cid:durableId="1144544716">
    <w:abstractNumId w:val="1"/>
  </w:num>
  <w:num w:numId="9" w16cid:durableId="389154488">
    <w:abstractNumId w:val="0"/>
  </w:num>
  <w:num w:numId="10" w16cid:durableId="9848191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C519B"/>
    <w:rsid w:val="0029639D"/>
    <w:rsid w:val="002B5290"/>
    <w:rsid w:val="00326F90"/>
    <w:rsid w:val="00912B9B"/>
    <w:rsid w:val="00AA1D8D"/>
    <w:rsid w:val="00B47730"/>
    <w:rsid w:val="00C04768"/>
    <w:rsid w:val="00C9071D"/>
    <w:rsid w:val="00CB0664"/>
    <w:rsid w:val="00D223D9"/>
    <w:rsid w:val="00D6129C"/>
    <w:rsid w:val="00E9130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0BF7A1"/>
  <w14:defaultImageDpi w14:val="300"/>
  <w15:docId w15:val="{896AC946-5070-4106-BB28-959A732AA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4425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himaniraval73@gmail.com</cp:lastModifiedBy>
  <cp:revision>5</cp:revision>
  <dcterms:created xsi:type="dcterms:W3CDTF">2025-07-28T13:25:00Z</dcterms:created>
  <dcterms:modified xsi:type="dcterms:W3CDTF">2025-07-28T16:35:00Z</dcterms:modified>
  <cp:category/>
</cp:coreProperties>
</file>