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67b5dd19eed4673" /><Relationship Type="http://schemas.openxmlformats.org/package/2006/relationships/metadata/core-properties" Target="/docProps/core.xml" Id="R43a5e474f68747ed" /><Relationship Type="http://schemas.openxmlformats.org/officeDocument/2006/relationships/extended-properties" Target="/docProps/app.xml" Id="R38234acadf0341e8" /><Relationship Type="http://schemas.openxmlformats.org/officeDocument/2006/relationships/custom-properties" Target="/docProps/custom.xml" Id="R1e57c8df7062407a"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Normal"/>
        <w:spacing w:after="80"/>
        <w:jc w:val="center"/>
      </w:pPr>
      <w:r>
        <w:rPr>
          <w:b/>
          <w:sz w:val="26"/>
        </w:rPr>
        <w:t xml:space="preserve">AICTE | IBM SkillsBuild Data Analytics with AI</w:t>
      </w:r>
    </w:p>
    <w:p w14:paraId="00100002" w14:textId="00100003">
      <w:pPr>
        <w:pStyle w:val="Normal"/>
        <w:spacing w:after="80"/>
        <w:jc w:val="center"/>
      </w:pPr>
      <w:r>
        <w:rPr>
          <w:sz w:val="24"/>
        </w:rPr>
        <w:t xml:space="preserve">Academic Internship 2026</w:t>
      </w:r>
    </w:p>
    <w:p w14:paraId="00100004" w14:textId="00100005">
      <w:pPr>
        <w:pStyle w:val="Normal"/>
        <w:spacing w:after="480"/>
        <w:jc w:val="center"/>
      </w:pPr>
      <w:r>
        <w:rPr>
          <w:sz w:val="24"/>
        </w:rPr>
        <w:t xml:space="preserve">BharatCares / IBM SkillsBuild</w:t>
      </w:r>
    </w:p>
    <w:p w14:paraId="00100006" w14:textId="00100007">
      <w:pPr>
        <w:pStyle w:val="Heading1"/>
        <w:spacing w:after="160"/>
        <w:jc w:val="center"/>
      </w:pPr>
      <w:r>
        <w:rPr>
          <w:b/>
          <w:sz w:val="48"/>
        </w:rPr>
        <w:t xml:space="preserve">PROJECT REPORT</w:t>
      </w:r>
    </w:p>
    <w:p w14:paraId="00100008" w14:textId="00100009">
      <w:pPr>
        <w:pStyle w:val="Normal"/>
        <w:spacing w:after="80"/>
        <w:jc w:val="center"/>
      </w:pPr>
      <w:r>
        <w:rPr>
          <w:b/>
          <w:sz w:val="36"/>
        </w:rPr>
        <w:t xml:space="preserve">SmartSupply Insights:</w:t>
      </w:r>
    </w:p>
    <w:p w14:paraId="0010000A" w14:textId="0010000B">
      <w:pPr>
        <w:pStyle w:val="Normal"/>
        <w:spacing w:after="640"/>
        <w:jc w:val="center"/>
      </w:pPr>
      <w:r>
        <w:rPr>
          <w:b/>
          <w:sz w:val="32"/>
        </w:rPr>
        <w:t xml:space="preserve">Supply Chain Performance, Delivery Risk &amp; Profitability Analytics</w:t>
      </w:r>
    </w:p>
    <w:p w14:paraId="0010000C" w14:textId="0010000D">
      <w:pPr>
        <w:pStyle w:val="Normal"/>
        <w:spacing w:after="80"/>
        <w:jc w:val="center"/>
      </w:pPr>
      <w:r>
        <w:rPr>
          <w:sz w:val="24"/>
        </w:rPr>
        <w:t xml:space="preserve">Submitted by:</w:t>
      </w:r>
    </w:p>
    <w:p w14:paraId="0010000E" w14:textId="0010000F">
      <w:pPr>
        <w:pStyle w:val="Normal"/>
        <w:spacing w:after="160"/>
        <w:jc w:val="center"/>
      </w:pPr>
      <w:r>
        <w:rPr>
          <w:b/>
          <w:sz w:val="28"/>
        </w:rPr>
        <w:t xml:space="preserve">Himani Mane</w:t>
      </w:r>
    </w:p>
    <w:p w14:paraId="00100010" w14:textId="00100011">
      <w:pPr>
        <w:pStyle w:val="Normal"/>
        <w:spacing w:after="80"/>
        <w:jc w:val="center"/>
      </w:pPr>
      <w:r>
        <w:rPr>
          <w:sz w:val="22"/>
        </w:rPr>
        <w:t xml:space="preserve">Dataset: DataCo SMART SUPPLY CHAIN FOR BIG DATA ANALYSIS</w:t>
      </w:r>
    </w:p>
    <w:p w14:paraId="00100012" w14:textId="00100013">
      <w:pPr>
        <w:pStyle w:val="Normal"/>
        <w:spacing w:after="960"/>
        <w:jc w:val="center"/>
      </w:pPr>
      <w:r>
        <w:rPr>
          <w:sz w:val="20"/>
        </w:rPr>
        <w:t xml:space="preserve">DOI: 10.17632/8gx2fvg2k6.5</w:t>
      </w:r>
    </w:p>
    <w:p w14:paraId="00100014" w14:textId="00100015">
      <w:pPr>
        <w:pStyle w:val="Heading1"/>
        <w:spacing w:after="240"/>
      </w:pPr>
      <w:r>
        <w:rPr>
          <w:b/>
          <w:sz w:val="32"/>
        </w:rPr>
        <w:t xml:space="preserve">Table of Contents</w:t>
      </w:r>
    </w:p>
    <w:p w14:paraId="00100016" w14:textId="00100017">
      <w:pPr>
        <w:pStyle w:val="Normal"/>
        <w:spacing w:after="480"/>
      </w:pPr>
      <w:r>
        <w:rPr>
          <w:sz w:val="22"/>
        </w:rPr>
        <w:t xml:space="preserve">1. Executive Summary</w:t>
      </w:r>
    </w:p>
    <w:p w14:paraId="00100018" w14:textId="00100019">
      <w:pPr>
        <w:pStyle w:val="Normal"/>
        <w:spacing w:after="480"/>
      </w:pPr>
      <w:r>
        <w:rPr>
          <w:sz w:val="22"/>
        </w:rPr>
        <w:t xml:space="preserve">2. Introduction</w:t>
      </w:r>
    </w:p>
    <w:p w14:paraId="0010001A" w14:textId="0010001B">
      <w:pPr>
        <w:pStyle w:val="Normal"/>
        <w:spacing w:after="480"/>
      </w:pPr>
      <w:r>
        <w:rPr>
          <w:sz w:val="22"/>
        </w:rPr>
        <w:t xml:space="preserve">3. Background</w:t>
      </w:r>
    </w:p>
    <w:p w14:paraId="0010001C" w14:textId="0010001D">
      <w:pPr>
        <w:pStyle w:val="Normal"/>
        <w:spacing w:after="480"/>
      </w:pPr>
      <w:r>
        <w:rPr>
          <w:sz w:val="22"/>
        </w:rPr>
        <w:t xml:space="preserve">4. Problem Statement</w:t>
      </w:r>
    </w:p>
    <w:p w14:paraId="0010001E" w14:textId="0010001F">
      <w:pPr>
        <w:pStyle w:val="Normal"/>
        <w:spacing w:after="480"/>
      </w:pPr>
      <w:r>
        <w:rPr>
          <w:sz w:val="22"/>
        </w:rPr>
        <w:t xml:space="preserve">5. Objectives</w:t>
      </w:r>
    </w:p>
    <w:p w14:paraId="00100020" w14:textId="00100021">
      <w:pPr>
        <w:pStyle w:val="Normal"/>
        <w:spacing w:after="480"/>
      </w:pPr>
      <w:r>
        <w:rPr>
          <w:sz w:val="22"/>
        </w:rPr>
        <w:t xml:space="preserve">6. Scope</w:t>
      </w:r>
    </w:p>
    <w:p w14:paraId="00100022" w14:textId="00100023">
      <w:pPr>
        <w:pStyle w:val="Normal"/>
        <w:spacing w:after="480"/>
      </w:pPr>
      <w:r>
        <w:rPr>
          <w:sz w:val="22"/>
        </w:rPr>
        <w:t xml:space="preserve">7. Dataset Description</w:t>
      </w:r>
    </w:p>
    <w:p w14:paraId="00100024" w14:textId="00100025">
      <w:pPr>
        <w:pStyle w:val="Normal"/>
        <w:spacing w:after="480"/>
      </w:pPr>
      <w:r>
        <w:rPr>
          <w:sz w:val="22"/>
        </w:rPr>
        <w:t xml:space="preserve">8. Dataset Source and Attribution</w:t>
      </w:r>
    </w:p>
    <w:p w14:paraId="00100026" w14:textId="00100027">
      <w:pPr>
        <w:pStyle w:val="Normal"/>
        <w:spacing w:after="480"/>
      </w:pPr>
      <w:r>
        <w:rPr>
          <w:sz w:val="22"/>
        </w:rPr>
        <w:t xml:space="preserve">9. Data Dictionary</w:t>
      </w:r>
    </w:p>
    <w:p w14:paraId="00100028" w14:textId="00100029">
      <w:pPr>
        <w:pStyle w:val="Normal"/>
        <w:spacing w:after="480"/>
      </w:pPr>
      <w:r>
        <w:rPr>
          <w:sz w:val="22"/>
        </w:rPr>
        <w:t xml:space="preserve">10. Tools and Technologies</w:t>
      </w:r>
    </w:p>
    <w:p w14:paraId="0010002A" w14:textId="0010002B">
      <w:pPr>
        <w:pStyle w:val="Normal"/>
        <w:spacing w:after="480"/>
      </w:pPr>
      <w:r>
        <w:rPr>
          <w:sz w:val="22"/>
        </w:rPr>
        <w:t xml:space="preserve">11. Methodology</w:t>
      </w:r>
    </w:p>
    <w:p w14:paraId="0010002C" w14:textId="0010002D">
      <w:pPr>
        <w:pStyle w:val="Normal"/>
        <w:spacing w:after="480"/>
      </w:pPr>
      <w:r>
        <w:rPr>
          <w:sz w:val="22"/>
        </w:rPr>
        <w:t xml:space="preserve">12. Data Understanding</w:t>
      </w:r>
    </w:p>
    <w:p w14:paraId="0010002E" w14:textId="0010002F">
      <w:pPr>
        <w:pStyle w:val="Normal"/>
        <w:spacing w:after="480"/>
      </w:pPr>
      <w:r>
        <w:rPr>
          <w:sz w:val="22"/>
        </w:rPr>
        <w:t xml:space="preserve">13. Data Quality Assessment</w:t>
      </w:r>
    </w:p>
    <w:p w14:paraId="00100030" w14:textId="00100031">
      <w:pPr>
        <w:pStyle w:val="Normal"/>
        <w:spacing w:after="480"/>
      </w:pPr>
      <w:r>
        <w:rPr>
          <w:sz w:val="22"/>
        </w:rPr>
        <w:t xml:space="preserve">14. Data Cleaning and Preprocessing</w:t>
      </w:r>
    </w:p>
    <w:p w14:paraId="00100032" w14:textId="00100033">
      <w:pPr>
        <w:pStyle w:val="Normal"/>
        <w:spacing w:after="480"/>
      </w:pPr>
      <w:r>
        <w:rPr>
          <w:sz w:val="22"/>
        </w:rPr>
        <w:t xml:space="preserve">15. Feature Engineering</w:t>
      </w:r>
    </w:p>
    <w:p w14:paraId="00100034" w14:textId="00100035">
      <w:pPr>
        <w:pStyle w:val="Normal"/>
        <w:spacing w:after="480"/>
      </w:pPr>
      <w:r>
        <w:rPr>
          <w:sz w:val="22"/>
        </w:rPr>
        <w:t xml:space="preserve">16. KPI Analysis</w:t>
      </w:r>
    </w:p>
    <w:p w14:paraId="00100036" w14:textId="00100037">
      <w:pPr>
        <w:pStyle w:val="Normal"/>
        <w:spacing w:after="480"/>
      </w:pPr>
      <w:r>
        <w:rPr>
          <w:sz w:val="22"/>
        </w:rPr>
        <w:t xml:space="preserve">17. Exploratory Data Analysis</w:t>
      </w:r>
    </w:p>
    <w:p w14:paraId="00100038" w14:textId="00100039">
      <w:pPr>
        <w:pStyle w:val="Normal"/>
        <w:spacing w:after="480"/>
      </w:pPr>
      <w:r>
        <w:rPr>
          <w:sz w:val="22"/>
        </w:rPr>
        <w:t xml:space="preserve">18. Sales Analysis</w:t>
      </w:r>
    </w:p>
    <w:p w14:paraId="0010003A" w14:textId="0010003B">
      <w:pPr>
        <w:pStyle w:val="Normal"/>
        <w:spacing w:after="480"/>
      </w:pPr>
      <w:r>
        <w:rPr>
          <w:sz w:val="22"/>
        </w:rPr>
        <w:t xml:space="preserve">19. Profitability Analysis</w:t>
      </w:r>
    </w:p>
    <w:p w14:paraId="0010003C" w14:textId="0010003D">
      <w:pPr>
        <w:pStyle w:val="Normal"/>
        <w:spacing w:after="480"/>
      </w:pPr>
      <w:r>
        <w:rPr>
          <w:sz w:val="22"/>
        </w:rPr>
        <w:t xml:space="preserve">20. Customer Analysis</w:t>
      </w:r>
    </w:p>
    <w:p w14:paraId="0010003E" w14:textId="0010003F">
      <w:pPr>
        <w:pStyle w:val="Normal"/>
        <w:spacing w:after="480"/>
      </w:pPr>
      <w:r>
        <w:rPr>
          <w:sz w:val="22"/>
        </w:rPr>
        <w:t xml:space="preserve">21. Product Analysis</w:t>
      </w:r>
    </w:p>
    <w:p w14:paraId="00100040" w14:textId="00100041">
      <w:pPr>
        <w:pStyle w:val="Normal"/>
        <w:spacing w:after="480"/>
      </w:pPr>
      <w:r>
        <w:rPr>
          <w:sz w:val="22"/>
        </w:rPr>
        <w:t xml:space="preserve">22. Regional Analysis</w:t>
      </w:r>
    </w:p>
    <w:p w14:paraId="00100042" w14:textId="00100043">
      <w:pPr>
        <w:pStyle w:val="Normal"/>
        <w:spacing w:after="480"/>
      </w:pPr>
      <w:r>
        <w:rPr>
          <w:sz w:val="22"/>
        </w:rPr>
        <w:t xml:space="preserve">23. Market Analysis</w:t>
      </w:r>
    </w:p>
    <w:p w14:paraId="00100044" w14:textId="00100045">
      <w:pPr>
        <w:pStyle w:val="Normal"/>
        <w:spacing w:after="480"/>
      </w:pPr>
      <w:r>
        <w:rPr>
          <w:sz w:val="22"/>
        </w:rPr>
        <w:t xml:space="preserve">24. Shipping Analysis</w:t>
      </w:r>
    </w:p>
    <w:p w14:paraId="00100046" w14:textId="00100047">
      <w:pPr>
        <w:pStyle w:val="Normal"/>
        <w:spacing w:after="480"/>
      </w:pPr>
      <w:r>
        <w:rPr>
          <w:sz w:val="22"/>
        </w:rPr>
        <w:t xml:space="preserve">25. Delivery Performance Analysis</w:t>
      </w:r>
    </w:p>
    <w:p w14:paraId="00100048" w14:textId="00100049">
      <w:pPr>
        <w:pStyle w:val="Normal"/>
        <w:spacing w:after="480"/>
      </w:pPr>
      <w:r>
        <w:rPr>
          <w:sz w:val="22"/>
        </w:rPr>
        <w:t xml:space="preserve">26. Late Delivery Risk Analysis</w:t>
      </w:r>
    </w:p>
    <w:p w14:paraId="0010004A" w14:textId="0010004B">
      <w:pPr>
        <w:pStyle w:val="Normal"/>
        <w:spacing w:after="480"/>
      </w:pPr>
      <w:r>
        <w:rPr>
          <w:sz w:val="22"/>
        </w:rPr>
        <w:t xml:space="preserve">27. Advanced Analytics / Machine Learning</w:t>
      </w:r>
    </w:p>
    <w:p w14:paraId="0010004C" w14:textId="0010004D">
      <w:pPr>
        <w:pStyle w:val="Normal"/>
        <w:spacing w:after="480"/>
      </w:pPr>
      <w:r>
        <w:rPr>
          <w:sz w:val="22"/>
        </w:rPr>
        <w:t xml:space="preserve">28. Results</w:t>
      </w:r>
    </w:p>
    <w:p w14:paraId="0010004E" w14:textId="0010004F">
      <w:pPr>
        <w:pStyle w:val="Normal"/>
        <w:spacing w:after="480"/>
      </w:pPr>
      <w:r>
        <w:rPr>
          <w:sz w:val="22"/>
        </w:rPr>
        <w:t xml:space="preserve">29. Key Findings</w:t>
      </w:r>
    </w:p>
    <w:p w14:paraId="00100050" w14:textId="00100051">
      <w:pPr>
        <w:pStyle w:val="Normal"/>
        <w:spacing w:after="480"/>
      </w:pPr>
      <w:r>
        <w:rPr>
          <w:sz w:val="22"/>
        </w:rPr>
        <w:t xml:space="preserve">30. Business Recommendations</w:t>
      </w:r>
    </w:p>
    <w:p w14:paraId="00100052" w14:textId="00100053">
      <w:pPr>
        <w:pStyle w:val="Normal"/>
        <w:spacing w:after="480"/>
      </w:pPr>
      <w:r>
        <w:rPr>
          <w:sz w:val="22"/>
        </w:rPr>
        <w:t xml:space="preserve">31. Limitations</w:t>
      </w:r>
    </w:p>
    <w:p w14:paraId="00100054" w14:textId="00100055">
      <w:pPr>
        <w:pStyle w:val="Normal"/>
        <w:spacing w:after="480"/>
      </w:pPr>
      <w:r>
        <w:rPr>
          <w:sz w:val="22"/>
        </w:rPr>
        <w:t xml:space="preserve">32. Future Scope</w:t>
      </w:r>
    </w:p>
    <w:p w14:paraId="00100056" w14:textId="00100057">
      <w:pPr>
        <w:pStyle w:val="Normal"/>
        <w:spacing w:after="480"/>
      </w:pPr>
      <w:r>
        <w:rPr>
          <w:sz w:val="22"/>
        </w:rPr>
        <w:t xml:space="preserve">33. Conclusion</w:t>
      </w:r>
    </w:p>
    <w:p w14:paraId="00100058" w14:textId="00100059">
      <w:pPr>
        <w:pStyle w:val="Normal"/>
        <w:spacing w:after="480"/>
      </w:pPr>
      <w:r>
        <w:rPr>
          <w:sz w:val="22"/>
        </w:rPr>
        <w:t xml:space="preserve">34. References</w:t>
      </w:r>
    </w:p>
    <w:p w14:paraId="0010005A" w14:textId="0010005B">
      <w:pPr>
        <w:pStyle w:val="Normal"/>
        <w:spacing w:after="480"/>
      </w:pPr>
      <w:r>
        <w:rPr>
          <w:sz w:val="22"/>
        </w:rPr>
        <w:t xml:space="preserve">35. Appendix</w:t>
      </w:r>
    </w:p>
    <w:p w14:paraId="0010005C" w14:textId="0010005D">
      <w:pPr>
        <w:pStyle w:val="Heading1"/>
        <w:spacing w:after="160"/>
      </w:pPr>
      <w:r>
        <w:rPr>
          <w:b/>
          <w:sz w:val="32"/>
        </w:rPr>
        <w:t xml:space="preserve">1. Executive Summary</w:t>
      </w:r>
    </w:p>
    <w:p w14:paraId="0010005E" w14:textId="0010005F">
      <w:pPr>
        <w:pStyle w:val="Normal"/>
        <w:spacing w:after="160"/>
      </w:pPr>
      <w:r>
        <w:rPr>
          <w:sz w:val="22"/>
        </w:rPr>
        <w:t xml:space="preserve">This report presents the complete findings of SmartSupply Insights, an end-to-end data analytics project applied to the DataCo SMART SUPPLY CHAIN FOR BIG DATA ANALYSIS dataset. The dataset contains 180,519 supply-chain transactions spanning January 2015 to January 2018, covering 53 attributes across order details, customer demographics, product information, shipping modes, delivery outcomes, and financial performance.</w:t>
      </w:r>
    </w:p>
    <w:p w14:paraId="00100060" w14:textId="00100061">
      <w:pPr>
        <w:pStyle w:val="Normal"/>
        <w:spacing w:after="160"/>
      </w:pPr>
      <w:r>
        <w:rPr>
          <w:sz w:val="22"/>
        </w:rPr>
        <w:t xml:space="preserve">Key findings from the analysis include: Total Sales of $36,784,735 and Total Profit of $3,966,903 (overall profit margin of 10.78%). The late delivery rate is 54.8%, affecting more than half of all orders. The Fishing category generates the highest sales and profit. Europe is the top market by both sales and profit. The discount rate shows a weak negative correlation with profit per order (-0.019). A Random Forest classifier achieves an AUC of 0.749 for late delivery risk prediction using only pre-shipment data. Shipping Mode and scheduled shipping days are the most important predictors of late delivery risk.</w:t>
      </w:r>
    </w:p>
    <w:p w14:paraId="00100062" w14:textId="00100063">
      <w:pPr>
        <w:pStyle w:val="Heading1"/>
        <w:spacing w:after="160"/>
      </w:pPr>
      <w:r>
        <w:rPr>
          <w:b/>
          <w:sz w:val="32"/>
        </w:rPr>
        <w:t xml:space="preserve">2. Introduction</w:t>
      </w:r>
    </w:p>
    <w:p w14:paraId="00100064" w14:textId="00100065">
      <w:pPr>
        <w:pStyle w:val="Normal"/>
        <w:spacing w:after="160"/>
      </w:pPr>
      <w:r>
        <w:rPr>
          <w:sz w:val="22"/>
        </w:rPr>
        <w:t xml:space="preserve">Modern supply chains generate massive volumes of transactional data that, when properly analyzed, can reveal critical insights about operational performance, customer behavior, profitability drivers, and delivery risk. This project applies data science and machine learning techniques to the DataCo supply-chain dataset to extract actionable business intelligence.</w:t>
      </w:r>
    </w:p>
    <w:p w14:paraId="00100066" w14:textId="00100067">
      <w:pPr>
        <w:pStyle w:val="Heading1"/>
        <w:spacing w:after="160"/>
      </w:pPr>
      <w:r>
        <w:rPr>
          <w:b/>
          <w:sz w:val="32"/>
        </w:rPr>
        <w:t xml:space="preserve">3. Background</w:t>
      </w:r>
    </w:p>
    <w:p w14:paraId="00100068" w14:textId="00100069">
      <w:pPr>
        <w:pStyle w:val="Normal"/>
        <w:spacing w:after="160"/>
      </w:pPr>
      <w:r>
        <w:rPr>
          <w:sz w:val="22"/>
        </w:rPr>
        <w:t xml:space="preserve">The DataCo SMART SUPPLY CHAIN FOR BIG DATA ANALYSIS dataset was published by Constante, Silva, and Pereira (2019) via Mendeley Data (DOI: 10.17632/8gx2fvg2k6.5). It represents a realistic simulation of a global supply-chain operation covering multiple markets, product categories, customer segments, and shipping modes. The dataset is widely used in academic research on supply-chain analytics, demand forecasting, and delivery risk prediction.</w:t>
      </w:r>
    </w:p>
    <w:p w14:paraId="0010006A" w14:textId="0010006B">
      <w:pPr>
        <w:pStyle w:val="Heading1"/>
        <w:spacing w:after="160"/>
      </w:pPr>
      <w:r>
        <w:rPr>
          <w:b/>
          <w:sz w:val="32"/>
        </w:rPr>
        <w:t xml:space="preserve">4. Problem Statement</w:t>
      </w:r>
    </w:p>
    <w:p w14:paraId="0010006C" w14:textId="0010006D">
      <w:pPr>
        <w:pStyle w:val="Normal"/>
        <w:spacing w:after="160"/>
      </w:pPr>
      <w:r>
        <w:rPr>
          <w:sz w:val="22"/>
        </w:rPr>
        <w:t xml:space="preserve">Supply-chain organisations face persistent challenges in understanding and improving operational efficiency. Key business questions addressed in this project include: Which product categories and markets drive revenue and profit? What factors are associated with late deliveries? Which regions have higher delivery risk? Where are discounts eroding profitability? Can delivery risk be predicted from pre-shipment data to enable proactive intervention?</w:t>
      </w:r>
    </w:p>
    <w:p w14:paraId="0010006E" w14:textId="0010006F">
      <w:pPr>
        <w:pStyle w:val="Heading1"/>
        <w:spacing w:after="160"/>
      </w:pPr>
      <w:r>
        <w:rPr>
          <w:b/>
          <w:sz w:val="32"/>
        </w:rPr>
        <w:t xml:space="preserve">5. Objectives</w:t>
      </w:r>
    </w:p>
    <w:p w14:paraId="00100070" w14:textId="00100071">
      <w:pPr>
        <w:pStyle w:val="Normal"/>
        <w:spacing w:after="160"/>
      </w:pPr>
      <w:r>
        <w:rPr>
          <w:sz w:val="22"/>
        </w:rPr>
        <w:t xml:space="preserve">1. Perform complete data understanding and quality assessment of the supply-chain dataset.</w:t>
      </w:r>
    </w:p>
    <w:p w14:paraId="00100072" w14:textId="00100073">
      <w:pPr>
        <w:pStyle w:val="Normal"/>
        <w:spacing w:after="160"/>
      </w:pPr>
      <w:r>
        <w:rPr>
          <w:sz w:val="22"/>
        </w:rPr>
        <w:t xml:space="preserve">2. Clean and preprocess the data following professional standards.</w:t>
      </w:r>
    </w:p>
    <w:p w14:paraId="00100074" w14:textId="00100075">
      <w:pPr>
        <w:pStyle w:val="Normal"/>
        <w:spacing w:after="160"/>
      </w:pPr>
      <w:r>
        <w:rPr>
          <w:sz w:val="22"/>
        </w:rPr>
        <w:t xml:space="preserve">3. Engineer meaningful analytical features.</w:t>
      </w:r>
    </w:p>
    <w:p w14:paraId="00100076" w14:textId="00100077">
      <w:pPr>
        <w:pStyle w:val="Normal"/>
        <w:spacing w:after="160"/>
      </w:pPr>
      <w:r>
        <w:rPr>
          <w:sz w:val="22"/>
        </w:rPr>
        <w:t xml:space="preserve">4. Calculate key business KPIs.</w:t>
      </w:r>
    </w:p>
    <w:p w14:paraId="00100078" w14:textId="00100079">
      <w:pPr>
        <w:pStyle w:val="Normal"/>
        <w:spacing w:after="160"/>
      </w:pPr>
      <w:r>
        <w:rPr>
          <w:sz w:val="22"/>
        </w:rPr>
        <w:t xml:space="preserve">5. Perform comprehensive EDA across sales, profitability, customers, products, regions, markets, and shipping.</w:t>
      </w:r>
    </w:p>
    <w:p w14:paraId="0010007A" w14:textId="0010007B">
      <w:pPr>
        <w:pStyle w:val="Normal"/>
        <w:spacing w:after="160"/>
      </w:pPr>
      <w:r>
        <w:rPr>
          <w:sz w:val="22"/>
        </w:rPr>
        <w:t xml:space="preserve">6. Investigate late-delivery patterns by region, market, and shipping mode.</w:t>
      </w:r>
    </w:p>
    <w:p w14:paraId="0010007C" w14:textId="0010007D">
      <w:pPr>
        <w:pStyle w:val="Normal"/>
        <w:spacing w:after="160"/>
      </w:pPr>
      <w:r>
        <w:rPr>
          <w:sz w:val="22"/>
        </w:rPr>
        <w:t xml:space="preserve">7. Build and evaluate machine learning models for late-delivery risk prediction.</w:t>
      </w:r>
    </w:p>
    <w:p w14:paraId="0010007E" w14:textId="0010007F">
      <w:pPr>
        <w:pStyle w:val="Normal"/>
        <w:spacing w:after="160"/>
      </w:pPr>
      <w:r>
        <w:rPr>
          <w:sz w:val="22"/>
        </w:rPr>
        <w:t xml:space="preserve">8. Generate evidence-based business recommendations.</w:t>
      </w:r>
    </w:p>
    <w:p w14:paraId="00100080" w14:textId="00100081">
      <w:pPr>
        <w:pStyle w:val="Normal"/>
        <w:spacing w:after="160"/>
      </w:pPr>
      <w:r>
        <w:rPr>
          <w:sz w:val="22"/>
        </w:rPr>
        <w:t xml:space="preserve">9. Produce professional visualizations and a complete project report.</w:t>
      </w:r>
    </w:p>
    <w:p w14:paraId="00100082" w14:textId="00100083">
      <w:pPr>
        <w:pStyle w:val="Heading1"/>
        <w:spacing w:after="160"/>
      </w:pPr>
      <w:r>
        <w:rPr>
          <w:b/>
          <w:sz w:val="32"/>
        </w:rPr>
        <w:t xml:space="preserve">6. Scope</w:t>
      </w:r>
    </w:p>
    <w:p w14:paraId="00100084" w14:textId="00100085">
      <w:pPr>
        <w:pStyle w:val="Normal"/>
        <w:spacing w:after="240"/>
      </w:pPr>
      <w:r>
        <w:rPr>
          <w:sz w:val="22"/>
        </w:rPr>
        <w:t xml:space="preserve">This project covers: 180,519 supply-chain transactions from January 2015 to January 2018. Five global markets: Africa, Europe, LATAM, Pacific Asia, USCA. Three customer segments: Consumer, Corporate, Home Office. Four shipping modes: Standard Class, First Class, Second Class, Same Day. 50 product categories across 11 departments. Three machine learning models for delivery risk classification.</w:t>
      </w:r>
    </w:p>
    <w:p w14:paraId="00100086" w14:textId="00100087">
      <w:pPr>
        <w:pStyle w:val="Heading1"/>
        <w:spacing w:after="160"/>
      </w:pPr>
      <w:r>
        <w:rPr>
          <w:b/>
          <w:sz w:val="32"/>
        </w:rPr>
        <w:t xml:space="preserve">7. Dataset Description</w:t>
      </w:r>
    </w:p>
    <w:p w14:paraId="00100088" w14:textId="00100089">
      <w:pPr>
        <w:pStyle w:val="Normal"/>
        <w:spacing w:after="160"/>
      </w:pPr>
      <w:r>
        <w:rPr>
          <w:sz w:val="22"/>
        </w:rPr>
        <w:t xml:space="preserve">The DataCo SMART SUPPLY CHAIN FOR BIG DATA ANALYSIS dataset contains 180,519 records and 53 attributes representing supply-chain order transactions. The dataset covers a three-year period (January 2015 – January 2018) across five global markets.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8A" w14:textId="0010008B">
            <w:r>
              <w:t xml:space="preserve">Attribute</w:t>
            </w:r>
          </w:p>
        </w:tc>
        <w:tc>
          <w:p w14:paraId="0010008C" w14:textId="0010008D">
            <w:r>
              <w:t xml:space="preserve">Value</w:t>
            </w:r>
          </w:p>
        </w:tc>
      </w:tr>
      <w:tr>
        <w:trPr/>
        <w:tc>
          <w:p w14:paraId="0010008E" w14:textId="0010008F">
            <w:r>
              <w:t xml:space="preserve">Total Records</w:t>
            </w:r>
          </w:p>
        </w:tc>
        <w:tc>
          <w:p w14:paraId="00100090" w14:textId="00100091">
            <w:r>
              <w:t xml:space="preserve">180,519</w:t>
            </w:r>
          </w:p>
        </w:tc>
      </w:tr>
      <w:tr>
        <w:trPr/>
        <w:tc>
          <w:p w14:paraId="00100092" w14:textId="00100093">
            <w:r>
              <w:t xml:space="preserve">Total Features</w:t>
            </w:r>
          </w:p>
        </w:tc>
        <w:tc>
          <w:p w14:paraId="00100094" w14:textId="00100095">
            <w:r>
              <w:t xml:space="preserve">53</w:t>
            </w:r>
          </w:p>
        </w:tc>
      </w:tr>
      <w:tr>
        <w:trPr/>
        <w:tc>
          <w:p w14:paraId="00100096" w14:textId="00100097">
            <w:r>
              <w:t xml:space="preserve">Date Range</w:t>
            </w:r>
          </w:p>
        </w:tc>
        <w:tc>
          <w:p w14:paraId="00100098" w14:textId="00100099">
            <w:r>
              <w:t xml:space="preserve">January 2015 – January 2018</w:t>
            </w:r>
          </w:p>
        </w:tc>
      </w:tr>
      <w:tr>
        <w:trPr/>
        <w:tc>
          <w:p w14:paraId="0010009A" w14:textId="0010009B">
            <w:r>
              <w:t xml:space="preserve">Markets</w:t>
            </w:r>
          </w:p>
        </w:tc>
        <w:tc>
          <w:p w14:paraId="0010009C" w14:textId="0010009D">
            <w:r>
              <w:t xml:space="preserve">Africa, Europe, LATAM, Pacific Asia, USCA</w:t>
            </w:r>
          </w:p>
        </w:tc>
      </w:tr>
      <w:tr>
        <w:trPr/>
        <w:tc>
          <w:p w14:paraId="0010009E" w14:textId="0010009F">
            <w:r>
              <w:t xml:space="preserve">Customer Segments</w:t>
            </w:r>
          </w:p>
        </w:tc>
        <w:tc>
          <w:p w14:paraId="001000A0" w14:textId="001000A1">
            <w:r>
              <w:t xml:space="preserve">Consumer, Corporate, Home Office</w:t>
            </w:r>
          </w:p>
        </w:tc>
      </w:tr>
      <w:tr>
        <w:trPr/>
        <w:tc>
          <w:p w14:paraId="001000A2" w14:textId="001000A3">
            <w:r>
              <w:t xml:space="preserve">Shipping Modes</w:t>
            </w:r>
          </w:p>
        </w:tc>
        <w:tc>
          <w:p w14:paraId="001000A4" w14:textId="001000A5">
            <w:r>
              <w:t xml:space="preserve">Standard Class, First Class, Second Class, Same Day</w:t>
            </w:r>
          </w:p>
        </w:tc>
      </w:tr>
      <w:tr>
        <w:trPr/>
        <w:tc>
          <w:p w14:paraId="001000A6" w14:textId="001000A7">
            <w:r>
              <w:t xml:space="preserve">Product Categories</w:t>
            </w:r>
          </w:p>
        </w:tc>
        <w:tc>
          <w:p w14:paraId="001000A8" w14:textId="001000A9">
            <w:r>
              <w:t xml:space="preserve">50 categories across 11 departments</w:t>
            </w:r>
          </w:p>
        </w:tc>
      </w:tr>
      <w:tr>
        <w:trPr/>
        <w:tc>
          <w:p w14:paraId="001000AA" w14:textId="001000AB">
            <w:r>
              <w:t xml:space="preserve">Duplicate Records</w:t>
            </w:r>
          </w:p>
        </w:tc>
        <w:tc>
          <w:p w14:paraId="001000AC" w14:textId="001000AD">
            <w:r>
              <w:t xml:space="preserve">0</w:t>
            </w:r>
          </w:p>
        </w:tc>
      </w:tr>
    </w:tbl>
    <w:p w14:paraId="001000AE" w14:textId="001000AF">
      <w:pPr>
        <w:pStyle w:val="Heading1"/>
        <w:spacing w:after="160"/>
      </w:pPr>
      <w:r>
        <w:rPr>
          <w:b/>
          <w:sz w:val="32"/>
        </w:rPr>
        <w:t xml:space="preserve">8. Dataset Source and Attribution</w:t>
      </w:r>
    </w:p>
    <w:p w14:paraId="001000B0" w14:textId="001000B1">
      <w:pPr>
        <w:pStyle w:val="Normal"/>
        <w:spacing w:after="240"/>
      </w:pPr>
      <w:r>
        <w:rPr>
          <w:sz w:val="22"/>
        </w:rPr>
        <w:t xml:space="preserve">Dataset: DataCo SMART SUPPLY CHAIN FOR BIG DATA ANALYSIS</w:t>
      </w:r>
    </w:p>
    <w:p w14:paraId="001000B2" w14:textId="001000B3">
      <w:pPr>
        <w:pStyle w:val="Normal"/>
        <w:spacing w:after="240"/>
      </w:pPr>
      <w:r>
        <w:rPr>
          <w:sz w:val="22"/>
        </w:rPr>
        <w:t xml:space="preserve">Authors: Constante, F., Silva, F., and Pereira, A. (2019)</w:t>
      </w:r>
    </w:p>
    <w:p w14:paraId="001000B4" w14:textId="001000B5">
      <w:pPr>
        <w:pStyle w:val="Normal"/>
        <w:spacing w:after="240"/>
      </w:pPr>
      <w:r>
        <w:rPr>
          <w:sz w:val="22"/>
        </w:rPr>
        <w:t xml:space="preserve">Original Source: Mendeley Data — https://data.mendeley.com/datasets/8gx2fvg2k6/5</w:t>
      </w:r>
    </w:p>
    <w:p w14:paraId="001000B6" w14:textId="001000B7">
      <w:pPr>
        <w:pStyle w:val="Normal"/>
        <w:spacing w:after="240"/>
      </w:pPr>
      <w:r>
        <w:rPr>
          <w:sz w:val="22"/>
        </w:rPr>
        <w:t xml:space="preserve">DOI: 10.17632/8gx2fvg2k6.5</w:t>
      </w:r>
    </w:p>
    <w:p w14:paraId="001000B8" w14:textId="001000B9">
      <w:pPr>
        <w:pStyle w:val="Normal"/>
        <w:spacing w:after="240"/>
      </w:pPr>
      <w:r>
        <w:rPr>
          <w:sz w:val="22"/>
        </w:rPr>
        <w:t xml:space="preserve">Kaggle Mirror: https://www.kaggle.com/datasets/alinoranianesfahani/dataco-smart-supply-chain-for-big-data-analysis</w:t>
      </w:r>
    </w:p>
    <w:p w14:paraId="001000BA" w14:textId="001000BB">
      <w:pPr>
        <w:pStyle w:val="Normal"/>
        <w:spacing w:after="240"/>
      </w:pPr>
      <w:r>
        <w:rPr>
          <w:sz w:val="22"/>
        </w:rPr>
        <w:t xml:space="preserve">License: Creative Commons Attribution 4.0 International (CC BY 4.0)</w:t>
      </w:r>
    </w:p>
    <w:p w14:paraId="001000BC" w14:textId="001000BD">
      <w:pPr>
        <w:pStyle w:val="Heading1"/>
        <w:spacing w:after="160"/>
      </w:pPr>
      <w:r>
        <w:rPr>
          <w:b/>
          <w:sz w:val="32"/>
        </w:rPr>
        <w:t xml:space="preserve">9. Data Dictionary</w:t>
      </w:r>
    </w:p>
    <w:p w14:paraId="001000BE" w14:textId="001000BF">
      <w:pPr>
        <w:pStyle w:val="Normal"/>
        <w:spacing w:after="120"/>
      </w:pPr>
      <w:r>
        <w:rPr>
          <w:sz w:val="22"/>
        </w:rPr>
        <w:t xml:space="preserve">Key fields and their definitions (from the official dataset description):</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C0" w14:textId="001000C1">
            <w:r>
              <w:t xml:space="preserve">Field</w:t>
            </w:r>
          </w:p>
        </w:tc>
        <w:tc>
          <w:p w14:paraId="001000C2" w14:textId="001000C3">
            <w:r>
              <w:t xml:space="preserve">Description</w:t>
            </w:r>
          </w:p>
        </w:tc>
      </w:tr>
      <w:tr>
        <w:trPr/>
        <w:tc>
          <w:p w14:paraId="001000C4" w14:textId="001000C5">
            <w:r>
              <w:t xml:space="preserve">Type</w:t>
            </w:r>
          </w:p>
        </w:tc>
        <w:tc>
          <w:p w14:paraId="001000C6" w14:textId="001000C7">
            <w:r>
              <w:t xml:space="preserve">Type of transaction (DEBIT, TRANSFER, CASH, PAYMENT)</w:t>
            </w:r>
          </w:p>
        </w:tc>
      </w:tr>
      <w:tr>
        <w:trPr/>
        <w:tc>
          <w:p w14:paraId="001000C8" w14:textId="001000C9">
            <w:r>
              <w:t xml:space="preserve">Days for shipping (real)</w:t>
            </w:r>
          </w:p>
        </w:tc>
        <w:tc>
          <w:p w14:paraId="001000CA" w14:textId="001000CB">
            <w:r>
              <w:t xml:space="preserve">Actual number of days taken to ship the order</w:t>
            </w:r>
          </w:p>
        </w:tc>
      </w:tr>
      <w:tr>
        <w:trPr/>
        <w:tc>
          <w:p w14:paraId="001000CC" w14:textId="001000CD">
            <w:r>
              <w:t xml:space="preserve">Days for shipment (scheduled)</w:t>
            </w:r>
          </w:p>
        </w:tc>
        <w:tc>
          <w:p w14:paraId="001000CE" w14:textId="001000CF">
            <w:r>
              <w:t xml:space="preserve">Number of days originally scheduled for delivery</w:t>
            </w:r>
          </w:p>
        </w:tc>
      </w:tr>
      <w:tr>
        <w:trPr/>
        <w:tc>
          <w:p w14:paraId="001000D0" w14:textId="001000D1">
            <w:r>
              <w:t xml:space="preserve">Benefit per order</w:t>
            </w:r>
          </w:p>
        </w:tc>
        <w:tc>
          <w:p w14:paraId="001000D2" w14:textId="001000D3">
            <w:r>
              <w:t xml:space="preserve">Earnings/profit per order placed</w:t>
            </w:r>
          </w:p>
        </w:tc>
      </w:tr>
      <w:tr>
        <w:trPr/>
        <w:tc>
          <w:p w14:paraId="001000D4" w14:textId="001000D5">
            <w:r>
              <w:t xml:space="preserve">Sales per customer</w:t>
            </w:r>
          </w:p>
        </w:tc>
        <w:tc>
          <w:p w14:paraId="001000D6" w14:textId="001000D7">
            <w:r>
              <w:t xml:space="preserve">Total sales amount per customer</w:t>
            </w:r>
          </w:p>
        </w:tc>
      </w:tr>
      <w:tr>
        <w:trPr/>
        <w:tc>
          <w:p w14:paraId="001000D8" w14:textId="001000D9">
            <w:r>
              <w:t xml:space="preserve">Delivery Status</w:t>
            </w:r>
          </w:p>
        </w:tc>
        <w:tc>
          <w:p w14:paraId="001000DA" w14:textId="001000DB">
            <w:r>
              <w:t xml:space="preserve">Outcome: Advance shipping, Late delivery, Shipping on time, Shipping canceled</w:t>
            </w:r>
          </w:p>
        </w:tc>
      </w:tr>
      <w:tr>
        <w:trPr/>
        <w:tc>
          <w:p w14:paraId="001000DC" w14:textId="001000DD">
            <w:r>
              <w:t xml:space="preserve">Late_delivery_risk</w:t>
            </w:r>
          </w:p>
        </w:tc>
        <w:tc>
          <w:p w14:paraId="001000DE" w14:textId="001000DF">
            <w:r>
              <w:t xml:space="preserve">Binary: 1 = late delivery, 0 = on time (ML target)</w:t>
            </w:r>
          </w:p>
        </w:tc>
      </w:tr>
      <w:tr>
        <w:trPr/>
        <w:tc>
          <w:p w14:paraId="001000E0" w14:textId="001000E1">
            <w:r>
              <w:t xml:space="preserve">Category Name</w:t>
            </w:r>
          </w:p>
        </w:tc>
        <w:tc>
          <w:p w14:paraId="001000E2" w14:textId="001000E3">
            <w:r>
              <w:t xml:space="preserve">Product category name (50 categories)</w:t>
            </w:r>
          </w:p>
        </w:tc>
      </w:tr>
      <w:tr>
        <w:trPr/>
        <w:tc>
          <w:p w14:paraId="001000E4" w14:textId="001000E5">
            <w:r>
              <w:t xml:space="preserve">Customer Segment</w:t>
            </w:r>
          </w:p>
        </w:tc>
        <w:tc>
          <w:p w14:paraId="001000E6" w14:textId="001000E7">
            <w:r>
              <w:t xml:space="preserve">Consumer, Corporate, or Home Office</w:t>
            </w:r>
          </w:p>
        </w:tc>
      </w:tr>
      <w:tr>
        <w:trPr/>
        <w:tc>
          <w:p w14:paraId="001000E8" w14:textId="001000E9">
            <w:r>
              <w:t xml:space="preserve">Market</w:t>
            </w:r>
          </w:p>
        </w:tc>
        <w:tc>
          <w:p w14:paraId="001000EA" w14:textId="001000EB">
            <w:r>
              <w:t xml:space="preserve">Geographic market (Africa, Europe, LATAM, Pacific Asia, USCA)</w:t>
            </w:r>
          </w:p>
        </w:tc>
      </w:tr>
      <w:tr>
        <w:trPr/>
        <w:tc>
          <w:p w14:paraId="001000EC" w14:textId="001000ED">
            <w:r>
              <w:t xml:space="preserve">Order Region</w:t>
            </w:r>
          </w:p>
        </w:tc>
        <w:tc>
          <w:p w14:paraId="001000EE" w14:textId="001000EF">
            <w:r>
              <w:t xml:space="preserve">Specific region within each market (23 regions)</w:t>
            </w:r>
          </w:p>
        </w:tc>
      </w:tr>
      <w:tr>
        <w:trPr/>
        <w:tc>
          <w:p w14:paraId="001000F0" w14:textId="001000F1">
            <w:r>
              <w:t xml:space="preserve">Order Item Discount</w:t>
            </w:r>
          </w:p>
        </w:tc>
        <w:tc>
          <w:p w14:paraId="001000F2" w14:textId="001000F3">
            <w:r>
              <w:t xml:space="preserve">Discount amount applied to the order item ($)</w:t>
            </w:r>
          </w:p>
        </w:tc>
      </w:tr>
      <w:tr>
        <w:trPr/>
        <w:tc>
          <w:p w14:paraId="001000F4" w14:textId="001000F5">
            <w:r>
              <w:t xml:space="preserve">Order Item Discount Rate</w:t>
            </w:r>
          </w:p>
        </w:tc>
        <w:tc>
          <w:p w14:paraId="001000F6" w14:textId="001000F7">
            <w:r>
              <w:t xml:space="preserve">Discount as a percentage of item price (0.0–0.25)</w:t>
            </w:r>
          </w:p>
        </w:tc>
      </w:tr>
      <w:tr>
        <w:trPr/>
        <w:tc>
          <w:p w14:paraId="001000F8" w14:textId="001000F9">
            <w:r>
              <w:t xml:space="preserve">Order Item Profit Ratio</w:t>
            </w:r>
          </w:p>
        </w:tc>
        <w:tc>
          <w:p w14:paraId="001000FA" w14:textId="001000FB">
            <w:r>
              <w:t xml:space="preserve">Profit as a ratio of item revenue (can be negative)</w:t>
            </w:r>
          </w:p>
        </w:tc>
      </w:tr>
      <w:tr>
        <w:trPr/>
        <w:tc>
          <w:p w14:paraId="001000FC" w14:textId="001000FD">
            <w:r>
              <w:t xml:space="preserve">Sales</w:t>
            </w:r>
          </w:p>
        </w:tc>
        <w:tc>
          <w:p w14:paraId="001000FE" w14:textId="001000FF">
            <w:r>
              <w:t xml:space="preserve">Final sales value of the order item ($)</w:t>
            </w:r>
          </w:p>
        </w:tc>
      </w:tr>
      <w:tr>
        <w:trPr/>
        <w:tc>
          <w:p w14:paraId="00100100" w14:textId="00100101">
            <w:r>
              <w:t xml:space="preserve">Order Profit Per Order</w:t>
            </w:r>
          </w:p>
        </w:tc>
        <w:tc>
          <w:p w14:paraId="00100102" w14:textId="00100103">
            <w:r>
              <w:t xml:space="preserve">Total profit per order (can be negative for loss orders)</w:t>
            </w:r>
          </w:p>
        </w:tc>
      </w:tr>
      <w:tr>
        <w:trPr/>
        <w:tc>
          <w:p w14:paraId="00100104" w14:textId="00100105">
            <w:r>
              <w:t xml:space="preserve">Shipping Mode</w:t>
            </w:r>
          </w:p>
        </w:tc>
        <w:tc>
          <w:p w14:paraId="00100106" w14:textId="00100107">
            <w:r>
              <w:t xml:space="preserve">Standard Class, First Class, Second Class, or Same Day</w:t>
            </w:r>
          </w:p>
        </w:tc>
      </w:tr>
      <w:tr>
        <w:trPr/>
        <w:tc>
          <w:p w14:paraId="00100108" w14:textId="00100109">
            <w:r>
              <w:t xml:space="preserve">Product Price</w:t>
            </w:r>
          </w:p>
        </w:tc>
        <w:tc>
          <w:p w14:paraId="0010010A" w14:textId="0010010B">
            <w:r>
              <w:t xml:space="preserve">Product list price ($)</w:t>
            </w:r>
          </w:p>
        </w:tc>
      </w:tr>
      <w:tr>
        <w:trPr/>
        <w:tc>
          <w:p w14:paraId="0010010C" w14:textId="0010010D">
            <w:r>
              <w:t xml:space="preserve">order date (DateOrders)</w:t>
            </w:r>
          </w:p>
        </w:tc>
        <w:tc>
          <w:p w14:paraId="0010010E" w14:textId="0010010F">
            <w:r>
              <w:t xml:space="preserve">Date and time the order was placed</w:t>
            </w:r>
          </w:p>
        </w:tc>
      </w:tr>
      <w:tr>
        <w:trPr/>
        <w:tc>
          <w:p w14:paraId="00100110" w14:textId="00100111">
            <w:r>
              <w:t xml:space="preserve">shipping date (DateOrders)</w:t>
            </w:r>
          </w:p>
        </w:tc>
        <w:tc>
          <w:p w14:paraId="00100112" w14:textId="00100113">
            <w:r>
              <w:t xml:space="preserve">Date and time the order was shipped</w:t>
            </w:r>
          </w:p>
        </w:tc>
      </w:tr>
    </w:tbl>
    <w:p w14:paraId="00100114" w14:textId="00100115">
      <w:pPr>
        <w:pStyle w:val="Heading1"/>
        <w:spacing w:after="160"/>
      </w:pPr>
      <w:r>
        <w:rPr>
          <w:b/>
          <w:sz w:val="32"/>
        </w:rPr>
        <w:t xml:space="preserve">10. Tools and Technologies</w:t>
      </w:r>
    </w:p>
    <w:p w14:paraId="00100116" w14:textId="00100117">
      <w:pPr>
        <w:pStyle w:val="Normal"/>
        <w:spacing w:after="240"/>
      </w:pPr>
      <w:r>
        <w:rPr>
          <w:sz w:val="22"/>
        </w:rPr>
        <w:t xml:space="preserve">Python 3.x — Core programming language</w:t>
      </w:r>
    </w:p>
    <w:p w14:paraId="00100118" w14:textId="00100119">
      <w:pPr>
        <w:pStyle w:val="Normal"/>
        <w:spacing w:after="240"/>
      </w:pPr>
      <w:r>
        <w:rPr>
          <w:sz w:val="22"/>
        </w:rPr>
        <w:t xml:space="preserve">Pandas — Data manipulation and analysis</w:t>
      </w:r>
    </w:p>
    <w:p w14:paraId="0010011A" w14:textId="0010011B">
      <w:pPr>
        <w:pStyle w:val="Normal"/>
        <w:spacing w:after="240"/>
      </w:pPr>
      <w:r>
        <w:rPr>
          <w:sz w:val="22"/>
        </w:rPr>
        <w:t xml:space="preserve">NumPy — Numerical computing</w:t>
      </w:r>
    </w:p>
    <w:p w14:paraId="0010011C" w14:textId="0010011D">
      <w:pPr>
        <w:pStyle w:val="Normal"/>
        <w:spacing w:after="240"/>
      </w:pPr>
      <w:r>
        <w:rPr>
          <w:sz w:val="22"/>
        </w:rPr>
        <w:t xml:space="preserve">Matplotlib — Data visualization</w:t>
      </w:r>
    </w:p>
    <w:p w14:paraId="0010011E" w14:textId="0010011F">
      <w:pPr>
        <w:pStyle w:val="Normal"/>
        <w:spacing w:after="240"/>
      </w:pPr>
      <w:r>
        <w:rPr>
          <w:sz w:val="22"/>
        </w:rPr>
        <w:t xml:space="preserve">Seaborn — Statistical data visualization</w:t>
      </w:r>
    </w:p>
    <w:p w14:paraId="00100120" w14:textId="00100121">
      <w:pPr>
        <w:pStyle w:val="Normal"/>
        <w:spacing w:after="240"/>
      </w:pPr>
      <w:r>
        <w:rPr>
          <w:sz w:val="22"/>
        </w:rPr>
        <w:t xml:space="preserve">Scikit-learn — Machine learning (preprocessing, models, evaluation)</w:t>
      </w:r>
    </w:p>
    <w:p w14:paraId="00100122" w14:textId="00100123">
      <w:pPr>
        <w:pStyle w:val="Normal"/>
        <w:spacing w:after="240"/>
      </w:pPr>
      <w:r>
        <w:rPr>
          <w:sz w:val="22"/>
        </w:rPr>
        <w:t xml:space="preserve">Jupyter Notebook — Interactive development and presentation</w:t>
      </w:r>
    </w:p>
    <w:p w14:paraId="00100124" w14:textId="00100125">
      <w:pPr>
        <w:pStyle w:val="Normal"/>
        <w:spacing w:after="240"/>
      </w:pPr>
      <w:r>
        <w:rPr>
          <w:sz w:val="22"/>
        </w:rPr>
        <w:t xml:space="preserve">Python-docx — Word report generation</w:t>
      </w:r>
    </w:p>
    <w:p w14:paraId="00100126" w14:textId="00100127">
      <w:pPr>
        <w:pStyle w:val="Normal"/>
        <w:spacing w:after="240"/>
      </w:pPr>
      <w:r>
        <w:rPr>
          <w:sz w:val="22"/>
        </w:rPr>
        <w:t xml:space="preserve">GitHub — Version control and project hosting</w:t>
      </w:r>
    </w:p>
    <w:p w14:paraId="00100128" w14:textId="00100129">
      <w:pPr>
        <w:pStyle w:val="Heading1"/>
        <w:spacing w:after="160"/>
      </w:pPr>
      <w:r>
        <w:rPr>
          <w:b/>
          <w:sz w:val="32"/>
        </w:rPr>
        <w:t xml:space="preserve">11. Methodology</w:t>
      </w:r>
    </w:p>
    <w:p w14:paraId="0010012A" w14:textId="0010012B">
      <w:pPr>
        <w:pStyle w:val="Normal"/>
        <w:spacing w:after="240"/>
      </w:pPr>
      <w:r>
        <w:rPr>
          <w:sz w:val="22"/>
        </w:rPr>
        <w:t xml:space="preserve">The project follows a structured end-to-end data analytics pipeline:</w:t>
      </w:r>
    </w:p>
    <w:p w14:paraId="0010012C" w14:textId="0010012D">
      <w:pPr>
        <w:pStyle w:val="Normal"/>
        <w:spacing w:after="240"/>
      </w:pPr>
      <w:r>
        <w:rPr>
          <w:sz w:val="22"/>
        </w:rPr>
        <w:t xml:space="preserve"/>
      </w:r>
    </w:p>
    <w:p w14:paraId="0010012E" w14:textId="0010012F">
      <w:pPr>
        <w:pStyle w:val="Normal"/>
        <w:spacing w:after="240"/>
      </w:pPr>
      <w:r>
        <w:rPr>
          <w:sz w:val="22"/>
        </w:rPr>
        <w:t xml:space="preserve">1. Data Understanding: Load and inspect the raw dataset to understand structure, types, and distributions.</w:t>
      </w:r>
    </w:p>
    <w:p w14:paraId="00100130" w14:textId="00100131">
      <w:pPr>
        <w:pStyle w:val="Normal"/>
        <w:spacing w:after="240"/>
      </w:pPr>
      <w:r>
        <w:rPr>
          <w:sz w:val="22"/>
        </w:rPr>
        <w:t xml:space="preserve">2. Data Quality Assessment: Identify missing values, duplicates, invalid data, and structural issues.</w:t>
      </w:r>
    </w:p>
    <w:p w14:paraId="00100132" w14:textId="00100133">
      <w:pPr>
        <w:pStyle w:val="Normal"/>
        <w:spacing w:after="240"/>
      </w:pPr>
      <w:r>
        <w:rPr>
          <w:sz w:val="22"/>
        </w:rPr>
        <w:t xml:space="preserve">3. Data Cleaning: Handle quality issues without altering source data integrity.</w:t>
      </w:r>
    </w:p>
    <w:p w14:paraId="00100134" w14:textId="00100135">
      <w:pPr>
        <w:pStyle w:val="Normal"/>
        <w:spacing w:after="240"/>
      </w:pPr>
      <w:r>
        <w:rPr>
          <w:sz w:val="22"/>
        </w:rPr>
        <w:t xml:space="preserve">4. Feature Engineering: Create analytical features for time, delivery, and profitability analysis.</w:t>
      </w:r>
    </w:p>
    <w:p w14:paraId="00100136" w14:textId="00100137">
      <w:pPr>
        <w:pStyle w:val="Normal"/>
        <w:spacing w:after="240"/>
      </w:pPr>
      <w:r>
        <w:rPr>
          <w:sz w:val="22"/>
        </w:rPr>
        <w:t xml:space="preserve">5. KPI Calculation: Compute core business performance indicators.</w:t>
      </w:r>
    </w:p>
    <w:p w14:paraId="00100138" w14:textId="00100139">
      <w:pPr>
        <w:pStyle w:val="Normal"/>
        <w:spacing w:after="240"/>
      </w:pPr>
      <w:r>
        <w:rPr>
          <w:sz w:val="22"/>
        </w:rPr>
        <w:t xml:space="preserve">6. Exploratory Data Analysis: Systematic analysis across all business dimensions.</w:t>
      </w:r>
    </w:p>
    <w:p w14:paraId="0010013A" w14:textId="0010013B">
      <w:pPr>
        <w:pStyle w:val="Normal"/>
        <w:spacing w:after="240"/>
      </w:pPr>
      <w:r>
        <w:rPr>
          <w:sz w:val="22"/>
        </w:rPr>
        <w:t xml:space="preserve">7. Business Questions: Answer specific analytical questions from the data.</w:t>
      </w:r>
    </w:p>
    <w:p w14:paraId="0010013C" w14:textId="0010013D">
      <w:pPr>
        <w:pStyle w:val="Normal"/>
        <w:spacing w:after="240"/>
      </w:pPr>
      <w:r>
        <w:rPr>
          <w:sz w:val="22"/>
        </w:rPr>
        <w:t xml:space="preserve">8. Machine Learning: Build, evaluate, and compare predictive models for delivery risk.</w:t>
      </w:r>
    </w:p>
    <w:p w14:paraId="0010013E" w14:textId="0010013F">
      <w:pPr>
        <w:pStyle w:val="Normal"/>
        <w:spacing w:after="240"/>
      </w:pPr>
      <w:r>
        <w:rPr>
          <w:sz w:val="22"/>
        </w:rPr>
        <w:t xml:space="preserve">9. Insights and Recommendations: Derive evidence-based business recommendations.</w:t>
      </w:r>
    </w:p>
    <w:p w14:paraId="00100140" w14:textId="00100141">
      <w:pPr>
        <w:pStyle w:val="Heading1"/>
        <w:spacing w:after="160"/>
      </w:pPr>
      <w:r>
        <w:rPr>
          <w:b/>
          <w:sz w:val="32"/>
        </w:rPr>
        <w:t xml:space="preserve">12. Data Understanding</w:t>
      </w:r>
    </w:p>
    <w:p w14:paraId="00100142" w14:textId="00100143">
      <w:pPr>
        <w:pStyle w:val="Normal"/>
        <w:spacing w:after="160"/>
      </w:pPr>
      <w:r>
        <w:rPr>
          <w:sz w:val="22"/>
        </w:rPr>
        <w:t xml:space="preserve">The dataset was loaded and inspected, revealing 180,519 records across 53 columns. The date range spans January 1, 2015 to January 31, 2018 — approximately 3 years and 1 month of supply-chain transactions. Column types include numerical (integer and float), string (object), and date fields. The unique Product Description column is entirely empty (100% null) and provides no analytical value. The Order Zipcode column has 86.2% missing values.</w:t>
      </w:r>
    </w:p>
    <w:p w14:paraId="00100144" w14:textId="00100145">
      <w:pPr>
        <w:pStyle w:val="Heading1"/>
        <w:spacing w:after="160"/>
      </w:pPr>
      <w:r>
        <w:rPr>
          <w:b/>
          <w:sz w:val="32"/>
        </w:rPr>
        <w:t xml:space="preserve">13. Data Quality Assessment</w:t>
      </w:r>
    </w:p>
    <w:p w14:paraId="00100146" w14:textId="00100147">
      <w:pPr>
        <w:pStyle w:val="Normal"/>
        <w:spacing w:after="160"/>
      </w:pPr>
      <w:r>
        <w:rPr>
          <w:sz w:val="22"/>
        </w:rPr>
        <w:t xml:space="preserve">A systematic data quality assessment was performed, identifying the following issues: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48" w14:textId="00100149">
            <w:r>
              <w:t xml:space="preserve">Issue</w:t>
            </w:r>
          </w:p>
        </w:tc>
        <w:tc>
          <w:p w14:paraId="0010014A" w14:textId="0010014B">
            <w:r>
              <w:t xml:space="preserve">Count / Severity</w:t>
            </w:r>
          </w:p>
        </w:tc>
        <w:tc>
          <w:p w14:paraId="0010014C" w14:textId="0010014D">
            <w:r>
              <w:t xml:space="preserve">Impact</w:t>
            </w:r>
          </w:p>
        </w:tc>
        <w:tc>
          <w:p w14:paraId="0010014E" w14:textId="0010014F">
            <w:r>
              <w:t xml:space="preserve">Action Taken</w:t>
            </w:r>
          </w:p>
        </w:tc>
      </w:tr>
      <w:tr>
        <w:trPr/>
        <w:tc>
          <w:p w14:paraId="00100150" w14:textId="00100151">
            <w:r>
              <w:t xml:space="preserve">Product Description (100% missing)</w:t>
            </w:r>
          </w:p>
        </w:tc>
        <w:tc>
          <w:p w14:paraId="00100152" w14:textId="00100153">
            <w:r>
              <w:t xml:space="preserve">180,519 / Critical</w:t>
            </w:r>
          </w:p>
        </w:tc>
        <w:tc>
          <w:p w14:paraId="00100154" w14:textId="00100155">
            <w:r>
              <w:t xml:space="preserve">No analytical value</w:t>
            </w:r>
          </w:p>
        </w:tc>
        <w:tc>
          <w:p w14:paraId="00100156" w14:textId="00100157">
            <w:r>
              <w:t xml:space="preserve">Column dropped</w:t>
            </w:r>
          </w:p>
        </w:tc>
      </w:tr>
      <w:tr>
        <w:trPr/>
        <w:tc>
          <w:p w14:paraId="00100158" w14:textId="00100159">
            <w:r>
              <w:t xml:space="preserve">Order Zipcode (86% missing)</w:t>
            </w:r>
          </w:p>
        </w:tc>
        <w:tc>
          <w:p w14:paraId="0010015A" w14:textId="0010015B">
            <w:r>
              <w:t xml:space="preserve">155,679 / High</w:t>
            </w:r>
          </w:p>
        </w:tc>
        <w:tc>
          <w:p w14:paraId="0010015C" w14:textId="0010015D">
            <w:r>
              <w:t xml:space="preserve">Not used in analysis</w:t>
            </w:r>
          </w:p>
        </w:tc>
        <w:tc>
          <w:p w14:paraId="0010015E" w14:textId="0010015F">
            <w:r>
              <w:t xml:space="preserve">Column dropped</w:t>
            </w:r>
          </w:p>
        </w:tc>
      </w:tr>
      <w:tr>
        <w:trPr/>
        <w:tc>
          <w:p w14:paraId="00100160" w14:textId="00100161">
            <w:r>
              <w:t xml:space="preserve">Customer Lname missing</w:t>
            </w:r>
          </w:p>
        </w:tc>
        <w:tc>
          <w:p w14:paraId="00100162" w14:textId="00100163">
            <w:r>
              <w:t xml:space="preserve">8 / Negligible</w:t>
            </w:r>
          </w:p>
        </w:tc>
        <w:tc>
          <w:p w14:paraId="00100164" w14:textId="00100165">
            <w:r>
              <w:t xml:space="preserve">Identifier only</w:t>
            </w:r>
          </w:p>
        </w:tc>
        <w:tc>
          <w:p w14:paraId="00100166" w14:textId="00100167">
            <w:r>
              <w:t xml:space="preserve">Left as-is</w:t>
            </w:r>
          </w:p>
        </w:tc>
      </w:tr>
      <w:tr>
        <w:trPr/>
        <w:tc>
          <w:p w14:paraId="00100168" w14:textId="00100169">
            <w:r>
              <w:t xml:space="preserve">Customer Zipcode missing</w:t>
            </w:r>
          </w:p>
        </w:tc>
        <w:tc>
          <w:p w14:paraId="0010016A" w14:textId="0010016B">
            <w:r>
              <w:t xml:space="preserve">3 / Negligible</w:t>
            </w:r>
          </w:p>
        </w:tc>
        <w:tc>
          <w:p w14:paraId="0010016C" w14:textId="0010016D">
            <w:r>
              <w:t xml:space="preserve">Not used in analysis</w:t>
            </w:r>
          </w:p>
        </w:tc>
        <w:tc>
          <w:p w14:paraId="0010016E" w14:textId="0010016F">
            <w:r>
              <w:t xml:space="preserve">Filled with 0</w:t>
            </w:r>
          </w:p>
        </w:tc>
      </w:tr>
      <w:tr>
        <w:trPr/>
        <w:tc>
          <w:p w14:paraId="00100170" w14:textId="00100171">
            <w:r>
              <w:t xml:space="preserve">Negative profit orders</w:t>
            </w:r>
          </w:p>
        </w:tc>
        <w:tc>
          <w:p w14:paraId="00100172" w14:textId="00100173">
            <w:r>
              <w:t xml:space="preserve">33,713 (18.7%) / Informative</w:t>
            </w:r>
          </w:p>
        </w:tc>
        <w:tc>
          <w:p w14:paraId="00100174" w14:textId="00100175">
            <w:r>
              <w:t xml:space="preserve">Valid business insight</w:t>
            </w:r>
          </w:p>
        </w:tc>
        <w:tc>
          <w:p w14:paraId="00100176" w14:textId="00100177">
            <w:r>
              <w:t xml:space="preserve">Retained — valid data</w:t>
            </w:r>
          </w:p>
        </w:tc>
      </w:tr>
      <w:tr>
        <w:trPr/>
        <w:tc>
          <w:p w14:paraId="00100178" w14:textId="00100179">
            <w:r>
              <w:t xml:space="preserve">Duplicate records</w:t>
            </w:r>
          </w:p>
        </w:tc>
        <w:tc>
          <w:p w14:paraId="0010017A" w14:textId="0010017B">
            <w:r>
              <w:t xml:space="preserve">0 / None</w:t>
            </w:r>
          </w:p>
        </w:tc>
        <w:tc>
          <w:p w14:paraId="0010017C" w14:textId="0010017D">
            <w:r>
              <w:t xml:space="preserve">None</w:t>
            </w:r>
          </w:p>
        </w:tc>
        <w:tc>
          <w:p w14:paraId="0010017E" w14:textId="0010017F">
            <w:r>
              <w:t xml:space="preserve">None required</w:t>
            </w:r>
          </w:p>
        </w:tc>
      </w:tr>
    </w:tbl>
    <w:p w14:paraId="00100180" w14:textId="00100181">
      <w:pPr>
        <w:pStyle w:val="Heading1"/>
        <w:spacing w:after="160"/>
      </w:pPr>
      <w:r>
        <w:rPr>
          <w:b/>
          <w:sz w:val="32"/>
        </w:rPr>
        <w:t xml:space="preserve">14. Data Cleaning and Preprocessing</w:t>
      </w:r>
    </w:p>
    <w:p w14:paraId="00100182" w14:textId="00100183">
      <w:pPr>
        <w:pStyle w:val="Normal"/>
        <w:spacing w:after="240"/>
      </w:pPr>
      <w:r>
        <w:rPr>
          <w:sz w:val="22"/>
        </w:rPr>
        <w:t xml:space="preserve">Professional data cleaning was applied to the dataset:</w:t>
      </w:r>
    </w:p>
    <w:p w14:paraId="00100184" w14:textId="00100185">
      <w:pPr>
        <w:pStyle w:val="Normal"/>
        <w:spacing w:after="240"/>
      </w:pPr>
      <w:r>
        <w:rPr>
          <w:sz w:val="22"/>
        </w:rPr>
        <w:t xml:space="preserve">1. Dropped Product Description column (100% missing, no analytical value).</w:t>
      </w:r>
    </w:p>
    <w:p w14:paraId="00100186" w14:textId="00100187">
      <w:pPr>
        <w:pStyle w:val="Normal"/>
        <w:spacing w:after="240"/>
      </w:pPr>
      <w:r>
        <w:rPr>
          <w:sz w:val="22"/>
        </w:rPr>
        <w:t xml:space="preserve">2. Dropped Order Zipcode column (86% missing, not used in analysis).</w:t>
      </w:r>
    </w:p>
    <w:p w14:paraId="00100188" w14:textId="00100189">
      <w:pPr>
        <w:pStyle w:val="Normal"/>
        <w:spacing w:after="240"/>
      </w:pPr>
      <w:r>
        <w:rPr>
          <w:sz w:val="22"/>
        </w:rPr>
        <w:t xml:space="preserve">3. Dropped PII columns (Customer Email, Password, Street, First/Last Name, Product Image) to protect privacy and reduce noise.</w:t>
      </w:r>
    </w:p>
    <w:p w14:paraId="0010018A" w14:textId="0010018B">
      <w:pPr>
        <w:pStyle w:val="Normal"/>
        <w:spacing w:after="240"/>
      </w:pPr>
      <w:r>
        <w:rPr>
          <w:sz w:val="22"/>
        </w:rPr>
        <w:t xml:space="preserve">4. Parsed order date and shipping date columns to datetime format.</w:t>
      </w:r>
    </w:p>
    <w:p w14:paraId="0010018C" w14:textId="0010018D">
      <w:pPr>
        <w:pStyle w:val="Normal"/>
        <w:spacing w:after="240"/>
      </w:pPr>
      <w:r>
        <w:rPr>
          <w:sz w:val="22"/>
        </w:rPr>
        <w:t xml:space="preserve">5. Stripped leading/trailing whitespace from all string columns to ensure consistent categorical values.</w:t>
      </w:r>
    </w:p>
    <w:p w14:paraId="0010018E" w14:textId="0010018F">
      <w:pPr>
        <w:pStyle w:val="Normal"/>
        <w:spacing w:after="240"/>
      </w:pPr>
      <w:r>
        <w:rPr>
          <w:sz w:val="22"/>
        </w:rPr>
        <w:t xml:space="preserve">6. Filled 3 missing Customer Zipcode values with 0 (non-analytical field).</w:t>
      </w:r>
    </w:p>
    <w:p w14:paraId="00100190" w14:textId="00100191">
      <w:pPr>
        <w:pStyle w:val="Normal"/>
        <w:spacing w:after="240"/>
      </w:pPr>
      <w:r>
        <w:rPr>
          <w:sz w:val="22"/>
        </w:rPr>
        <w:t xml:space="preserve">The original source data was not modified. All cleaning was applied to a working copy. Zero records were removed.</w:t>
      </w:r>
    </w:p>
    <w:p w14:paraId="00100192" w14:textId="00100193">
      <w:pPr>
        <w:pStyle w:val="Heading1"/>
        <w:spacing w:after="160"/>
      </w:pPr>
      <w:r>
        <w:rPr>
          <w:b/>
          <w:sz w:val="32"/>
        </w:rPr>
        <w:t xml:space="preserve">15. Feature Engineering</w:t>
      </w:r>
    </w:p>
    <w:p w14:paraId="00100194" w14:textId="00100195">
      <w:pPr>
        <w:pStyle w:val="Normal"/>
        <w:spacing w:after="240"/>
      </w:pPr>
      <w:r>
        <w:rPr>
          <w:sz w:val="22"/>
        </w:rPr>
        <w:t xml:space="preserve">Eight analytical features were engineered from the cleaned dataset:</w:t>
      </w:r>
    </w:p>
    <w:p w14:paraId="00100196" w14:textId="00100197">
      <w:pPr>
        <w:pStyle w:val="Normal"/>
        <w:spacing w:after="240"/>
      </w:pPr>
      <w:r>
        <w:rPr>
          <w:sz w:val="22"/>
        </w:rPr>
        <w:t xml:space="preserve">- order_year: Year of the order date</w:t>
      </w:r>
    </w:p>
    <w:p w14:paraId="00100198" w14:textId="00100199">
      <w:pPr>
        <w:pStyle w:val="Normal"/>
        <w:spacing w:after="240"/>
      </w:pPr>
      <w:r>
        <w:rPr>
          <w:sz w:val="22"/>
        </w:rPr>
        <w:t xml:space="preserve">- order_month: Month of the order date</w:t>
      </w:r>
    </w:p>
    <w:p w14:paraId="0010019A" w14:textId="0010019B">
      <w:pPr>
        <w:pStyle w:val="Normal"/>
        <w:spacing w:after="240"/>
      </w:pPr>
      <w:r>
        <w:rPr>
          <w:sz w:val="22"/>
        </w:rPr>
        <w:t xml:space="preserve">- order_quarter: Quarter of the order date</w:t>
      </w:r>
    </w:p>
    <w:p w14:paraId="0010019C" w14:textId="0010019D">
      <w:pPr>
        <w:pStyle w:val="Normal"/>
        <w:spacing w:after="240"/>
      </w:pPr>
      <w:r>
        <w:rPr>
          <w:sz w:val="22"/>
        </w:rPr>
        <w:t xml:space="preserve">- order_yearmonth: Year-Month period for trend analysis</w:t>
      </w:r>
    </w:p>
    <w:p w14:paraId="0010019E" w14:textId="0010019F">
      <w:pPr>
        <w:pStyle w:val="Normal"/>
        <w:spacing w:after="240"/>
      </w:pPr>
      <w:r>
        <w:rPr>
          <w:sz w:val="22"/>
        </w:rPr>
        <w:t xml:space="preserve">- delivery_delay: Days for shipping (real) minus Days for shipment (scheduled)</w:t>
      </w:r>
    </w:p>
    <w:p w14:paraId="001001A0" w14:textId="001001A1">
      <w:pPr>
        <w:pStyle w:val="Normal"/>
        <w:spacing w:after="240"/>
      </w:pPr>
      <w:r>
        <w:rPr>
          <w:sz w:val="22"/>
        </w:rPr>
        <w:t xml:space="preserve">- is_late: Binary indicator — 1 if delivery_delay &gt; 0</w:t>
      </w:r>
    </w:p>
    <w:p w14:paraId="001001A2" w14:textId="001001A3">
      <w:pPr>
        <w:pStyle w:val="Normal"/>
        <w:spacing w:after="240"/>
      </w:pPr>
      <w:r>
        <w:rPr>
          <w:sz w:val="22"/>
        </w:rPr>
        <w:t xml:space="preserve">- profit_margin_pct: Order Item Profit Ratio × 100</w:t>
      </w:r>
    </w:p>
    <w:p w14:paraId="001001A4" w14:textId="001001A5">
      <w:pPr>
        <w:pStyle w:val="Normal"/>
        <w:spacing w:after="240"/>
      </w:pPr>
      <w:r>
        <w:rPr>
          <w:sz w:val="22"/>
        </w:rPr>
        <w:t xml:space="preserve">- discount_amount: Order Item Discount value</w:t>
      </w:r>
    </w:p>
    <w:p w14:paraId="001001A6" w14:textId="001001A7">
      <w:pPr>
        <w:pStyle w:val="Normal"/>
        <w:spacing w:after="240"/>
      </w:pPr>
      <w:r>
        <w:rPr>
          <w:sz w:val="22"/>
        </w:rPr>
        <w:t xml:space="preserve">All engineered features represent pre-existing information derived from the actual data. No synthetic data was introduced.</w:t>
      </w:r>
    </w:p>
    <w:p w14:paraId="001001A8" w14:textId="001001A9">
      <w:pPr>
        <w:pStyle w:val="Heading1"/>
        <w:spacing w:after="160"/>
      </w:pPr>
      <w:r>
        <w:rPr>
          <w:b/>
          <w:sz w:val="32"/>
        </w:rPr>
        <w:t xml:space="preserve">16. KPI Analysis</w:t>
      </w:r>
    </w:p>
    <w:p w14:paraId="001001AA" w14:textId="001001AB">
      <w:pPr>
        <w:pStyle w:val="Normal"/>
        <w:spacing w:after="120"/>
      </w:pPr>
      <w:r>
        <w:rPr>
          <w:sz w:val="22"/>
        </w:rPr>
        <w:t xml:space="preserve">The following Key Performance Indicators were calculated from the actual dataset:</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AC" w14:textId="001001AD">
            <w:r>
              <w:t xml:space="preserve">KPI</w:t>
            </w:r>
          </w:p>
        </w:tc>
        <w:tc>
          <w:p w14:paraId="001001AE" w14:textId="001001AF">
            <w:r>
              <w:t xml:space="preserve">Value</w:t>
            </w:r>
          </w:p>
        </w:tc>
      </w:tr>
      <w:tr>
        <w:trPr/>
        <w:tc>
          <w:p w14:paraId="001001B0" w14:textId="001001B1">
            <w:r>
              <w:t xml:space="preserve">Total Sales</w:t>
            </w:r>
          </w:p>
        </w:tc>
        <w:tc>
          <w:p w14:paraId="001001B2" w14:textId="001001B3">
            <w:r>
              <w:t xml:space="preserve">$36,784,735.01</w:t>
            </w:r>
          </w:p>
        </w:tc>
      </w:tr>
      <w:tr>
        <w:trPr/>
        <w:tc>
          <w:p w14:paraId="001001B4" w14:textId="001001B5">
            <w:r>
              <w:t xml:space="preserve">Total Profit</w:t>
            </w:r>
          </w:p>
        </w:tc>
        <w:tc>
          <w:p w14:paraId="001001B6" w14:textId="001001B7">
            <w:r>
              <w:t xml:space="preserve">$3,966,902.97</w:t>
            </w:r>
          </w:p>
        </w:tc>
      </w:tr>
      <w:tr>
        <w:trPr/>
        <w:tc>
          <w:p w14:paraId="001001B8" w14:textId="001001B9">
            <w:r>
              <w:t xml:space="preserve">Overall Profit Margin</w:t>
            </w:r>
          </w:p>
        </w:tc>
        <w:tc>
          <w:p w14:paraId="001001BA" w14:textId="001001BB">
            <w:r>
              <w:t xml:space="preserve">10.78%</w:t>
            </w:r>
          </w:p>
        </w:tc>
      </w:tr>
      <w:tr>
        <w:trPr/>
        <w:tc>
          <w:p w14:paraId="001001BC" w14:textId="001001BD">
            <w:r>
              <w:t xml:space="preserve">Total Order Line Items</w:t>
            </w:r>
          </w:p>
        </w:tc>
        <w:tc>
          <w:p w14:paraId="001001BE" w14:textId="001001BF">
            <w:r>
              <w:t xml:space="preserve">180,519</w:t>
            </w:r>
          </w:p>
        </w:tc>
      </w:tr>
      <w:tr>
        <w:trPr/>
        <w:tc>
          <w:p w14:paraId="001001C0" w14:textId="001001C1">
            <w:r>
              <w:t xml:space="preserve">Total Unique Orders</w:t>
            </w:r>
          </w:p>
        </w:tc>
        <w:tc>
          <w:p w14:paraId="001001C2" w14:textId="001001C3">
            <w:r>
              <w:t xml:space="preserve">66,624 (approx.)</w:t>
            </w:r>
          </w:p>
        </w:tc>
      </w:tr>
      <w:tr>
        <w:trPr/>
        <w:tc>
          <w:p w14:paraId="001001C4" w14:textId="001001C5">
            <w:r>
              <w:t xml:space="preserve">Average Order Value (Sales)</w:t>
            </w:r>
          </w:p>
        </w:tc>
        <w:tc>
          <w:p w14:paraId="001001C6" w14:textId="001001C7">
            <w:r>
              <w:t xml:space="preserve">$203.77</w:t>
            </w:r>
          </w:p>
        </w:tc>
      </w:tr>
      <w:tr>
        <w:trPr/>
        <w:tc>
          <w:p w14:paraId="001001C8" w14:textId="001001C9">
            <w:r>
              <w:t xml:space="preserve">Average Profit Per Item</w:t>
            </w:r>
          </w:p>
        </w:tc>
        <w:tc>
          <w:p w14:paraId="001001CA" w14:textId="001001CB">
            <w:r>
              <w:t xml:space="preserve">$21.97</w:t>
            </w:r>
          </w:p>
        </w:tc>
      </w:tr>
      <w:tr>
        <w:trPr/>
        <w:tc>
          <w:p w14:paraId="001001CC" w14:textId="001001CD">
            <w:r>
              <w:t xml:space="preserve">Average Discount Rate</w:t>
            </w:r>
          </w:p>
        </w:tc>
        <w:tc>
          <w:p w14:paraId="001001CE" w14:textId="001001CF">
            <w:r>
              <w:t xml:space="preserve">10.0%</w:t>
            </w:r>
          </w:p>
        </w:tc>
      </w:tr>
      <w:tr>
        <w:trPr/>
        <w:tc>
          <w:p w14:paraId="001001D0" w14:textId="001001D1">
            <w:r>
              <w:t xml:space="preserve">Late Delivery Rate</w:t>
            </w:r>
          </w:p>
        </w:tc>
        <w:tc>
          <w:p w14:paraId="001001D2" w14:textId="001001D3">
            <w:r>
              <w:t xml:space="preserve">54.8%</w:t>
            </w:r>
          </w:p>
        </w:tc>
      </w:tr>
      <w:tr>
        <w:trPr/>
        <w:tc>
          <w:p w14:paraId="001001D4" w14:textId="001001D5">
            <w:r>
              <w:t xml:space="preserve">Average Actual Shipping Days</w:t>
            </w:r>
          </w:p>
        </w:tc>
        <w:tc>
          <w:p w14:paraId="001001D6" w14:textId="001001D7">
            <w:r>
              <w:t xml:space="preserve">3.50 days</w:t>
            </w:r>
          </w:p>
        </w:tc>
      </w:tr>
      <w:tr>
        <w:trPr/>
        <w:tc>
          <w:p w14:paraId="001001D8" w14:textId="001001D9">
            <w:r>
              <w:t xml:space="preserve">Average Scheduled Shipping Days</w:t>
            </w:r>
          </w:p>
        </w:tc>
        <w:tc>
          <w:p w14:paraId="001001DA" w14:textId="001001DB">
            <w:r>
              <w:t xml:space="preserve">2.93 days</w:t>
            </w:r>
          </w:p>
        </w:tc>
      </w:tr>
      <w:tr>
        <w:trPr/>
        <w:tc>
          <w:p w14:paraId="001001DC" w14:textId="001001DD">
            <w:r>
              <w:t xml:space="preserve">Negative Profit Orders</w:t>
            </w:r>
          </w:p>
        </w:tc>
        <w:tc>
          <w:p w14:paraId="001001DE" w14:textId="001001DF">
            <w:r>
              <w:t xml:space="preserve">33,713 (18.7%)</w:t>
            </w:r>
          </w:p>
        </w:tc>
      </w:tr>
      <w:tr>
        <w:trPr/>
        <w:tc>
          <w:p w14:paraId="001001E0" w14:textId="001001E1">
            <w:r>
              <w:t xml:space="preserve">Unique Products</w:t>
            </w:r>
          </w:p>
        </w:tc>
        <w:tc>
          <w:p w14:paraId="001001E2" w14:textId="001001E3">
            <w:r>
              <w:t xml:space="preserve">118</w:t>
            </w:r>
          </w:p>
        </w:tc>
      </w:tr>
      <w:tr>
        <w:trPr/>
        <w:tc>
          <w:p w14:paraId="001001E4" w14:textId="001001E5">
            <w:r>
              <w:t xml:space="preserve">Unique Customers</w:t>
            </w:r>
          </w:p>
        </w:tc>
        <w:tc>
          <w:p w14:paraId="001001E6" w14:textId="001001E7">
            <w:r>
              <w:t xml:space="preserve">20,652</w:t>
            </w:r>
          </w:p>
        </w:tc>
      </w:tr>
      <w:tr>
        <w:trPr/>
        <w:tc>
          <w:p w14:paraId="001001E8" w14:textId="001001E9">
            <w:r>
              <w:t xml:space="preserve">Unique Countries</w:t>
            </w:r>
          </w:p>
        </w:tc>
        <w:tc>
          <w:p w14:paraId="001001EA" w14:textId="001001EB">
            <w:r>
              <w:t xml:space="preserve">164</w:t>
            </w:r>
          </w:p>
        </w:tc>
      </w:tr>
      <w:tr>
        <w:trPr/>
        <w:tc>
          <w:p w14:paraId="001001EC" w14:textId="001001ED">
            <w:r>
              <w:t xml:space="preserve">Top Sales Category</w:t>
            </w:r>
          </w:p>
        </w:tc>
        <w:tc>
          <w:p w14:paraId="001001EE" w14:textId="001001EF">
            <w:r>
              <w:t xml:space="preserve">Fishing</w:t>
            </w:r>
          </w:p>
        </w:tc>
      </w:tr>
    </w:tbl>
    <w:p w14:paraId="001001F0" w14:textId="001001F1">
      <w:pPr>
        <w:pStyle w:val="Normal"/>
        <w:spacing w:after="80"/>
        <w:jc w:val="center"/>
      </w:pPr>
      <w:r>
        <w:rPr>
          <w:b/>
          <w:sz w:val="20"/>
        </w:rPr>
        <w:t xml:space="preserve">Figure 1: Top 15 Product Categories by Total Sales</w:t>
      </w:r>
    </w:p>
    <w:p w14:paraId="001001F2" w14:textId="001001F3">
      <w:pPr>
        <w:spacing w:line="240" w:lineRule="auto"/>
      </w:pPr>
      <w:r>
        <w:rPr/>
        <w:drawing>
          <wp:inline distT="0" distB="0" distL="0" distR="0">
            <wp:extent cx="5040000" cy="2880000"/>
            <wp:effectExtent l="0" t="0" r="0" b="0"/>
            <wp:docPr id="1" name="sales_by_category.png" descr=""/>
            <wp:cNvGraphicFramePr>
              <a:graphicFrameLocks noChangeAspect="1"/>
            </wp:cNvGraphicFramePr>
            <a:graphic>
              <a:graphicData uri="http://schemas.openxmlformats.org/drawingml/2006/picture">
                <pic:pic>
                  <pic:nvPicPr>
                    <pic:cNvPr id="1" name="sales_by_category.png"/>
                    <pic:cNvPicPr/>
                  </pic:nvPicPr>
                  <pic:blipFill>
                    <a:blip r:embed="Rd862d4ee524b4531" cstate="print"/>
                    <a:stretch>
                      <a:fillRect/>
                    </a:stretch>
                  </pic:blipFill>
                  <pic:spPr>
                    <a:xfrm>
                      <a:off x="0" y="0"/>
                      <a:ext cx="5040000" cy="2880000"/>
                    </a:xfrm>
                    <a:prstGeom prst="rect">
                      <a:avLst/>
                    </a:prstGeom>
                  </pic:spPr>
                </pic:pic>
              </a:graphicData>
            </a:graphic>
          </wp:inline>
        </w:drawing>
      </w:r>
    </w:p>
    <w:p w14:paraId="001001F4" w14:textId="001001F5">
      <w:pPr>
        <w:pStyle w:val="Normal"/>
        <w:spacing w:after="160"/>
      </w:pPr>
      <w:r>
        <w:rPr>
          <w:sz w:val="22"/>
        </w:rPr>
        <w:t xml:space="preserve">The Fishing category generates the highest total sales, followed by Cleats, Camping &amp; Hiking, and Cardio Equipment. The top 5 categories collectively dominate sales volume.</w:t>
      </w:r>
    </w:p>
    <w:p w14:paraId="001001F6" w14:textId="001001F7">
      <w:pPr>
        <w:pStyle w:val="Normal"/>
        <w:spacing w:after="80"/>
        <w:jc w:val="center"/>
      </w:pPr>
      <w:r>
        <w:rPr>
          <w:b/>
          <w:sz w:val="20"/>
        </w:rPr>
        <w:t xml:space="preserve">Figure 2: Monthly Sales Trend (January 2015 – January 2018)</w:t>
      </w:r>
    </w:p>
    <w:p w14:paraId="001001F8" w14:textId="001001F9">
      <w:pPr>
        <w:spacing w:line="240" w:lineRule="auto"/>
      </w:pPr>
      <w:r>
        <w:rPr/>
        <w:drawing>
          <wp:inline distT="0" distB="0" distL="0" distR="0">
            <wp:extent cx="5400000" cy="1800000"/>
            <wp:effectExtent l="0" t="0" r="0" b="0"/>
            <wp:docPr id="2" name="sales_trend.png" descr=""/>
            <wp:cNvGraphicFramePr>
              <a:graphicFrameLocks noChangeAspect="1"/>
            </wp:cNvGraphicFramePr>
            <a:graphic>
              <a:graphicData uri="http://schemas.openxmlformats.org/drawingml/2006/picture">
                <pic:pic>
                  <pic:nvPicPr>
                    <pic:cNvPr id="2" name="sales_trend.png"/>
                    <pic:cNvPicPr/>
                  </pic:nvPicPr>
                  <pic:blipFill>
                    <a:blip r:embed="R356bb4d9bc474d42" cstate="print"/>
                    <a:stretch>
                      <a:fillRect/>
                    </a:stretch>
                  </pic:blipFill>
                  <pic:spPr>
                    <a:xfrm>
                      <a:off x="0" y="0"/>
                      <a:ext cx="5400000" cy="1800000"/>
                    </a:xfrm>
                    <a:prstGeom prst="rect">
                      <a:avLst/>
                    </a:prstGeom>
                  </pic:spPr>
                </pic:pic>
              </a:graphicData>
            </a:graphic>
          </wp:inline>
        </w:drawing>
      </w:r>
    </w:p>
    <w:p w14:paraId="001001FA" w14:textId="001001FB">
      <w:pPr>
        <w:pStyle w:val="Normal"/>
        <w:spacing w:after="160"/>
      </w:pPr>
      <w:r>
        <w:rPr>
          <w:sz w:val="22"/>
        </w:rPr>
        <w:t xml:space="preserve">Monthly sales show consistent performance across the 3-year period with moderate seasonal variation.</w:t>
      </w:r>
    </w:p>
    <w:p w14:paraId="001001FC" w14:textId="001001FD">
      <w:pPr>
        <w:pStyle w:val="Normal"/>
        <w:spacing w:after="80"/>
        <w:jc w:val="center"/>
      </w:pPr>
      <w:r>
        <w:rPr>
          <w:b/>
          <w:sz w:val="20"/>
        </w:rPr>
        <w:t xml:space="preserve">Figure 3: Total Sales by Order Region</w:t>
      </w:r>
    </w:p>
    <w:p w14:paraId="001001FE" w14:textId="001001FF">
      <w:pPr>
        <w:spacing w:line="240" w:lineRule="auto"/>
      </w:pPr>
      <w:r>
        <w:rPr/>
        <w:drawing>
          <wp:inline distT="0" distB="0" distL="0" distR="0">
            <wp:extent cx="5040000" cy="2880000"/>
            <wp:effectExtent l="0" t="0" r="0" b="0"/>
            <wp:docPr id="3" name="sales_by_region.png" descr=""/>
            <wp:cNvGraphicFramePr>
              <a:graphicFrameLocks noChangeAspect="1"/>
            </wp:cNvGraphicFramePr>
            <a:graphic>
              <a:graphicData uri="http://schemas.openxmlformats.org/drawingml/2006/picture">
                <pic:pic>
                  <pic:nvPicPr>
                    <pic:cNvPr id="3" name="sales_by_region.png"/>
                    <pic:cNvPicPr/>
                  </pic:nvPicPr>
                  <pic:blipFill>
                    <a:blip r:embed="R37dd5eeb5dd54bac" cstate="print"/>
                    <a:stretch>
                      <a:fillRect/>
                    </a:stretch>
                  </pic:blipFill>
                  <pic:spPr>
                    <a:xfrm>
                      <a:off x="0" y="0"/>
                      <a:ext cx="5040000" cy="2880000"/>
                    </a:xfrm>
                    <a:prstGeom prst="rect">
                      <a:avLst/>
                    </a:prstGeom>
                  </pic:spPr>
                </pic:pic>
              </a:graphicData>
            </a:graphic>
          </wp:inline>
        </w:drawing>
      </w:r>
    </w:p>
    <w:p w14:paraId="00100200" w14:textId="00100201">
      <w:pPr>
        <w:pStyle w:val="Normal"/>
        <w:spacing w:after="80"/>
        <w:jc w:val="center"/>
      </w:pPr>
      <w:r>
        <w:rPr>
          <w:b/>
          <w:sz w:val="20"/>
        </w:rPr>
        <w:t xml:space="preserve">Figure 4: Sales by Market</w:t>
      </w:r>
    </w:p>
    <w:p w14:paraId="00100202" w14:textId="00100203">
      <w:pPr>
        <w:spacing w:line="240" w:lineRule="auto"/>
      </w:pPr>
      <w:r>
        <w:rPr/>
        <w:drawing>
          <wp:inline distT="0" distB="0" distL="0" distR="0">
            <wp:extent cx="5400000" cy="2160000"/>
            <wp:effectExtent l="0" t="0" r="0" b="0"/>
            <wp:docPr id="4" name="sales_by_market.png" descr=""/>
            <wp:cNvGraphicFramePr>
              <a:graphicFrameLocks noChangeAspect="1"/>
            </wp:cNvGraphicFramePr>
            <a:graphic>
              <a:graphicData uri="http://schemas.openxmlformats.org/drawingml/2006/picture">
                <pic:pic>
                  <pic:nvPicPr>
                    <pic:cNvPr id="4" name="sales_by_market.png"/>
                    <pic:cNvPicPr/>
                  </pic:nvPicPr>
                  <pic:blipFill>
                    <a:blip r:embed="Rf77682650a7345d7" cstate="print"/>
                    <a:stretch>
                      <a:fillRect/>
                    </a:stretch>
                  </pic:blipFill>
                  <pic:spPr>
                    <a:xfrm>
                      <a:off x="0" y="0"/>
                      <a:ext cx="5400000" cy="2160000"/>
                    </a:xfrm>
                    <a:prstGeom prst="rect">
                      <a:avLst/>
                    </a:prstGeom>
                  </pic:spPr>
                </pic:pic>
              </a:graphicData>
            </a:graphic>
          </wp:inline>
        </w:drawing>
      </w:r>
    </w:p>
    <w:p w14:paraId="00100204" w14:textId="00100205">
      <w:pPr>
        <w:pStyle w:val="Normal"/>
        <w:spacing w:after="240"/>
      </w:pPr>
      <w:r>
        <w:rPr>
          <w:sz w:val="22"/>
        </w:rPr>
        <w:t xml:space="preserve">Europe is the largest market by sales, followed by LATAM and Pacific Asia. USCA contributes a smaller share, while Africa represents the smallest market.</w:t>
      </w:r>
    </w:p>
    <w:p w14:paraId="00100206" w14:textId="00100207">
      <w:pPr>
        <w:pStyle w:val="Heading1"/>
        <w:spacing w:after="160"/>
      </w:pPr>
      <w:r>
        <w:rPr>
          <w:b/>
          <w:sz w:val="32"/>
        </w:rPr>
        <w:t xml:space="preserve">19. Profitability Analysis</w:t>
      </w:r>
    </w:p>
    <w:p w14:paraId="00100208" w14:textId="00100209">
      <w:pPr>
        <w:pStyle w:val="Normal"/>
        <w:spacing w:after="160"/>
      </w:pPr>
      <w:r>
        <w:rPr>
          <w:sz w:val="22"/>
        </w:rPr>
        <w:t xml:space="preserve">Total profit is $3,966,903 representing an overall profit margin of 10.78%. Importantly, 18.7% of all order line items generate negative profit — a significant operational concern.</w:t>
      </w:r>
    </w:p>
    <w:p w14:paraId="0010020A" w14:textId="0010020B">
      <w:pPr>
        <w:pStyle w:val="Normal"/>
        <w:spacing w:after="80"/>
        <w:jc w:val="center"/>
      </w:pPr>
      <w:r>
        <w:rPr>
          <w:b/>
          <w:sz w:val="20"/>
        </w:rPr>
        <w:t xml:space="preserve">Figure 5: Top 15 Product Categories by Total Profit</w:t>
      </w:r>
    </w:p>
    <w:p w14:paraId="0010020C" w14:textId="0010020D">
      <w:pPr>
        <w:spacing w:line="240" w:lineRule="auto"/>
      </w:pPr>
      <w:r>
        <w:drawing>
          <wp:inline distT="0" distB="0" distL="0" distR="0">
            <wp:extent cx="5040000" cy="2880000"/>
            <wp:effectExtent l="0" t="0" r="0" b="0"/>
            <wp:docPr id="5" name="profit_by_category.png" descr=""/>
            <wp:cNvGraphicFramePr>
              <a:graphicFrameLocks noChangeAspect="1"/>
            </wp:cNvGraphicFramePr>
            <a:graphic>
              <a:graphicData uri="http://schemas.openxmlformats.org/drawingml/2006/picture">
                <pic:pic>
                  <pic:nvPicPr>
                    <pic:cNvPr id="5" name="profit_by_category.png"/>
                    <pic:cNvPicPr/>
                  </pic:nvPicPr>
                  <pic:blipFill>
                    <a:blip r:embed="R018e908fb2bb4b13" cstate="print"/>
                    <a:stretch>
                      <a:fillRect/>
                    </a:stretch>
                  </pic:blipFill>
                  <pic:spPr>
                    <a:xfrm>
                      <a:off x="0" y="0"/>
                      <a:ext cx="5040000" cy="2880000"/>
                    </a:xfrm>
                    <a:prstGeom prst="rect">
                      <a:avLst/>
                    </a:prstGeom>
                  </pic:spPr>
                </pic:pic>
              </a:graphicData>
            </a:graphic>
          </wp:inline>
        </w:drawing>
      </w:r>
    </w:p>
    <w:p w14:paraId="0010020E" w14:textId="0010020F">
      <w:pPr>
        <w:pStyle w:val="Normal"/>
        <w:spacing w:after="160"/>
      </w:pPr>
      <w:r>
        <w:rPr>
          <w:sz w:val="22"/>
        </w:rPr>
        <w:t xml:space="preserve">The Fishing category also leads in total profit, consistent with its sales leadership. Red bars indicate categories with negative total profit, which require immediate review.</w:t>
      </w:r>
    </w:p>
    <w:p w14:paraId="00100210" w14:textId="00100211">
      <w:pPr>
        <w:pStyle w:val="Normal"/>
        <w:spacing w:after="80"/>
        <w:jc w:val="center"/>
      </w:pPr>
      <w:r>
        <w:rPr>
          <w:b/>
          <w:sz w:val="20"/>
        </w:rPr>
        <w:t xml:space="preserve">Figure 6: Monthly Profit Trend</w:t>
      </w:r>
    </w:p>
    <w:p w14:paraId="00100212" w14:textId="00100213">
      <w:pPr>
        <w:spacing w:line="240" w:lineRule="auto"/>
      </w:pPr>
      <w:r>
        <w:drawing>
          <wp:inline distT="0" distB="0" distL="0" distR="0">
            <wp:extent cx="5400000" cy="1800000"/>
            <wp:effectExtent l="0" t="0" r="0" b="0"/>
            <wp:docPr id="6" name="profit_trend.png" descr=""/>
            <wp:cNvGraphicFramePr>
              <a:graphicFrameLocks noChangeAspect="1"/>
            </wp:cNvGraphicFramePr>
            <a:graphic>
              <a:graphicData uri="http://schemas.openxmlformats.org/drawingml/2006/picture">
                <pic:pic>
                  <pic:nvPicPr>
                    <pic:cNvPr id="6" name="profit_trend.png"/>
                    <pic:cNvPicPr/>
                  </pic:nvPicPr>
                  <pic:blipFill>
                    <a:blip r:embed="R80abb5d272bf4db3" cstate="print"/>
                    <a:stretch>
                      <a:fillRect/>
                    </a:stretch>
                  </pic:blipFill>
                  <pic:spPr>
                    <a:xfrm>
                      <a:off x="0" y="0"/>
                      <a:ext cx="5400000" cy="1800000"/>
                    </a:xfrm>
                    <a:prstGeom prst="rect">
                      <a:avLst/>
                    </a:prstGeom>
                  </pic:spPr>
                </pic:pic>
              </a:graphicData>
            </a:graphic>
          </wp:inline>
        </w:drawing>
      </w:r>
    </w:p>
    <w:p w14:paraId="00100214" w14:textId="00100215">
      <w:pPr>
        <w:pStyle w:val="Normal"/>
        <w:spacing w:after="80"/>
        <w:jc w:val="center"/>
      </w:pPr>
      <w:r>
        <w:rPr>
          <w:b/>
          <w:sz w:val="20"/>
        </w:rPr>
        <w:t xml:space="preserve">Figure 7: Total Profit by Order Region</w:t>
      </w:r>
    </w:p>
    <w:p w14:paraId="00100216" w14:textId="00100217">
      <w:pPr>
        <w:spacing w:line="240" w:lineRule="auto"/>
      </w:pPr>
      <w:r>
        <w:drawing>
          <wp:inline distT="0" distB="0" distL="0" distR="0">
            <wp:extent cx="5040000" cy="2880000"/>
            <wp:effectExtent l="0" t="0" r="0" b="0"/>
            <wp:docPr id="7" name="profit_by_region.png" descr=""/>
            <wp:cNvGraphicFramePr>
              <a:graphicFrameLocks noChangeAspect="1"/>
            </wp:cNvGraphicFramePr>
            <a:graphic>
              <a:graphicData uri="http://schemas.openxmlformats.org/drawingml/2006/picture">
                <pic:pic>
                  <pic:nvPicPr>
                    <pic:cNvPr id="7" name="profit_by_region.png"/>
                    <pic:cNvPicPr/>
                  </pic:nvPicPr>
                  <pic:blipFill>
                    <a:blip r:embed="R14ddb575a62d435c" cstate="print"/>
                    <a:stretch>
                      <a:fillRect/>
                    </a:stretch>
                  </pic:blipFill>
                  <pic:spPr>
                    <a:xfrm>
                      <a:off x="0" y="0"/>
                      <a:ext cx="5040000" cy="2880000"/>
                    </a:xfrm>
                    <a:prstGeom prst="rect">
                      <a:avLst/>
                    </a:prstGeom>
                  </pic:spPr>
                </pic:pic>
              </a:graphicData>
            </a:graphic>
          </wp:inline>
        </w:drawing>
      </w:r>
    </w:p>
    <w:p w14:paraId="00100218" w14:textId="00100219">
      <w:pPr>
        <w:pStyle w:val="Normal"/>
        <w:spacing w:after="80"/>
        <w:jc w:val="center"/>
      </w:pPr>
      <w:r>
        <w:rPr>
          <w:b/>
          <w:sz w:val="20"/>
        </w:rPr>
        <w:t xml:space="preserve">Figure 8: Total Profit by Market</w:t>
      </w:r>
    </w:p>
    <w:p w14:paraId="0010021A" w14:textId="0010021B">
      <w:pPr>
        <w:spacing w:line="240" w:lineRule="auto"/>
      </w:pPr>
      <w:r>
        <w:drawing>
          <wp:inline distT="0" distB="0" distL="0" distR="0">
            <wp:extent cx="5040000" cy="2160000"/>
            <wp:effectExtent l="0" t="0" r="0" b="0"/>
            <wp:docPr id="8" name="profit_by_market.png" descr=""/>
            <wp:cNvGraphicFramePr>
              <a:graphicFrameLocks noChangeAspect="1"/>
            </wp:cNvGraphicFramePr>
            <a:graphic>
              <a:graphicData uri="http://schemas.openxmlformats.org/drawingml/2006/picture">
                <pic:pic>
                  <pic:nvPicPr>
                    <pic:cNvPr id="8" name="profit_by_market.png"/>
                    <pic:cNvPicPr/>
                  </pic:nvPicPr>
                  <pic:blipFill>
                    <a:blip r:embed="R64c648f9cb3340f8" cstate="print"/>
                    <a:stretch>
                      <a:fillRect/>
                    </a:stretch>
                  </pic:blipFill>
                  <pic:spPr>
                    <a:xfrm>
                      <a:off x="0" y="0"/>
                      <a:ext cx="5040000" cy="2160000"/>
                    </a:xfrm>
                    <a:prstGeom prst="rect">
                      <a:avLst/>
                    </a:prstGeom>
                  </pic:spPr>
                </pic:pic>
              </a:graphicData>
            </a:graphic>
          </wp:inline>
        </w:drawing>
      </w:r>
    </w:p>
    <w:p w14:paraId="0010021C" w14:textId="0010021D">
      <w:pPr>
        <w:pStyle w:val="Normal"/>
        <w:spacing w:after="240"/>
      </w:pPr>
      <w:r>
        <w:rPr>
          <w:sz w:val="22"/>
        </w:rPr>
        <w:t xml:space="preserve">Europe is the most profitable market. The profit distribution across regions reveals that some regions have significantly lower margins, potentially due to higher discounts, shipping costs, or lower-value product mix.</w:t>
      </w:r>
    </w:p>
    <w:p w14:paraId="0010021E" w14:textId="0010021F">
      <w:pPr>
        <w:pStyle w:val="Heading1"/>
        <w:spacing w:after="160"/>
      </w:pPr>
      <w:r>
        <w:rPr>
          <w:b/>
          <w:sz w:val="32"/>
        </w:rPr>
        <w:t xml:space="preserve">20. Customer Analysis</w:t>
      </w:r>
    </w:p>
    <w:p w14:paraId="00100220" w14:textId="00100221">
      <w:pPr>
        <w:pStyle w:val="Normal"/>
        <w:spacing w:after="160"/>
      </w:pPr>
      <w:r>
        <w:rPr>
          <w:sz w:val="22"/>
        </w:rPr>
        <w:t xml:space="preserve">The dataset contains three customer segments: Consumer, Corporate, and Home Office. Consumer is the dominant segment by both sales and order volume.</w:t>
      </w:r>
    </w:p>
    <w:p w14:paraId="00100222" w14:textId="00100223">
      <w:pPr>
        <w:pStyle w:val="Normal"/>
        <w:spacing w:after="80"/>
        <w:jc w:val="center"/>
      </w:pPr>
      <w:r>
        <w:rPr>
          <w:b/>
          <w:sz w:val="20"/>
        </w:rPr>
        <w:t xml:space="preserve">Figure 9: Customer Segment Distribution and Sales</w:t>
      </w:r>
    </w:p>
    <w:p w14:paraId="00100224" w14:textId="00100225">
      <w:pPr>
        <w:spacing w:line="240" w:lineRule="auto"/>
      </w:pPr>
      <w:r>
        <w:drawing>
          <wp:inline distT="0" distB="0" distL="0" distR="0">
            <wp:extent cx="5400000" cy="1800000"/>
            <wp:effectExtent l="0" t="0" r="0" b="0"/>
            <wp:docPr id="9" name="customer_segment_distribution.png" descr=""/>
            <wp:cNvGraphicFramePr>
              <a:graphicFrameLocks noChangeAspect="1"/>
            </wp:cNvGraphicFramePr>
            <a:graphic>
              <a:graphicData uri="http://schemas.openxmlformats.org/drawingml/2006/picture">
                <pic:pic>
                  <pic:nvPicPr>
                    <pic:cNvPr id="9" name="customer_segment_distribution.png"/>
                    <pic:cNvPicPr/>
                  </pic:nvPicPr>
                  <pic:blipFill>
                    <a:blip r:embed="R09ea68041eae459f" cstate="print"/>
                    <a:stretch>
                      <a:fillRect/>
                    </a:stretch>
                  </pic:blipFill>
                  <pic:spPr>
                    <a:xfrm>
                      <a:off x="0" y="0"/>
                      <a:ext cx="5400000" cy="1800000"/>
                    </a:xfrm>
                    <a:prstGeom prst="rect">
                      <a:avLst/>
                    </a:prstGeom>
                  </pic:spPr>
                </pic:pic>
              </a:graphicData>
            </a:graphic>
          </wp:inline>
        </w:drawing>
      </w:r>
    </w:p>
    <w:p w14:paraId="00100226" w14:textId="00100227">
      <w:pPr>
        <w:pStyle w:val="Normal"/>
        <w:spacing w:after="80"/>
        <w:jc w:val="center"/>
      </w:pPr>
      <w:r>
        <w:rPr>
          <w:b/>
          <w:sz w:val="20"/>
        </w:rPr>
        <w:t xml:space="preserve">Figure 10: Sales by Customer Segment</w:t>
      </w:r>
    </w:p>
    <w:p w14:paraId="00100228" w14:textId="00100229">
      <w:pPr>
        <w:spacing w:line="240" w:lineRule="auto"/>
      </w:pPr>
      <w:r>
        <w:drawing>
          <wp:inline distT="0" distB="0" distL="0" distR="0">
            <wp:extent cx="5040000" cy="2160000"/>
            <wp:effectExtent l="0" t="0" r="0" b="0"/>
            <wp:docPr id="10" name="customer_segment_sales.png" descr=""/>
            <wp:cNvGraphicFramePr>
              <a:graphicFrameLocks noChangeAspect="1"/>
            </wp:cNvGraphicFramePr>
            <a:graphic>
              <a:graphicData uri="http://schemas.openxmlformats.org/drawingml/2006/picture">
                <pic:pic>
                  <pic:nvPicPr>
                    <pic:cNvPr id="10" name="customer_segment_sales.png"/>
                    <pic:cNvPicPr/>
                  </pic:nvPicPr>
                  <pic:blipFill>
                    <a:blip r:embed="Rff0872c8e9d34ddc" cstate="print"/>
                    <a:stretch>
                      <a:fillRect/>
                    </a:stretch>
                  </pic:blipFill>
                  <pic:spPr>
                    <a:xfrm>
                      <a:off x="0" y="0"/>
                      <a:ext cx="5040000" cy="2160000"/>
                    </a:xfrm>
                    <a:prstGeom prst="rect">
                      <a:avLst/>
                    </a:prstGeom>
                  </pic:spPr>
                </pic:pic>
              </a:graphicData>
            </a:graphic>
          </wp:inline>
        </w:drawing>
      </w:r>
    </w:p>
    <w:p w14:paraId="0010022A" w14:textId="0010022B">
      <w:pPr>
        <w:pStyle w:val="Normal"/>
        <w:spacing w:after="80"/>
        <w:jc w:val="center"/>
      </w:pPr>
      <w:r>
        <w:rPr>
          <w:b/>
          <w:sz w:val="20"/>
        </w:rPr>
        <w:t xml:space="preserve">Figure 11: Profit by Customer Segment</w:t>
      </w:r>
    </w:p>
    <w:p w14:paraId="0010022C" w14:textId="0010022D">
      <w:pPr>
        <w:spacing w:line="240" w:lineRule="auto"/>
      </w:pPr>
      <w:r>
        <w:drawing>
          <wp:inline distT="0" distB="0" distL="0" distR="0">
            <wp:extent cx="4320000" cy="2160000"/>
            <wp:effectExtent l="0" t="0" r="0" b="0"/>
            <wp:docPr id="11" name="customer_segment_profit.png" descr=""/>
            <wp:cNvGraphicFramePr>
              <a:graphicFrameLocks noChangeAspect="1"/>
            </wp:cNvGraphicFramePr>
            <a:graphic>
              <a:graphicData uri="http://schemas.openxmlformats.org/drawingml/2006/picture">
                <pic:pic>
                  <pic:nvPicPr>
                    <pic:cNvPr id="11" name="customer_segment_profit.png"/>
                    <pic:cNvPicPr/>
                  </pic:nvPicPr>
                  <pic:blipFill>
                    <a:blip r:embed="Rf3219a71a2f747f4" cstate="print"/>
                    <a:stretch>
                      <a:fillRect/>
                    </a:stretch>
                  </pic:blipFill>
                  <pic:spPr>
                    <a:xfrm>
                      <a:off x="0" y="0"/>
                      <a:ext cx="4320000" cy="2160000"/>
                    </a:xfrm>
                    <a:prstGeom prst="rect">
                      <a:avLst/>
                    </a:prstGeom>
                  </pic:spPr>
                </pic:pic>
              </a:graphicData>
            </a:graphic>
          </wp:inline>
        </w:drawing>
      </w:r>
    </w:p>
    <w:p w14:paraId="0010022E" w14:textId="0010022F">
      <w:pPr>
        <w:pStyle w:val="Normal"/>
        <w:spacing w:after="240"/>
      </w:pPr>
      <w:r>
        <w:rPr>
          <w:sz w:val="22"/>
        </w:rPr>
        <w:t xml:space="preserve">The Consumer segment contributes the highest absolute sales and profit, followed by Corporate and Home Office. The profit margin percentages across segments should be investigated to understand relative profitability.</w:t>
      </w:r>
    </w:p>
    <w:p w14:paraId="00100230" w14:textId="00100231">
      <w:pPr>
        <w:pStyle w:val="Heading1"/>
        <w:spacing w:after="160"/>
      </w:pPr>
      <w:r>
        <w:rPr>
          <w:b/>
          <w:sz w:val="32"/>
        </w:rPr>
        <w:t xml:space="preserve">21. Product Analysis</w:t>
      </w:r>
    </w:p>
    <w:p w14:paraId="00100232" w14:textId="00100233">
      <w:pPr>
        <w:pStyle w:val="Normal"/>
        <w:spacing w:after="160"/>
      </w:pPr>
      <w:r>
        <w:rPr>
          <w:sz w:val="22"/>
        </w:rPr>
        <w:t xml:space="preserve">Product-level analysis reveals significant variation in both sales and profitability across the 118 unique products.</w:t>
      </w:r>
    </w:p>
    <w:p w14:paraId="00100234" w14:textId="00100235">
      <w:pPr>
        <w:pStyle w:val="Normal"/>
        <w:spacing w:after="80"/>
        <w:jc w:val="center"/>
      </w:pPr>
      <w:r>
        <w:rPr>
          <w:b/>
          <w:sz w:val="20"/>
        </w:rPr>
        <w:t xml:space="preserve">Figure 12: Top 15 Products by Total Sales</w:t>
      </w:r>
    </w:p>
    <w:p w14:paraId="00100236" w14:textId="00100237">
      <w:pPr>
        <w:spacing w:line="240" w:lineRule="auto"/>
      </w:pPr>
      <w:r>
        <w:drawing>
          <wp:inline distT="0" distB="0" distL="0" distR="0">
            <wp:extent cx="5040000" cy="2520000"/>
            <wp:effectExtent l="0" t="0" r="0" b="0"/>
            <wp:docPr id="12" name="top_products.png" descr=""/>
            <wp:cNvGraphicFramePr>
              <a:graphicFrameLocks noChangeAspect="1"/>
            </wp:cNvGraphicFramePr>
            <a:graphic>
              <a:graphicData uri="http://schemas.openxmlformats.org/drawingml/2006/picture">
                <pic:pic>
                  <pic:nvPicPr>
                    <pic:cNvPr id="12" name="top_products.png"/>
                    <pic:cNvPicPr/>
                  </pic:nvPicPr>
                  <pic:blipFill>
                    <a:blip r:embed="R85acbe7680044f5e" cstate="print"/>
                    <a:stretch>
                      <a:fillRect/>
                    </a:stretch>
                  </pic:blipFill>
                  <pic:spPr>
                    <a:xfrm>
                      <a:off x="0" y="0"/>
                      <a:ext cx="5040000" cy="2520000"/>
                    </a:xfrm>
                    <a:prstGeom prst="rect">
                      <a:avLst/>
                    </a:prstGeom>
                  </pic:spPr>
                </pic:pic>
              </a:graphicData>
            </a:graphic>
          </wp:inline>
        </w:drawing>
      </w:r>
    </w:p>
    <w:p w14:paraId="00100238" w14:textId="00100239">
      <w:pPr>
        <w:pStyle w:val="Normal"/>
        <w:spacing w:after="80"/>
        <w:jc w:val="center"/>
      </w:pPr>
      <w:r>
        <w:rPr>
          <w:b/>
          <w:sz w:val="20"/>
        </w:rPr>
        <w:t xml:space="preserve">Figure 13: Top 15 Most Profitable Products</w:t>
      </w:r>
    </w:p>
    <w:p w14:paraId="0010023A" w14:textId="0010023B">
      <w:pPr>
        <w:spacing w:line="240" w:lineRule="auto"/>
      </w:pPr>
      <w:r>
        <w:drawing>
          <wp:inline distT="0" distB="0" distL="0" distR="0">
            <wp:extent cx="5040000" cy="2520000"/>
            <wp:effectExtent l="0" t="0" r="0" b="0"/>
            <wp:docPr id="13" name="top_profitable_products.png" descr=""/>
            <wp:cNvGraphicFramePr>
              <a:graphicFrameLocks noChangeAspect="1"/>
            </wp:cNvGraphicFramePr>
            <a:graphic>
              <a:graphicData uri="http://schemas.openxmlformats.org/drawingml/2006/picture">
                <pic:pic>
                  <pic:nvPicPr>
                    <pic:cNvPr id="13" name="top_profitable_products.png"/>
                    <pic:cNvPicPr/>
                  </pic:nvPicPr>
                  <pic:blipFill>
                    <a:blip r:embed="R54ad96459faf4d87" cstate="print"/>
                    <a:stretch>
                      <a:fillRect/>
                    </a:stretch>
                  </pic:blipFill>
                  <pic:spPr>
                    <a:xfrm>
                      <a:off x="0" y="0"/>
                      <a:ext cx="5040000" cy="2520000"/>
                    </a:xfrm>
                    <a:prstGeom prst="rect">
                      <a:avLst/>
                    </a:prstGeom>
                  </pic:spPr>
                </pic:pic>
              </a:graphicData>
            </a:graphic>
          </wp:inline>
        </w:drawing>
      </w:r>
    </w:p>
    <w:p w14:paraId="0010023C" w14:textId="0010023D">
      <w:pPr>
        <w:pStyle w:val="Normal"/>
        <w:spacing w:after="80"/>
        <w:jc w:val="center"/>
      </w:pPr>
      <w:r>
        <w:rPr>
          <w:b/>
          <w:sz w:val="20"/>
        </w:rPr>
        <w:t xml:space="preserve">Figure 14: Products with Lowest/Negative Profit</w:t>
      </w:r>
    </w:p>
    <w:p w14:paraId="0010023E" w14:textId="0010023F">
      <w:pPr>
        <w:spacing w:line="240" w:lineRule="auto"/>
      </w:pPr>
      <w:r>
        <w:drawing>
          <wp:inline distT="0" distB="0" distL="0" distR="0">
            <wp:extent cx="5040000" cy="2520000"/>
            <wp:effectExtent l="0" t="0" r="0" b="0"/>
            <wp:docPr id="14" name="low_profit_products.png" descr=""/>
            <wp:cNvGraphicFramePr>
              <a:graphicFrameLocks noChangeAspect="1"/>
            </wp:cNvGraphicFramePr>
            <a:graphic>
              <a:graphicData uri="http://schemas.openxmlformats.org/drawingml/2006/picture">
                <pic:pic>
                  <pic:nvPicPr>
                    <pic:cNvPr id="14" name="low_profit_products.png"/>
                    <pic:cNvPicPr/>
                  </pic:nvPicPr>
                  <pic:blipFill>
                    <a:blip r:embed="Rd8aba2c5a4a04dea" cstate="print"/>
                    <a:stretch>
                      <a:fillRect/>
                    </a:stretch>
                  </pic:blipFill>
                  <pic:spPr>
                    <a:xfrm>
                      <a:off x="0" y="0"/>
                      <a:ext cx="5040000" cy="2520000"/>
                    </a:xfrm>
                    <a:prstGeom prst="rect">
                      <a:avLst/>
                    </a:prstGeom>
                  </pic:spPr>
                </pic:pic>
              </a:graphicData>
            </a:graphic>
          </wp:inline>
        </w:drawing>
      </w:r>
    </w:p>
    <w:p w14:paraId="00100240" w14:textId="00100241">
      <w:pPr>
        <w:pStyle w:val="Normal"/>
        <w:spacing w:after="240"/>
      </w:pPr>
      <w:r>
        <w:rPr>
          <w:sz w:val="22"/>
        </w:rPr>
        <w:t xml:space="preserve">Products with negative total profit represent a critical business concern. These items should be reviewed for pricing correction, cost reduction, or potential discontinuation.</w:t>
      </w:r>
    </w:p>
    <w:p w14:paraId="00100242" w14:textId="00100243">
      <w:pPr>
        <w:pStyle w:val="Heading1"/>
        <w:spacing w:after="160"/>
      </w:pPr>
      <w:r>
        <w:rPr>
          <w:b/>
          <w:sz w:val="32"/>
        </w:rPr>
        <w:t xml:space="preserve">22. Regional Analysis</w:t>
      </w:r>
    </w:p>
    <w:p w14:paraId="00100244" w14:textId="00100245">
      <w:pPr>
        <w:pStyle w:val="Normal"/>
        <w:spacing w:after="160"/>
      </w:pPr>
      <w:r>
        <w:rPr>
          <w:sz w:val="22"/>
        </w:rPr>
        <w:t xml:space="preserve">The dataset covers 23 distinct regions spanning all five global markets. Regional analysis reveals significant performance variation in both sales and profitability.</w:t>
      </w:r>
    </w:p>
    <w:p w14:paraId="00100246" w14:textId="00100247">
      <w:pPr>
        <w:pStyle w:val="Heading1"/>
        <w:spacing w:after="160"/>
      </w:pPr>
      <w:r>
        <w:rPr>
          <w:b/>
          <w:sz w:val="32"/>
        </w:rPr>
        <w:t xml:space="preserve">23. Market Analysis</w:t>
      </w:r>
    </w:p>
    <w:p w14:paraId="00100248" w14:textId="00100249">
      <w:pPr>
        <w:pStyle w:val="Normal"/>
        <w:spacing w:after="160"/>
      </w:pPr>
      <w:r>
        <w:rPr>
          <w:sz w:val="22"/>
        </w:rPr>
        <w:t xml:space="preserve">At the market level, Europe leads in both sales and profit. Pacific Asia, LATAM, USCA, and Africa show different performance profiles. The profit margin variation across markets suggests differences in product mix, pricing strategy, and operational costs.</w:t>
      </w:r>
    </w:p>
    <w:p w14:paraId="0010024A" w14:textId="0010024B">
      <w:pPr>
        <w:pStyle w:val="Heading1"/>
        <w:spacing w:after="160"/>
      </w:pPr>
      <w:r>
        <w:rPr>
          <w:b/>
          <w:sz w:val="32"/>
        </w:rPr>
        <w:t xml:space="preserve">24. Shipping Analysis</w:t>
      </w:r>
    </w:p>
    <w:p w14:paraId="0010024C" w14:textId="0010024D">
      <w:pPr>
        <w:pStyle w:val="Normal"/>
        <w:spacing w:after="160"/>
      </w:pPr>
      <w:r>
        <w:rPr>
          <w:sz w:val="22"/>
        </w:rPr>
        <w:t xml:space="preserve">Four shipping modes are available: Standard Class, First Class, Second Class, and Same Day. Standard Class dominates the order volume, accounting for the majority of all shipments.</w:t>
      </w:r>
    </w:p>
    <w:p w14:paraId="0010024E" w14:textId="0010024F">
      <w:pPr>
        <w:pStyle w:val="Normal"/>
        <w:spacing w:after="80"/>
        <w:jc w:val="center"/>
      </w:pPr>
      <w:r>
        <w:rPr>
          <w:b/>
          <w:sz w:val="20"/>
        </w:rPr>
        <w:t xml:space="preserve">Figure 15: Shipping Mode Distribution</w:t>
      </w:r>
    </w:p>
    <w:p w14:paraId="00100250" w14:textId="00100251">
      <w:pPr>
        <w:spacing w:line="240" w:lineRule="auto"/>
      </w:pPr>
      <w:r>
        <w:drawing>
          <wp:inline distT="0" distB="0" distL="0" distR="0">
            <wp:extent cx="5040000" cy="2160000"/>
            <wp:effectExtent l="0" t="0" r="0" b="0"/>
            <wp:docPr id="15" name="shipping_mode_distribution.png" descr=""/>
            <wp:cNvGraphicFramePr>
              <a:graphicFrameLocks noChangeAspect="1"/>
            </wp:cNvGraphicFramePr>
            <a:graphic>
              <a:graphicData uri="http://schemas.openxmlformats.org/drawingml/2006/picture">
                <pic:pic>
                  <pic:nvPicPr>
                    <pic:cNvPr id="15" name="shipping_mode_distribution.png"/>
                    <pic:cNvPicPr/>
                  </pic:nvPicPr>
                  <pic:blipFill>
                    <a:blip r:embed="R9d127cf569404c36" cstate="print"/>
                    <a:stretch>
                      <a:fillRect/>
                    </a:stretch>
                  </pic:blipFill>
                  <pic:spPr>
                    <a:xfrm>
                      <a:off x="0" y="0"/>
                      <a:ext cx="5040000" cy="2160000"/>
                    </a:xfrm>
                    <a:prstGeom prst="rect">
                      <a:avLst/>
                    </a:prstGeom>
                  </pic:spPr>
                </pic:pic>
              </a:graphicData>
            </a:graphic>
          </wp:inline>
        </w:drawing>
      </w:r>
    </w:p>
    <w:p w14:paraId="00100252" w14:textId="00100253">
      <w:pPr>
        <w:pStyle w:val="Normal"/>
        <w:spacing w:after="80"/>
        <w:jc w:val="center"/>
      </w:pPr>
      <w:r>
        <w:rPr>
          <w:b/>
          <w:sz w:val="20"/>
        </w:rPr>
        <w:t xml:space="preserve">Figure 16: Shipping Mode vs. Delivery Performance</w:t>
      </w:r>
    </w:p>
    <w:p w14:paraId="00100254" w14:textId="00100255">
      <w:pPr>
        <w:spacing w:line="240" w:lineRule="auto"/>
      </w:pPr>
      <w:r>
        <w:drawing>
          <wp:inline distT="0" distB="0" distL="0" distR="0">
            <wp:extent cx="5040000" cy="2160000"/>
            <wp:effectExtent l="0" t="0" r="0" b="0"/>
            <wp:docPr id="16" name="shipping_mode_performance.png" descr=""/>
            <wp:cNvGraphicFramePr>
              <a:graphicFrameLocks noChangeAspect="1"/>
            </wp:cNvGraphicFramePr>
            <a:graphic>
              <a:graphicData uri="http://schemas.openxmlformats.org/drawingml/2006/picture">
                <pic:pic>
                  <pic:nvPicPr>
                    <pic:cNvPr id="16" name="shipping_mode_performance.png"/>
                    <pic:cNvPicPr/>
                  </pic:nvPicPr>
                  <pic:blipFill>
                    <a:blip r:embed="R21bf7b3c6da04a03" cstate="print"/>
                    <a:stretch>
                      <a:fillRect/>
                    </a:stretch>
                  </pic:blipFill>
                  <pic:spPr>
                    <a:xfrm>
                      <a:off x="0" y="0"/>
                      <a:ext cx="5040000" cy="2160000"/>
                    </a:xfrm>
                    <a:prstGeom prst="rect">
                      <a:avLst/>
                    </a:prstGeom>
                  </pic:spPr>
                </pic:pic>
              </a:graphicData>
            </a:graphic>
          </wp:inline>
        </w:drawing>
      </w:r>
    </w:p>
    <w:p w14:paraId="00100256" w14:textId="00100257">
      <w:pPr>
        <w:pStyle w:val="Normal"/>
        <w:spacing w:after="240"/>
      </w:pPr>
      <w:r>
        <w:rPr>
          <w:sz w:val="22"/>
        </w:rPr>
        <w:t xml:space="preserve">Different shipping modes show different late delivery rates. The comparison between actual and scheduled shipping days reveals where operational commitments are not being met.</w:t>
      </w:r>
    </w:p>
    <w:p w14:paraId="00100258" w14:textId="00100259">
      <w:pPr>
        <w:pStyle w:val="Heading1"/>
        <w:spacing w:after="160"/>
      </w:pPr>
      <w:r>
        <w:rPr>
          <w:b/>
          <w:sz w:val="32"/>
        </w:rPr>
        <w:t xml:space="preserve">25. Delivery Performance Analysis</w:t>
      </w:r>
    </w:p>
    <w:p w14:paraId="0010025A" w14:textId="0010025B">
      <w:pPr>
        <w:pStyle w:val="Normal"/>
        <w:spacing w:after="160"/>
      </w:pPr>
      <w:r>
        <w:rPr>
          <w:sz w:val="22"/>
        </w:rPr>
        <w:t xml:space="preserve">The overall late delivery rate is 54.8% — meaning more than half of all orders are delivered later than originally scheduled. This is a critical operational concern with direct customer satisfaction implications.</w:t>
      </w:r>
    </w:p>
    <w:p w14:paraId="0010025C" w14:textId="0010025D">
      <w:pPr>
        <w:pStyle w:val="Normal"/>
        <w:spacing w:after="80"/>
        <w:jc w:val="center"/>
      </w:pPr>
      <w:r>
        <w:rPr>
          <w:b/>
          <w:sz w:val="20"/>
        </w:rPr>
        <w:t xml:space="preserve">Figure 17: Delivery Status Distribution</w:t>
      </w:r>
    </w:p>
    <w:p w14:paraId="0010025E" w14:textId="0010025F">
      <w:pPr>
        <w:spacing w:line="240" w:lineRule="auto"/>
      </w:pPr>
      <w:r>
        <w:drawing>
          <wp:inline distT="0" distB="0" distL="0" distR="0">
            <wp:extent cx="5040000" cy="2160000"/>
            <wp:effectExtent l="0" t="0" r="0" b="0"/>
            <wp:docPr id="17" name="late_delivery_distribution.png" descr=""/>
            <wp:cNvGraphicFramePr>
              <a:graphicFrameLocks noChangeAspect="1"/>
            </wp:cNvGraphicFramePr>
            <a:graphic>
              <a:graphicData uri="http://schemas.openxmlformats.org/drawingml/2006/picture">
                <pic:pic>
                  <pic:nvPicPr>
                    <pic:cNvPr id="17" name="late_delivery_distribution.png"/>
                    <pic:cNvPicPr/>
                  </pic:nvPicPr>
                  <pic:blipFill>
                    <a:blip r:embed="R8beee8ded4454aaf" cstate="print"/>
                    <a:stretch>
                      <a:fillRect/>
                    </a:stretch>
                  </pic:blipFill>
                  <pic:spPr>
                    <a:xfrm>
                      <a:off x="0" y="0"/>
                      <a:ext cx="5040000" cy="2160000"/>
                    </a:xfrm>
                    <a:prstGeom prst="rect">
                      <a:avLst/>
                    </a:prstGeom>
                  </pic:spPr>
                </pic:pic>
              </a:graphicData>
            </a:graphic>
          </wp:inline>
        </w:drawing>
      </w:r>
    </w:p>
    <w:p w14:paraId="00100260" w14:textId="00100261">
      <w:pPr>
        <w:pStyle w:val="Normal"/>
        <w:spacing w:after="80"/>
        <w:jc w:val="center"/>
      </w:pPr>
      <w:r>
        <w:rPr>
          <w:b/>
          <w:sz w:val="20"/>
        </w:rPr>
        <w:t xml:space="preserve">Figure 18: Late Delivery Rate by Region</w:t>
      </w:r>
    </w:p>
    <w:p w14:paraId="00100262" w14:textId="00100263">
      <w:pPr>
        <w:spacing w:line="240" w:lineRule="auto"/>
      </w:pPr>
      <w:r>
        <w:drawing>
          <wp:inline distT="0" distB="0" distL="0" distR="0">
            <wp:extent cx="5040000" cy="2880000"/>
            <wp:effectExtent l="0" t="0" r="0" b="0"/>
            <wp:docPr id="18" name="late_delivery_by_region.png" descr=""/>
            <wp:cNvGraphicFramePr>
              <a:graphicFrameLocks noChangeAspect="1"/>
            </wp:cNvGraphicFramePr>
            <a:graphic>
              <a:graphicData uri="http://schemas.openxmlformats.org/drawingml/2006/picture">
                <pic:pic>
                  <pic:nvPicPr>
                    <pic:cNvPr id="18" name="late_delivery_by_region.png"/>
                    <pic:cNvPicPr/>
                  </pic:nvPicPr>
                  <pic:blipFill>
                    <a:blip r:embed="R0c72b12107a44b86" cstate="print"/>
                    <a:stretch>
                      <a:fillRect/>
                    </a:stretch>
                  </pic:blipFill>
                  <pic:spPr>
                    <a:xfrm>
                      <a:off x="0" y="0"/>
                      <a:ext cx="5040000" cy="2880000"/>
                    </a:xfrm>
                    <a:prstGeom prst="rect">
                      <a:avLst/>
                    </a:prstGeom>
                  </pic:spPr>
                </pic:pic>
              </a:graphicData>
            </a:graphic>
          </wp:inline>
        </w:drawing>
      </w:r>
    </w:p>
    <w:p w14:paraId="00100264" w14:textId="00100265">
      <w:pPr>
        <w:pStyle w:val="Normal"/>
        <w:spacing w:after="160"/>
      </w:pPr>
      <w:r>
        <w:rPr>
          <w:sz w:val="22"/>
        </w:rPr>
        <w:t xml:space="preserve">Central Africa shows the highest late delivery rate (58.0%). Canada shows the lowest (48.8%). The dashed vertical line represents the overall average late delivery rate of 54.8%.</w:t>
      </w:r>
    </w:p>
    <w:p w14:paraId="00100266" w14:textId="00100267">
      <w:pPr>
        <w:pStyle w:val="Normal"/>
        <w:spacing w:after="80"/>
        <w:jc w:val="center"/>
      </w:pPr>
      <w:r>
        <w:rPr>
          <w:b/>
          <w:sz w:val="20"/>
        </w:rPr>
        <w:t xml:space="preserve">Figure 19: Late Delivery Rate by Market</w:t>
      </w:r>
    </w:p>
    <w:p w14:paraId="00100268" w14:textId="00100269">
      <w:pPr>
        <w:spacing w:line="240" w:lineRule="auto"/>
      </w:pPr>
      <w:r>
        <w:drawing>
          <wp:inline distT="0" distB="0" distL="0" distR="0">
            <wp:extent cx="5040000" cy="2160000"/>
            <wp:effectExtent l="0" t="0" r="0" b="0"/>
            <wp:docPr id="19" name="late_delivery_by_market.png" descr=""/>
            <wp:cNvGraphicFramePr>
              <a:graphicFrameLocks noChangeAspect="1"/>
            </wp:cNvGraphicFramePr>
            <a:graphic>
              <a:graphicData uri="http://schemas.openxmlformats.org/drawingml/2006/picture">
                <pic:pic>
                  <pic:nvPicPr>
                    <pic:cNvPr id="19" name="late_delivery_by_market.png"/>
                    <pic:cNvPicPr/>
                  </pic:nvPicPr>
                  <pic:blipFill>
                    <a:blip r:embed="Ra307dac8dd8e4209" cstate="print"/>
                    <a:stretch>
                      <a:fillRect/>
                    </a:stretch>
                  </pic:blipFill>
                  <pic:spPr>
                    <a:xfrm>
                      <a:off x="0" y="0"/>
                      <a:ext cx="5040000" cy="2160000"/>
                    </a:xfrm>
                    <a:prstGeom prst="rect">
                      <a:avLst/>
                    </a:prstGeom>
                  </pic:spPr>
                </pic:pic>
              </a:graphicData>
            </a:graphic>
          </wp:inline>
        </w:drawing>
      </w:r>
    </w:p>
    <w:p w14:paraId="0010026A" w14:textId="0010026B">
      <w:pPr>
        <w:pStyle w:val="Normal"/>
        <w:spacing w:after="240"/>
      </w:pPr>
      <w:r>
        <w:rPr>
          <w:sz w:val="22"/>
        </w:rPr>
        <w:t xml:space="preserve">All markets show late delivery rates above 50%, confirming this is a systemic rather than region-specific challenge. Targeted operational improvement programs are warranted across all markets.</w:t>
      </w:r>
    </w:p>
    <w:p w14:paraId="0010026C" w14:textId="0010026D">
      <w:pPr>
        <w:pStyle w:val="Heading1"/>
        <w:spacing w:after="160"/>
      </w:pPr>
      <w:r>
        <w:rPr>
          <w:b/>
          <w:sz w:val="32"/>
        </w:rPr>
        <w:t xml:space="preserve">26. Late Delivery Risk Analysis</w:t>
      </w:r>
    </w:p>
    <w:p w14:paraId="0010026E" w14:textId="0010026F">
      <w:pPr>
        <w:pStyle w:val="Normal"/>
        <w:spacing w:after="160"/>
      </w:pPr>
      <w:r>
        <w:rPr>
          <w:sz w:val="22"/>
        </w:rPr>
        <w:t xml:space="preserve">Analysis of the Late_delivery_risk binary variable reveals a 54.8% overall rate. Shipping mode and scheduled shipping days are the most strongly associated variables. Regions in Central Africa and West Africa show above-average late delivery rates.</w:t>
      </w:r>
    </w:p>
    <w:p w14:paraId="00100270" w14:textId="00100271">
      <w:pPr>
        <w:pStyle w:val="Heading1"/>
        <w:spacing w:after="160"/>
      </w:pPr>
      <w:r>
        <w:rPr>
          <w:b/>
          <w:sz w:val="32"/>
        </w:rPr>
        <w:t xml:space="preserve">27. Advanced Analytics — Machine Learning for Late Delivery Risk Prediction</w:t>
      </w:r>
    </w:p>
    <w:p w14:paraId="00100272" w14:textId="00100273">
      <w:pPr>
        <w:pStyle w:val="Normal"/>
        <w:spacing w:after="80"/>
      </w:pPr>
      <w:r>
        <w:rPr>
          <w:b/>
          <w:sz w:val="24"/>
        </w:rPr>
        <w:t xml:space="preserve">Data Leakage Audit</w:t>
      </w:r>
    </w:p>
    <w:p w14:paraId="00100274" w14:textId="00100275">
      <w:pPr>
        <w:pStyle w:val="Normal"/>
        <w:spacing w:after="160"/>
      </w:pPr>
      <w:r>
        <w:rPr>
          <w:sz w:val="22"/>
        </w:rPr>
        <w:t xml:space="preserve">Before building any model, a rigorous data leakage audit was conducted. The following variables were identified as post-event (leakage) variables and EXCLUDED from the feature set:</w:t>
      </w:r>
    </w:p>
    <w:p w14:paraId="00100276" w14:textId="00100277">
      <w:pPr>
        <w:pStyle w:val="Normal"/>
        <w:spacing w:after="160"/>
      </w:pPr>
      <w:r>
        <w:rPr>
          <w:sz w:val="22"/>
        </w:rPr>
        <w:t xml:space="preserve">- Delivery Status: directly reveals the outcome</w:t>
      </w:r>
    </w:p>
    <w:p w14:paraId="00100278" w14:textId="00100279">
      <w:pPr>
        <w:pStyle w:val="Normal"/>
        <w:spacing w:after="160"/>
      </w:pPr>
      <w:r>
        <w:rPr>
          <w:sz w:val="22"/>
        </w:rPr>
        <w:t xml:space="preserve">- Days for shipping (real): known only after delivery</w:t>
      </w:r>
    </w:p>
    <w:p w14:paraId="0010027A" w14:textId="0010027B">
      <w:pPr>
        <w:pStyle w:val="Normal"/>
        <w:spacing w:after="160"/>
      </w:pPr>
      <w:r>
        <w:rPr>
          <w:sz w:val="22"/>
        </w:rPr>
        <w:t xml:space="preserve">- delivery_delay: computed from actual delivery time</w:t>
      </w:r>
    </w:p>
    <w:p w14:paraId="0010027C" w14:textId="0010027D">
      <w:pPr>
        <w:pStyle w:val="Normal"/>
        <w:spacing w:after="160"/>
      </w:pPr>
      <w:r>
        <w:rPr>
          <w:sz w:val="22"/>
        </w:rPr>
        <w:t xml:space="preserve">- is_late: derived from actual delivery outcome</w:t>
      </w:r>
    </w:p>
    <w:p w14:paraId="0010027E" w14:textId="0010027F">
      <w:pPr>
        <w:pStyle w:val="Normal"/>
        <w:spacing w:after="160"/>
      </w:pPr>
      <w:r>
        <w:rPr>
          <w:sz w:val="22"/>
        </w:rPr>
        <w:t xml:space="preserve">- shipping_date: available only after shipment</w:t>
      </w:r>
    </w:p>
    <w:p w14:paraId="00100280" w14:textId="00100281">
      <w:pPr>
        <w:pStyle w:val="Normal"/>
        <w:spacing w:after="160"/>
      </w:pPr>
      <w:r>
        <w:rPr>
          <w:sz w:val="22"/>
        </w:rPr>
        <w:t xml:space="preserve"/>
      </w:r>
    </w:p>
    <w:p w14:paraId="00100282" w14:textId="00100283">
      <w:pPr>
        <w:pStyle w:val="Normal"/>
        <w:spacing w:after="160"/>
      </w:pPr>
      <w:r>
        <w:rPr>
          <w:sz w:val="22"/>
        </w:rPr>
        <w:t xml:space="preserve">All model features represent information available at order placement time (pre-shipment).</w:t>
      </w:r>
    </w:p>
    <w:p w14:paraId="00100284" w14:textId="00100285">
      <w:pPr>
        <w:pStyle w:val="Normal"/>
        <w:spacing w:after="80"/>
      </w:pPr>
      <w:r>
        <w:rPr>
          <w:b/>
          <w:sz w:val="24"/>
        </w:rPr>
        <w:t xml:space="preserve">Model Features Used (Pre-Shipment Only)</w:t>
      </w:r>
    </w:p>
    <w:p w14:paraId="00100286" w14:textId="00100287">
      <w:pPr>
        <w:pStyle w:val="Normal"/>
        <w:spacing w:after="160"/>
      </w:pPr>
      <w:r>
        <w:rPr>
          <w:sz w:val="22"/>
        </w:rPr>
        <w:t xml:space="preserve">Days for shipment (scheduled), Category Name, Customer Segment, Market, Order Region, Shipping Mode, Department Name, Order Item Discount Rate, Order Item Quantity, Product Price, Order Item Product Price, Sales, order_year, order_month, order_quarter, Type (payment method).</w:t>
      </w:r>
    </w:p>
    <w:p w14:paraId="00100288" w14:textId="00100289">
      <w:pPr>
        <w:pStyle w:val="Normal"/>
        <w:spacing w:after="120"/>
      </w:pPr>
      <w:r>
        <w:rPr>
          <w:b/>
          <w:sz w:val="24"/>
        </w:rPr>
        <w:t xml:space="preserve">Model Results</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28A" w14:textId="0010028B">
            <w:r>
              <w:t xml:space="preserve">Model</w:t>
            </w:r>
          </w:p>
        </w:tc>
        <w:tc>
          <w:p w14:paraId="0010028C" w14:textId="0010028D">
            <w:r>
              <w:t xml:space="preserve">Accuracy</w:t>
            </w:r>
          </w:p>
        </w:tc>
        <w:tc>
          <w:p w14:paraId="0010028E" w14:textId="0010028F">
            <w:r>
              <w:t xml:space="preserve">Precision</w:t>
            </w:r>
          </w:p>
        </w:tc>
        <w:tc>
          <w:p w14:paraId="00100290" w14:textId="00100291">
            <w:r>
              <w:t xml:space="preserve">Recall</w:t>
            </w:r>
          </w:p>
        </w:tc>
        <w:tc>
          <w:p w14:paraId="00100292" w14:textId="00100293">
            <w:r>
              <w:t xml:space="preserve">F1 Score</w:t>
            </w:r>
          </w:p>
        </w:tc>
        <w:tc>
          <w:p w14:paraId="00100294" w14:textId="00100295">
            <w:r>
              <w:t xml:space="preserve">ROC-AUC</w:t>
            </w:r>
          </w:p>
        </w:tc>
      </w:tr>
      <w:tr>
        <w:trPr/>
        <w:tc>
          <w:p w14:paraId="00100296" w14:textId="00100297">
            <w:r>
              <w:t xml:space="preserve">Baseline (Majority)</w:t>
            </w:r>
          </w:p>
        </w:tc>
        <w:tc>
          <w:p w14:paraId="00100298" w14:textId="00100299">
            <w:r>
              <w:t xml:space="preserve">0.5483</w:t>
            </w:r>
          </w:p>
        </w:tc>
        <w:tc>
          <w:p w14:paraId="0010029A" w14:textId="0010029B">
            <w:r>
              <w:t xml:space="preserve">—</w:t>
            </w:r>
          </w:p>
        </w:tc>
        <w:tc>
          <w:p w14:paraId="0010029C" w14:textId="0010029D">
            <w:r>
              <w:t xml:space="preserve">—</w:t>
            </w:r>
          </w:p>
        </w:tc>
        <w:tc>
          <w:p w14:paraId="0010029E" w14:textId="0010029F">
            <w:r>
              <w:t xml:space="preserve">0.7083*</w:t>
            </w:r>
          </w:p>
        </w:tc>
        <w:tc>
          <w:p w14:paraId="001002A0" w14:textId="001002A1">
            <w:r>
              <w:t xml:space="preserve">0.5000</w:t>
            </w:r>
          </w:p>
        </w:tc>
      </w:tr>
      <w:tr>
        <w:trPr/>
        <w:tc>
          <w:p w14:paraId="001002A2" w14:textId="001002A3">
            <w:r>
              <w:t xml:space="preserve">Logistic Regression</w:t>
            </w:r>
          </w:p>
        </w:tc>
        <w:tc>
          <w:p w14:paraId="001002A4" w14:textId="001002A5">
            <w:r>
              <w:t xml:space="preserve">0.6919</w:t>
            </w:r>
          </w:p>
        </w:tc>
        <w:tc>
          <w:p w14:paraId="001002A6" w14:textId="001002A7">
            <w:r>
              <w:t xml:space="preserve">0.7968</w:t>
            </w:r>
          </w:p>
        </w:tc>
        <w:tc>
          <w:p w14:paraId="001002A8" w14:textId="001002A9">
            <w:r>
              <w:t xml:space="preserve">0.5880</w:t>
            </w:r>
          </w:p>
        </w:tc>
        <w:tc>
          <w:p w14:paraId="001002AA" w14:textId="001002AB">
            <w:r>
              <w:t xml:space="preserve">0.6767</w:t>
            </w:r>
          </w:p>
        </w:tc>
        <w:tc>
          <w:p w14:paraId="001002AC" w14:textId="001002AD">
            <w:r>
              <w:t xml:space="preserve">0.7269</w:t>
            </w:r>
          </w:p>
        </w:tc>
      </w:tr>
      <w:tr>
        <w:trPr/>
        <w:tc>
          <w:p w14:paraId="001002AE" w14:textId="001002AF">
            <w:r>
              <w:t xml:space="preserve">Random Forest</w:t>
            </w:r>
          </w:p>
        </w:tc>
        <w:tc>
          <w:p w14:paraId="001002B0" w14:textId="001002B1">
            <w:r>
              <w:t xml:space="preserve">0.6989</w:t>
            </w:r>
          </w:p>
        </w:tc>
        <w:tc>
          <w:p w14:paraId="001002B2" w14:textId="001002B3">
            <w:r>
              <w:t xml:space="preserve">~0.68</w:t>
            </w:r>
          </w:p>
        </w:tc>
        <w:tc>
          <w:p w14:paraId="001002B4" w14:textId="001002B5">
            <w:r>
              <w:t xml:space="preserve">~0.64</w:t>
            </w:r>
          </w:p>
        </w:tc>
        <w:tc>
          <w:p w14:paraId="001002B6" w14:textId="001002B7">
            <w:r>
              <w:t xml:space="preserve">0.6714</w:t>
            </w:r>
          </w:p>
        </w:tc>
        <w:tc>
          <w:p w14:paraId="001002B8" w14:textId="001002B9">
            <w:r>
              <w:t xml:space="preserve">0.7481</w:t>
            </w:r>
          </w:p>
        </w:tc>
      </w:tr>
      <w:tr>
        <w:trPr/>
        <w:tc>
          <w:p w14:paraId="001002BA" w14:textId="001002BB">
            <w:r>
              <w:t xml:space="preserve">Gradient Boosting</w:t>
            </w:r>
          </w:p>
        </w:tc>
        <w:tc>
          <w:p w14:paraId="001002BC" w14:textId="001002BD">
            <w:r>
              <w:t xml:space="preserve">0.6973</w:t>
            </w:r>
          </w:p>
        </w:tc>
        <w:tc>
          <w:p w14:paraId="001002BE" w14:textId="001002BF">
            <w:r>
              <w:t xml:space="preserve">~0.67</w:t>
            </w:r>
          </w:p>
        </w:tc>
        <w:tc>
          <w:p w14:paraId="001002C0" w14:textId="001002C1">
            <w:r>
              <w:t xml:space="preserve">~0.64</w:t>
            </w:r>
          </w:p>
        </w:tc>
        <w:tc>
          <w:p w14:paraId="001002C2" w14:textId="001002C3">
            <w:r>
              <w:t xml:space="preserve">0.6679</w:t>
            </w:r>
          </w:p>
        </w:tc>
        <w:tc>
          <w:p w14:paraId="001002C4" w14:textId="001002C5">
            <w:r>
              <w:t xml:space="preserve">0.7477</w:t>
            </w:r>
          </w:p>
        </w:tc>
      </w:tr>
    </w:tbl>
    <w:p w14:paraId="001002C6" w14:textId="001002C7">
      <w:pPr>
        <w:pStyle w:val="Normal"/>
        <w:spacing w:after="160"/>
      </w:pPr>
      <w:r>
        <w:rPr>
          <w:sz w:val="18"/>
        </w:rPr>
        <w:t xml:space="preserve">* Baseline F1 is misleadingly high due to majority class bias — always compare to non-trivial models.</w:t>
      </w:r>
    </w:p>
    <w:p w14:paraId="001002C8" w14:textId="001002C9">
      <w:pPr>
        <w:pStyle w:val="Normal"/>
        <w:spacing w:after="160"/>
      </w:pPr>
      <w:r>
        <w:rPr>
          <w:sz w:val="22"/>
        </w:rPr>
        <w:t xml:space="preserve">The Random Forest achieves the highest ROC-AUC (0.7481), making it the best model for deployment. All three trained models significantly outperform the baseline on AUC, confirming the features capture meaningful signal for late delivery risk prediction.</w:t>
      </w:r>
    </w:p>
    <w:p w14:paraId="001002CA" w14:textId="001002CB">
      <w:pPr>
        <w:pStyle w:val="Normal"/>
        <w:spacing w:after="80"/>
        <w:jc w:val="center"/>
      </w:pPr>
      <w:r>
        <w:rPr>
          <w:b/>
          <w:sz w:val="20"/>
        </w:rPr>
        <w:t xml:space="preserve">Figure 20: Model Performance Comparison</w:t>
      </w:r>
    </w:p>
    <w:p w14:paraId="001002CC" w14:textId="001002CD">
      <w:pPr>
        <w:spacing w:line="240" w:lineRule="auto"/>
      </w:pPr>
      <w:r>
        <w:drawing>
          <wp:inline distT="0" distB="0" distL="0" distR="0">
            <wp:extent cx="5400000" cy="2520000"/>
            <wp:effectExtent l="0" t="0" r="0" b="0"/>
            <wp:docPr id="20" name="model_comparison.png" descr=""/>
            <wp:cNvGraphicFramePr>
              <a:graphicFrameLocks noChangeAspect="1"/>
            </wp:cNvGraphicFramePr>
            <a:graphic>
              <a:graphicData uri="http://schemas.openxmlformats.org/drawingml/2006/picture">
                <pic:pic>
                  <pic:nvPicPr>
                    <pic:cNvPr id="20" name="model_comparison.png"/>
                    <pic:cNvPicPr/>
                  </pic:nvPicPr>
                  <pic:blipFill>
                    <a:blip r:embed="R974f4a18479647d7" cstate="print"/>
                    <a:stretch>
                      <a:fillRect/>
                    </a:stretch>
                  </pic:blipFill>
                  <pic:spPr>
                    <a:xfrm>
                      <a:off x="0" y="0"/>
                      <a:ext cx="5400000" cy="2520000"/>
                    </a:xfrm>
                    <a:prstGeom prst="rect">
                      <a:avLst/>
                    </a:prstGeom>
                  </pic:spPr>
                </pic:pic>
              </a:graphicData>
            </a:graphic>
          </wp:inline>
        </w:drawing>
      </w:r>
    </w:p>
    <w:p w14:paraId="001002CE" w14:textId="001002CF">
      <w:pPr>
        <w:pStyle w:val="Normal"/>
        <w:spacing w:after="80"/>
        <w:jc w:val="center"/>
      </w:pPr>
      <w:r>
        <w:rPr>
          <w:b/>
          <w:sz w:val="20"/>
        </w:rPr>
        <w:t xml:space="preserve">Figure 21: Confusion Matrix (Best Model)</w:t>
      </w:r>
    </w:p>
    <w:p w14:paraId="001002D0" w14:textId="001002D1">
      <w:pPr>
        <w:spacing w:line="240" w:lineRule="auto"/>
      </w:pPr>
      <w:r>
        <w:drawing>
          <wp:inline distT="0" distB="0" distL="0" distR="0">
            <wp:extent cx="3960000" cy="2520000"/>
            <wp:effectExtent l="0" t="0" r="0" b="0"/>
            <wp:docPr id="21" name="confusion_matrix.png" descr=""/>
            <wp:cNvGraphicFramePr>
              <a:graphicFrameLocks noChangeAspect="1"/>
            </wp:cNvGraphicFramePr>
            <a:graphic>
              <a:graphicData uri="http://schemas.openxmlformats.org/drawingml/2006/picture">
                <pic:pic>
                  <pic:nvPicPr>
                    <pic:cNvPr id="21" name="confusion_matrix.png"/>
                    <pic:cNvPicPr/>
                  </pic:nvPicPr>
                  <pic:blipFill>
                    <a:blip r:embed="Ra59e0db651fe48d1" cstate="print"/>
                    <a:stretch>
                      <a:fillRect/>
                    </a:stretch>
                  </pic:blipFill>
                  <pic:spPr>
                    <a:xfrm>
                      <a:off x="0" y="0"/>
                      <a:ext cx="3960000" cy="2520000"/>
                    </a:xfrm>
                    <a:prstGeom prst="rect">
                      <a:avLst/>
                    </a:prstGeom>
                  </pic:spPr>
                </pic:pic>
              </a:graphicData>
            </a:graphic>
          </wp:inline>
        </w:drawing>
      </w:r>
    </w:p>
    <w:p w14:paraId="001002D2" w14:textId="001002D3">
      <w:pPr>
        <w:pStyle w:val="Normal"/>
        <w:spacing w:after="80"/>
        <w:jc w:val="center"/>
      </w:pPr>
      <w:r>
        <w:rPr>
          <w:b/>
          <w:sz w:val="20"/>
        </w:rPr>
        <w:t xml:space="preserve">Figure 22: Feature Importance (Random Forest)</w:t>
      </w:r>
    </w:p>
    <w:p w14:paraId="001002D4" w14:textId="001002D5">
      <w:pPr>
        <w:spacing w:line="240" w:lineRule="auto"/>
      </w:pPr>
      <w:r>
        <w:drawing>
          <wp:inline distT="0" distB="0" distL="0" distR="0">
            <wp:extent cx="4680000" cy="2880000"/>
            <wp:effectExtent l="0" t="0" r="0" b="0"/>
            <wp:docPr id="22" name="feature_importance.png" descr=""/>
            <wp:cNvGraphicFramePr>
              <a:graphicFrameLocks noChangeAspect="1"/>
            </wp:cNvGraphicFramePr>
            <a:graphic>
              <a:graphicData uri="http://schemas.openxmlformats.org/drawingml/2006/picture">
                <pic:pic>
                  <pic:nvPicPr>
                    <pic:cNvPr id="22" name="feature_importance.png"/>
                    <pic:cNvPicPr/>
                  </pic:nvPicPr>
                  <pic:blipFill>
                    <a:blip r:embed="R1f61c1b6a64c4a71" cstate="print"/>
                    <a:stretch>
                      <a:fillRect/>
                    </a:stretch>
                  </pic:blipFill>
                  <pic:spPr>
                    <a:xfrm>
                      <a:off x="0" y="0"/>
                      <a:ext cx="4680000" cy="2880000"/>
                    </a:xfrm>
                    <a:prstGeom prst="rect">
                      <a:avLst/>
                    </a:prstGeom>
                  </pic:spPr>
                </pic:pic>
              </a:graphicData>
            </a:graphic>
          </wp:inline>
        </w:drawing>
      </w:r>
    </w:p>
    <w:p w14:paraId="001002D6" w14:textId="001002D7">
      <w:pPr>
        <w:pStyle w:val="Normal"/>
        <w:spacing w:after="160"/>
      </w:pPr>
      <w:r>
        <w:rPr>
          <w:sz w:val="22"/>
        </w:rPr>
        <w:t xml:space="preserve">Shipping Mode (41.0%) and Days for shipment (scheduled) (37.9%) account for approximately 79% of the model's total feature importance. This confirms that delivery scheduling decisions and shipping mode selection are the dominant drivers of late delivery risk.</w:t>
      </w:r>
    </w:p>
    <w:p w14:paraId="001002D8" w14:textId="001002D9">
      <w:pPr>
        <w:pStyle w:val="Normal"/>
        <w:spacing w:after="80"/>
        <w:jc w:val="center"/>
      </w:pPr>
      <w:r>
        <w:rPr>
          <w:b/>
          <w:sz w:val="20"/>
        </w:rPr>
        <w:t xml:space="preserve">Figure 23: ROC Curves — All Models</w:t>
      </w:r>
    </w:p>
    <w:p w14:paraId="001002DA" w14:textId="001002DB">
      <w:pPr>
        <w:spacing w:line="240" w:lineRule="auto"/>
      </w:pPr>
      <w:r>
        <w:drawing>
          <wp:inline distT="0" distB="0" distL="0" distR="0">
            <wp:extent cx="4320000" cy="3240000"/>
            <wp:effectExtent l="0" t="0" r="0" b="0"/>
            <wp:docPr id="23" name="roc_curve.png" descr=""/>
            <wp:cNvGraphicFramePr>
              <a:graphicFrameLocks noChangeAspect="1"/>
            </wp:cNvGraphicFramePr>
            <a:graphic>
              <a:graphicData uri="http://schemas.openxmlformats.org/drawingml/2006/picture">
                <pic:pic>
                  <pic:nvPicPr>
                    <pic:cNvPr id="23" name="roc_curve.png"/>
                    <pic:cNvPicPr/>
                  </pic:nvPicPr>
                  <pic:blipFill>
                    <a:blip r:embed="Ra95f951a31f044c1" cstate="print"/>
                    <a:stretch>
                      <a:fillRect/>
                    </a:stretch>
                  </pic:blipFill>
                  <pic:spPr>
                    <a:xfrm>
                      <a:off x="0" y="0"/>
                      <a:ext cx="4320000" cy="3240000"/>
                    </a:xfrm>
                    <a:prstGeom prst="rect">
                      <a:avLst/>
                    </a:prstGeom>
                  </pic:spPr>
                </pic:pic>
              </a:graphicData>
            </a:graphic>
          </wp:inline>
        </w:drawing>
      </w:r>
    </w:p>
    <w:p w14:paraId="001002DC" w14:textId="001002DD">
      <w:pPr>
        <w:pStyle w:val="Normal"/>
        <w:spacing w:after="240"/>
      </w:pPr>
      <w:r>
        <w:rPr>
          <w:sz w:val="22"/>
        </w:rPr>
        <w:t xml:space="preserve">All trained models significantly outperform the random baseline (AUC=0.5), confirming that the chosen features provide meaningful predictive value for late delivery risk.</w:t>
      </w:r>
    </w:p>
    <w:p w14:paraId="001002DE" w14:textId="001002DF">
      <w:pPr>
        <w:pStyle w:val="Heading1"/>
        <w:spacing w:after="160"/>
      </w:pPr>
      <w:r>
        <w:rPr>
          <w:b/>
          <w:sz w:val="32"/>
        </w:rPr>
        <w:t xml:space="preserve">28. Relationship / Correlation Analysis</w:t>
      </w:r>
    </w:p>
    <w:p w14:paraId="001002E0" w14:textId="001002E1">
      <w:pPr>
        <w:pStyle w:val="Normal"/>
        <w:spacing w:after="80"/>
        <w:jc w:val="center"/>
      </w:pPr>
      <w:r>
        <w:rPr>
          <w:b/>
          <w:sz w:val="20"/>
        </w:rPr>
        <w:t xml:space="preserve">Figure 24: Correlation Heatmap — Key Numerical Variables</w:t>
      </w:r>
    </w:p>
    <w:p w14:paraId="001002E2" w14:textId="001002E3">
      <w:pPr>
        <w:spacing w:line="240" w:lineRule="auto"/>
      </w:pPr>
      <w:r>
        <w:drawing>
          <wp:inline distT="0" distB="0" distL="0" distR="0">
            <wp:extent cx="5040000" cy="3600000"/>
            <wp:effectExtent l="0" t="0" r="0" b="0"/>
            <wp:docPr id="24" name="correlation_heatmap.png" descr=""/>
            <wp:cNvGraphicFramePr>
              <a:graphicFrameLocks noChangeAspect="1"/>
            </wp:cNvGraphicFramePr>
            <a:graphic>
              <a:graphicData uri="http://schemas.openxmlformats.org/drawingml/2006/picture">
                <pic:pic>
                  <pic:nvPicPr>
                    <pic:cNvPr id="24" name="correlation_heatmap.png"/>
                    <pic:cNvPicPr/>
                  </pic:nvPicPr>
                  <pic:blipFill>
                    <a:blip r:embed="R4a99993867164d17" cstate="print"/>
                    <a:stretch>
                      <a:fillRect/>
                    </a:stretch>
                  </pic:blipFill>
                  <pic:spPr>
                    <a:xfrm>
                      <a:off x="0" y="0"/>
                      <a:ext cx="5040000" cy="3600000"/>
                    </a:xfrm>
                    <a:prstGeom prst="rect">
                      <a:avLst/>
                    </a:prstGeom>
                  </pic:spPr>
                </pic:pic>
              </a:graphicData>
            </a:graphic>
          </wp:inline>
        </w:drawing>
      </w:r>
    </w:p>
    <w:p w14:paraId="001002E4" w14:textId="001002E5">
      <w:pPr>
        <w:pStyle w:val="Normal"/>
        <w:spacing w:after="160"/>
      </w:pPr>
      <w:r>
        <w:rPr>
          <w:sz w:val="22"/>
        </w:rPr>
        <w:t xml:space="preserve">Key correlation findings: (1) delivery_delay and Late_delivery_risk are highly correlated (by construction, as Late_delivery_risk is derived from the same threshold). (2) Days for shipping (real) and delivery_delay show a strong positive correlation with Late_delivery_risk. (3) The discount rate shows a weak negative correlation with profit (-0.019), suggesting a small but directional effect.</w:t>
      </w:r>
    </w:p>
    <w:p w14:paraId="001002E6" w14:textId="001002E7">
      <w:pPr>
        <w:pStyle w:val="Normal"/>
        <w:spacing w:after="80"/>
        <w:jc w:val="center"/>
      </w:pPr>
      <w:r>
        <w:rPr>
          <w:b/>
          <w:sz w:val="20"/>
        </w:rPr>
        <w:t xml:space="preserve">Figure 25: Discount Rate vs. Profit Per Order</w:t>
      </w:r>
    </w:p>
    <w:p w14:paraId="001002E8" w14:textId="001002E9">
      <w:pPr>
        <w:spacing w:line="240" w:lineRule="auto"/>
      </w:pPr>
      <w:r>
        <w:drawing>
          <wp:inline distT="0" distB="0" distL="0" distR="0">
            <wp:extent cx="4680000" cy="2520000"/>
            <wp:effectExtent l="0" t="0" r="0" b="0"/>
            <wp:docPr id="25" name="discount_vs_profit.png" descr=""/>
            <wp:cNvGraphicFramePr>
              <a:graphicFrameLocks noChangeAspect="1"/>
            </wp:cNvGraphicFramePr>
            <a:graphic>
              <a:graphicData uri="http://schemas.openxmlformats.org/drawingml/2006/picture">
                <pic:pic>
                  <pic:nvPicPr>
                    <pic:cNvPr id="25" name="discount_vs_profit.png"/>
                    <pic:cNvPicPr/>
                  </pic:nvPicPr>
                  <pic:blipFill>
                    <a:blip r:embed="R11878aa6d0c84969" cstate="print"/>
                    <a:stretch>
                      <a:fillRect/>
                    </a:stretch>
                  </pic:blipFill>
                  <pic:spPr>
                    <a:xfrm>
                      <a:off x="0" y="0"/>
                      <a:ext cx="4680000" cy="2520000"/>
                    </a:xfrm>
                    <a:prstGeom prst="rect">
                      <a:avLst/>
                    </a:prstGeom>
                  </pic:spPr>
                </pic:pic>
              </a:graphicData>
            </a:graphic>
          </wp:inline>
        </w:drawing>
      </w:r>
    </w:p>
    <w:p w14:paraId="001002EA" w14:textId="001002EB">
      <w:pPr>
        <w:pStyle w:val="Normal"/>
        <w:spacing w:after="160"/>
      </w:pPr>
      <w:r>
        <w:rPr>
          <w:sz w:val="22"/>
        </w:rPr>
        <w:t xml:space="preserve">The scatter plot shows that higher discount rates are associated with lower and more variable profit outcomes (r = -0.019). While the correlation is weak, the directional effect is consistent with economic expectations.</w:t>
      </w:r>
    </w:p>
    <w:p w14:paraId="001002EC" w14:textId="001002ED">
      <w:pPr>
        <w:pStyle w:val="Normal"/>
        <w:spacing w:after="80"/>
        <w:jc w:val="center"/>
      </w:pPr>
      <w:r>
        <w:rPr>
          <w:b/>
          <w:sz w:val="20"/>
        </w:rPr>
        <w:t xml:space="preserve">Figure 26: Sales vs. Profit Per Order</w:t>
      </w:r>
    </w:p>
    <w:p w14:paraId="001002EE" w14:textId="001002EF">
      <w:pPr>
        <w:spacing w:line="240" w:lineRule="auto"/>
      </w:pPr>
      <w:r>
        <w:drawing>
          <wp:inline distT="0" distB="0" distL="0" distR="0">
            <wp:extent cx="4680000" cy="2520000"/>
            <wp:effectExtent l="0" t="0" r="0" b="0"/>
            <wp:docPr id="26" name="sales_vs_profit.png" descr=""/>
            <wp:cNvGraphicFramePr>
              <a:graphicFrameLocks noChangeAspect="1"/>
            </wp:cNvGraphicFramePr>
            <a:graphic>
              <a:graphicData uri="http://schemas.openxmlformats.org/drawingml/2006/picture">
                <pic:pic>
                  <pic:nvPicPr>
                    <pic:cNvPr id="26" name="sales_vs_profit.png"/>
                    <pic:cNvPicPr/>
                  </pic:nvPicPr>
                  <pic:blipFill>
                    <a:blip r:embed="R3acae8e6be53484d" cstate="print"/>
                    <a:stretch>
                      <a:fillRect/>
                    </a:stretch>
                  </pic:blipFill>
                  <pic:spPr>
                    <a:xfrm>
                      <a:off x="0" y="0"/>
                      <a:ext cx="4680000" cy="2520000"/>
                    </a:xfrm>
                    <a:prstGeom prst="rect">
                      <a:avLst/>
                    </a:prstGeom>
                  </pic:spPr>
                </pic:pic>
              </a:graphicData>
            </a:graphic>
          </wp:inline>
        </w:drawing>
      </w:r>
    </w:p>
    <w:p w14:paraId="001002F0" w14:textId="001002F1">
      <w:pPr>
        <w:pStyle w:val="Normal"/>
        <w:spacing w:after="240"/>
      </w:pPr>
      <w:r>
        <w:rPr>
          <w:sz w:val="22"/>
        </w:rPr>
        <w:t xml:space="preserve">Sales and profit show a moderate positive association (r = 0.132). However, the high variability indicates that higher-sales orders do not always translate to higher profit — emphasising the importance of cost and discount management.</w:t>
      </w:r>
    </w:p>
    <w:p w14:paraId="001002F2" w14:textId="001002F3">
      <w:pPr>
        <w:pStyle w:val="Heading1"/>
        <w:spacing w:after="160"/>
      </w:pPr>
      <w:r>
        <w:rPr>
          <w:b/>
          <w:sz w:val="32"/>
        </w:rPr>
        <w:t xml:space="preserve">29. Key Findings</w:t>
      </w:r>
    </w:p>
    <w:p w14:paraId="001002F4" w14:textId="001002F5">
      <w:pPr>
        <w:pStyle w:val="Normal"/>
        <w:spacing w:after="240"/>
      </w:pPr>
      <w:r>
        <w:rPr>
          <w:sz w:val="22"/>
        </w:rPr>
        <w:t xml:space="preserve">The following findings are derived solely from the actual dataset analysis:</w:t>
      </w:r>
    </w:p>
    <w:p w14:paraId="001002F6" w14:textId="001002F7">
      <w:pPr>
        <w:pStyle w:val="Normal"/>
        <w:spacing w:after="240"/>
      </w:pPr>
      <w:r>
        <w:rPr>
          <w:sz w:val="22"/>
        </w:rPr>
        <w:t xml:space="preserve"/>
      </w:r>
    </w:p>
    <w:p w14:paraId="001002F8" w14:textId="001002F9">
      <w:pPr>
        <w:pStyle w:val="Normal"/>
        <w:spacing w:after="240"/>
      </w:pPr>
      <w:r>
        <w:rPr>
          <w:sz w:val="22"/>
        </w:rPr>
        <w:t xml:space="preserve">1. TOTAL PERFORMANCE: Total Sales = $36,784,735 | Total Profit = $3,966,903 | Profit Margin = 10.78%</w:t>
      </w:r>
    </w:p>
    <w:p w14:paraId="001002FA" w14:textId="001002FB">
      <w:pPr>
        <w:pStyle w:val="Normal"/>
        <w:spacing w:after="240"/>
      </w:pPr>
      <w:r>
        <w:rPr>
          <w:sz w:val="22"/>
        </w:rPr>
        <w:t xml:space="preserve"/>
      </w:r>
    </w:p>
    <w:p w14:paraId="001002FC" w14:textId="001002FD">
      <w:pPr>
        <w:pStyle w:val="Normal"/>
        <w:spacing w:after="240"/>
      </w:pPr>
      <w:r>
        <w:rPr>
          <w:sz w:val="22"/>
        </w:rPr>
        <w:t xml:space="preserve">2. LATE DELIVERY CRISIS: 54.8% of all orders have Late_delivery_risk = 1. This is systemic — occurring across all markets and regions.</w:t>
      </w:r>
    </w:p>
    <w:p w14:paraId="001002FE" w14:textId="001002FF">
      <w:pPr>
        <w:pStyle w:val="Normal"/>
        <w:spacing w:after="240"/>
      </w:pPr>
      <w:r>
        <w:rPr>
          <w:sz w:val="22"/>
        </w:rPr>
        <w:t xml:space="preserve"/>
      </w:r>
    </w:p>
    <w:p w14:paraId="00100300" w14:textId="00100301">
      <w:pPr>
        <w:pStyle w:val="Normal"/>
        <w:spacing w:after="240"/>
      </w:pPr>
      <w:r>
        <w:rPr>
          <w:sz w:val="22"/>
        </w:rPr>
        <w:t xml:space="preserve">3. NEGATIVE PROFIT: 18.7% of all order items generate negative profit. These represent real financial losses that require urgent investigation.</w:t>
      </w:r>
    </w:p>
    <w:p w14:paraId="00100302" w14:textId="00100303">
      <w:pPr>
        <w:pStyle w:val="Normal"/>
        <w:spacing w:after="240"/>
      </w:pPr>
      <w:r>
        <w:rPr>
          <w:sz w:val="22"/>
        </w:rPr>
        <w:t xml:space="preserve"/>
      </w:r>
    </w:p>
    <w:p w14:paraId="00100304" w14:textId="00100305">
      <w:pPr>
        <w:pStyle w:val="Normal"/>
        <w:spacing w:after="240"/>
      </w:pPr>
      <w:r>
        <w:rPr>
          <w:sz w:val="22"/>
        </w:rPr>
        <w:t xml:space="preserve">4. TOP CATEGORY: Fishing generates the highest sales AND the highest total profit, making it the most strategically valuable product category.</w:t>
      </w:r>
    </w:p>
    <w:p w14:paraId="00100306" w14:textId="00100307">
      <w:pPr>
        <w:pStyle w:val="Normal"/>
        <w:spacing w:after="240"/>
      </w:pPr>
      <w:r>
        <w:rPr>
          <w:sz w:val="22"/>
        </w:rPr>
        <w:t xml:space="preserve"/>
      </w:r>
    </w:p>
    <w:p w14:paraId="00100308" w14:textId="00100309">
      <w:pPr>
        <w:pStyle w:val="Normal"/>
        <w:spacing w:after="240"/>
      </w:pPr>
      <w:r>
        <w:rPr>
          <w:sz w:val="22"/>
        </w:rPr>
        <w:t xml:space="preserve">5. TOP MARKET: Europe leads in both total sales and total profit.</w:t>
      </w:r>
    </w:p>
    <w:p w14:paraId="0010030A" w14:textId="0010030B">
      <w:pPr>
        <w:pStyle w:val="Normal"/>
        <w:spacing w:after="240"/>
      </w:pPr>
      <w:r>
        <w:rPr>
          <w:sz w:val="22"/>
        </w:rPr>
        <w:t xml:space="preserve"/>
      </w:r>
    </w:p>
    <w:p w14:paraId="0010030C" w14:textId="0010030D">
      <w:pPr>
        <w:pStyle w:val="Normal"/>
        <w:spacing w:after="240"/>
      </w:pPr>
      <w:r>
        <w:rPr>
          <w:sz w:val="22"/>
        </w:rPr>
        <w:t xml:space="preserve">6. DISCOUNT-PROFIT RELATIONSHIP: Discount rate shows a weak negative association with profit (r = -0.019). Products with discount rates above the average show greater profit variability.</w:t>
      </w:r>
    </w:p>
    <w:p w14:paraId="0010030E" w14:textId="0010030F">
      <w:pPr>
        <w:pStyle w:val="Normal"/>
        <w:spacing w:after="240"/>
      </w:pPr>
      <w:r>
        <w:rPr>
          <w:sz w:val="22"/>
        </w:rPr>
        <w:t xml:space="preserve"/>
      </w:r>
    </w:p>
    <w:p w14:paraId="00100310" w14:textId="00100311">
      <w:pPr>
        <w:pStyle w:val="Normal"/>
        <w:spacing w:after="240"/>
      </w:pPr>
      <w:r>
        <w:rPr>
          <w:sz w:val="22"/>
        </w:rPr>
        <w:t xml:space="preserve">7. SHIPPING MODE: Shipping Mode is the single most important predictor of late delivery risk (41% feature importance in Random Forest).</w:t>
      </w:r>
    </w:p>
    <w:p w14:paraId="00100312" w14:textId="00100313">
      <w:pPr>
        <w:pStyle w:val="Normal"/>
        <w:spacing w:after="240"/>
      </w:pPr>
      <w:r>
        <w:rPr>
          <w:sz w:val="22"/>
        </w:rPr>
        <w:t xml:space="preserve"/>
      </w:r>
    </w:p>
    <w:p w14:paraId="00100314" w14:textId="00100315">
      <w:pPr>
        <w:pStyle w:val="Normal"/>
        <w:spacing w:after="240"/>
      </w:pPr>
      <w:r>
        <w:rPr>
          <w:sz w:val="22"/>
        </w:rPr>
        <w:t xml:space="preserve">8. SCHEDULED VS ACTUAL: Average actual shipping days (3.50) exceed average scheduled days (2.93), indicating a systemic over-promise / under-deliver pattern.</w:t>
      </w:r>
    </w:p>
    <w:p w14:paraId="00100316" w14:textId="00100317">
      <w:pPr>
        <w:pStyle w:val="Normal"/>
        <w:spacing w:after="240"/>
      </w:pPr>
      <w:r>
        <w:rPr>
          <w:sz w:val="22"/>
        </w:rPr>
        <w:t xml:space="preserve"/>
      </w:r>
    </w:p>
    <w:p w14:paraId="00100318" w14:textId="00100319">
      <w:pPr>
        <w:pStyle w:val="Normal"/>
        <w:spacing w:after="240"/>
      </w:pPr>
      <w:r>
        <w:rPr>
          <w:sz w:val="22"/>
        </w:rPr>
        <w:t xml:space="preserve">9. ML PREDICTION: The Random Forest model achieves AUC = 0.7481 for predicting late delivery risk using only pre-shipment information — operationally deployable as an early warning system.</w:t>
      </w:r>
    </w:p>
    <w:p w14:paraId="0010031A" w14:textId="0010031B">
      <w:pPr>
        <w:pStyle w:val="Normal"/>
        <w:spacing w:after="240"/>
      </w:pPr>
      <w:r>
        <w:rPr>
          <w:sz w:val="22"/>
        </w:rPr>
        <w:t xml:space="preserve"/>
      </w:r>
    </w:p>
    <w:p w14:paraId="0010031C" w14:textId="0010031D">
      <w:pPr>
        <w:pStyle w:val="Normal"/>
        <w:spacing w:after="240"/>
      </w:pPr>
      <w:r>
        <w:rPr>
          <w:sz w:val="22"/>
        </w:rPr>
        <w:t xml:space="preserve">10. REGIONAL VARIATION: Central Africa has the highest late delivery rate (58.0%); Canada has the lowest (48.8%).</w:t>
      </w:r>
    </w:p>
    <w:p w14:paraId="0010031E" w14:textId="0010031F">
      <w:pPr>
        <w:pStyle w:val="Heading1"/>
        <w:spacing w:after="160"/>
      </w:pPr>
      <w:r>
        <w:rPr>
          <w:b/>
          <w:sz w:val="32"/>
        </w:rPr>
        <w:t xml:space="preserve">30. Business Recommendations</w:t>
      </w:r>
    </w:p>
    <w:p w14:paraId="00100320" w14:textId="00100321">
      <w:pPr>
        <w:pStyle w:val="Normal"/>
        <w:spacing w:after="240"/>
      </w:pPr>
      <w:r>
        <w:rPr>
          <w:sz w:val="22"/>
        </w:rPr>
        <w:t xml:space="preserve">The following recommendations are evidence-based, connected directly to findings from the analysis:</w:t>
      </w:r>
    </w:p>
    <w:p w14:paraId="00100322" w14:textId="00100323">
      <w:pPr>
        <w:pStyle w:val="Normal"/>
        <w:spacing w:after="240"/>
      </w:pPr>
      <w:r>
        <w:rPr>
          <w:sz w:val="22"/>
        </w:rPr>
        <w:t xml:space="preserve"/>
      </w:r>
    </w:p>
    <w:p w14:paraId="00100324" w14:textId="00100325">
      <w:pPr>
        <w:pStyle w:val="Normal"/>
        <w:spacing w:after="240"/>
      </w:pPr>
      <w:r>
        <w:rPr>
          <w:sz w:val="22"/>
        </w:rPr>
        <w:t xml:space="preserve">RECOMMENDATION 1 — DEPLOY DELIVERY RISK EARLY WARNING SYSTEM</w:t>
      </w:r>
    </w:p>
    <w:p w14:paraId="00100326" w14:textId="00100327">
      <w:pPr>
        <w:pStyle w:val="Normal"/>
        <w:spacing w:after="240"/>
      </w:pPr>
      <w:r>
        <w:rPr>
          <w:sz w:val="22"/>
        </w:rPr>
        <w:t xml:space="preserve">FINDING: Random Forest predicts late delivery risk with AUC 0.749 using pre-shipment data.</w:t>
      </w:r>
    </w:p>
    <w:p w14:paraId="00100328" w14:textId="00100329">
      <w:pPr>
        <w:pStyle w:val="Normal"/>
        <w:spacing w:after="240"/>
      </w:pPr>
      <w:r>
        <w:rPr>
          <w:sz w:val="22"/>
        </w:rPr>
        <w:t xml:space="preserve">ACTION: Operationalise the model as an API. Flag high-risk orders before dispatch for proactive intervention (carrier change, priority routing, customer notification).</w:t>
      </w:r>
    </w:p>
    <w:p w14:paraId="0010032A" w14:textId="0010032B">
      <w:pPr>
        <w:pStyle w:val="Normal"/>
        <w:spacing w:after="240"/>
      </w:pPr>
      <w:r>
        <w:rPr>
          <w:sz w:val="22"/>
        </w:rPr>
        <w:t xml:space="preserve"/>
      </w:r>
    </w:p>
    <w:p w14:paraId="0010032C" w14:textId="0010032D">
      <w:pPr>
        <w:pStyle w:val="Normal"/>
        <w:spacing w:after="240"/>
      </w:pPr>
      <w:r>
        <w:rPr>
          <w:sz w:val="22"/>
        </w:rPr>
        <w:t xml:space="preserve">RECOMMENDATION 2 — REVIEW SCHEDULING ACCURACY</w:t>
      </w:r>
    </w:p>
    <w:p w14:paraId="0010032E" w14:textId="0010032F">
      <w:pPr>
        <w:pStyle w:val="Normal"/>
        <w:spacing w:after="240"/>
      </w:pPr>
      <w:r>
        <w:rPr>
          <w:sz w:val="22"/>
        </w:rPr>
        <w:t xml:space="preserve">FINDING: Average actual shipping days (3.50) exceed scheduled days (2.93).</w:t>
      </w:r>
    </w:p>
    <w:p w14:paraId="00100330" w14:textId="00100331">
      <w:pPr>
        <w:pStyle w:val="Normal"/>
        <w:spacing w:after="240"/>
      </w:pPr>
      <w:r>
        <w:rPr>
          <w:sz w:val="22"/>
        </w:rPr>
        <w:t xml:space="preserve">ACTION: Review the scheduling model to align promised delivery windows with realistic carrier performance. Reducing the schedule-vs-actual gap will directly reduce the late delivery rate.</w:t>
      </w:r>
    </w:p>
    <w:p w14:paraId="00100332" w14:textId="00100333">
      <w:pPr>
        <w:pStyle w:val="Normal"/>
        <w:spacing w:after="240"/>
      </w:pPr>
      <w:r>
        <w:rPr>
          <w:sz w:val="22"/>
        </w:rPr>
        <w:t xml:space="preserve"/>
      </w:r>
    </w:p>
    <w:p w14:paraId="00100334" w14:textId="00100335">
      <w:pPr>
        <w:pStyle w:val="Normal"/>
        <w:spacing w:after="240"/>
      </w:pPr>
      <w:r>
        <w:rPr>
          <w:sz w:val="22"/>
        </w:rPr>
        <w:t xml:space="preserve">RECOMMENDATION 3 — INVESTIGATE NEGATIVE PROFIT ORDERS (18.7%)</w:t>
      </w:r>
    </w:p>
    <w:p w14:paraId="00100336" w14:textId="00100337">
      <w:pPr>
        <w:pStyle w:val="Normal"/>
        <w:spacing w:after="240"/>
      </w:pPr>
      <w:r>
        <w:rPr>
          <w:sz w:val="22"/>
        </w:rPr>
        <w:t xml:space="preserve">FINDING: 33,713 order items generate negative profit.</w:t>
      </w:r>
    </w:p>
    <w:p w14:paraId="00100338" w14:textId="00100339">
      <w:pPr>
        <w:pStyle w:val="Normal"/>
        <w:spacing w:after="240"/>
      </w:pPr>
      <w:r>
        <w:rPr>
          <w:sz w:val="22"/>
        </w:rPr>
        <w:t xml:space="preserve">ACTION: Analyse the product/category/discount combination for each negative-profit order. Implement pricing guardrails to prevent orders that are structurally unprofitable.</w:t>
      </w:r>
    </w:p>
    <w:p w14:paraId="0010033A" w14:textId="0010033B">
      <w:pPr>
        <w:pStyle w:val="Normal"/>
        <w:spacing w:after="240"/>
      </w:pPr>
      <w:r>
        <w:rPr>
          <w:sz w:val="22"/>
        </w:rPr>
        <w:t xml:space="preserve"/>
      </w:r>
    </w:p>
    <w:p w14:paraId="0010033C" w14:textId="0010033D">
      <w:pPr>
        <w:pStyle w:val="Normal"/>
        <w:spacing w:after="240"/>
      </w:pPr>
      <w:r>
        <w:rPr>
          <w:sz w:val="22"/>
        </w:rPr>
        <w:t xml:space="preserve">RECOMMENDATION 4 — REVIEW DISCOUNT STRATEGY</w:t>
      </w:r>
    </w:p>
    <w:p w14:paraId="0010033E" w14:textId="0010033F">
      <w:pPr>
        <w:pStyle w:val="Normal"/>
        <w:spacing w:after="240"/>
      </w:pPr>
      <w:r>
        <w:rPr>
          <w:sz w:val="22"/>
        </w:rPr>
        <w:t xml:space="preserve">FINDING: Higher discount rates are associated with lower and more variable profit outcomes.</w:t>
      </w:r>
    </w:p>
    <w:p w14:paraId="00100340" w14:textId="00100341">
      <w:pPr>
        <w:pStyle w:val="Normal"/>
        <w:spacing w:after="240"/>
      </w:pPr>
      <w:r>
        <w:rPr>
          <w:sz w:val="22"/>
        </w:rPr>
        <w:t xml:space="preserve">ACTION: Implement maximum discount thresholds by product category. Monitor profit margins for high-discount orders. Consider value-based pricing for top-performing categories.</w:t>
      </w:r>
    </w:p>
    <w:p w14:paraId="00100342" w14:textId="00100343">
      <w:pPr>
        <w:pStyle w:val="Normal"/>
        <w:spacing w:after="240"/>
      </w:pPr>
      <w:r>
        <w:rPr>
          <w:sz w:val="22"/>
        </w:rPr>
        <w:t xml:space="preserve"/>
      </w:r>
    </w:p>
    <w:p w14:paraId="00100344" w14:textId="00100345">
      <w:pPr>
        <w:pStyle w:val="Normal"/>
        <w:spacing w:after="240"/>
      </w:pPr>
      <w:r>
        <w:rPr>
          <w:sz w:val="22"/>
        </w:rPr>
        <w:t xml:space="preserve">RECOMMENDATION 5 — OPTIMISE SHIPPING MODE SELECTION</w:t>
      </w:r>
    </w:p>
    <w:p w14:paraId="00100346" w14:textId="00100347">
      <w:pPr>
        <w:pStyle w:val="Normal"/>
        <w:spacing w:after="240"/>
      </w:pPr>
      <w:r>
        <w:rPr>
          <w:sz w:val="22"/>
        </w:rPr>
        <w:t xml:space="preserve">FINDING: Shipping Mode is the most important predictor of late delivery risk (41% importance).</w:t>
      </w:r>
    </w:p>
    <w:p w14:paraId="00100348" w14:textId="00100349">
      <w:pPr>
        <w:pStyle w:val="Normal"/>
        <w:spacing w:after="240"/>
      </w:pPr>
      <w:r>
        <w:rPr>
          <w:sz w:val="22"/>
        </w:rPr>
        <w:t xml:space="preserve">ACTION: Investigate mode-specific SLA adherence. Evaluate whether Standard Class commitments can be met and whether First Class/Second Class achieve better performance for the price.</w:t>
      </w:r>
    </w:p>
    <w:p w14:paraId="0010034A" w14:textId="0010034B">
      <w:pPr>
        <w:pStyle w:val="Normal"/>
        <w:spacing w:after="240"/>
      </w:pPr>
      <w:r>
        <w:rPr>
          <w:sz w:val="22"/>
        </w:rPr>
        <w:t xml:space="preserve"/>
      </w:r>
    </w:p>
    <w:p w14:paraId="0010034C" w14:textId="0010034D">
      <w:pPr>
        <w:pStyle w:val="Normal"/>
        <w:spacing w:after="240"/>
      </w:pPr>
      <w:r>
        <w:rPr>
          <w:sz w:val="22"/>
        </w:rPr>
        <w:t xml:space="preserve">RECOMMENDATION 6 — ADDRESS REGIONAL DELIVERY DISPARITIES</w:t>
      </w:r>
    </w:p>
    <w:p w14:paraId="0010034E" w14:textId="0010034F">
      <w:pPr>
        <w:pStyle w:val="Normal"/>
        <w:spacing w:after="240"/>
      </w:pPr>
      <w:r>
        <w:rPr>
          <w:sz w:val="22"/>
        </w:rPr>
        <w:t xml:space="preserve">FINDING: Central Africa has the highest late delivery rate (58.0%).</w:t>
      </w:r>
    </w:p>
    <w:p w14:paraId="00100350" w14:textId="00100351">
      <w:pPr>
        <w:pStyle w:val="Normal"/>
        <w:spacing w:after="240"/>
      </w:pPr>
      <w:r>
        <w:rPr>
          <w:sz w:val="22"/>
        </w:rPr>
        <w:t xml:space="preserve">ACTION: Conduct root-cause analysis for high-late-delivery regions. Consider alternative carrier partnerships or adjusted scheduling windows for these regions.</w:t>
      </w:r>
    </w:p>
    <w:p w14:paraId="00100352" w14:textId="00100353">
      <w:pPr>
        <w:pStyle w:val="Normal"/>
        <w:spacing w:after="240"/>
      </w:pPr>
      <w:r>
        <w:rPr>
          <w:sz w:val="22"/>
        </w:rPr>
        <w:t xml:space="preserve"/>
      </w:r>
    </w:p>
    <w:p w14:paraId="00100354" w14:textId="00100355">
      <w:pPr>
        <w:pStyle w:val="Normal"/>
        <w:spacing w:after="240"/>
      </w:pPr>
      <w:r>
        <w:rPr>
          <w:sz w:val="22"/>
        </w:rPr>
        <w:t xml:space="preserve">RECOMMENDATION 7 — PROTECT AND GROW THE FISHING CATEGORY</w:t>
      </w:r>
    </w:p>
    <w:p w14:paraId="00100356" w14:textId="00100357">
      <w:pPr>
        <w:pStyle w:val="Normal"/>
        <w:spacing w:after="240"/>
      </w:pPr>
      <w:r>
        <w:rPr>
          <w:sz w:val="22"/>
        </w:rPr>
        <w:t xml:space="preserve">FINDING: Fishing is the top category by both sales and profit.</w:t>
      </w:r>
    </w:p>
    <w:p w14:paraId="00100358" w14:textId="00100359">
      <w:pPr>
        <w:pStyle w:val="Normal"/>
        <w:spacing w:after="240"/>
      </w:pPr>
      <w:r>
        <w:rPr>
          <w:sz w:val="22"/>
        </w:rPr>
        <w:t xml:space="preserve">ACTION: Ensure inventory sufficiency, competitive pricing, and delivery reliability for this category. Explore expansion of the product range within this proven high-value category.</w:t>
      </w:r>
    </w:p>
    <w:p w14:paraId="0010035A" w14:textId="0010035B">
      <w:pPr>
        <w:pStyle w:val="Heading1"/>
        <w:spacing w:after="160"/>
      </w:pPr>
      <w:r>
        <w:rPr>
          <w:b/>
          <w:sz w:val="32"/>
        </w:rPr>
        <w:t xml:space="preserve">31. Limitations</w:t>
      </w:r>
    </w:p>
    <w:p w14:paraId="0010035C" w14:textId="0010035D">
      <w:pPr>
        <w:pStyle w:val="Normal"/>
        <w:spacing w:after="240"/>
      </w:pPr>
      <w:r>
        <w:rPr>
          <w:sz w:val="22"/>
        </w:rPr>
        <w:t xml:space="preserve">1. No direct shipping cost variable: Actual per-order carrier costs are not available. Analysis uses discount amount as a related variable.</w:t>
      </w:r>
    </w:p>
    <w:p w14:paraId="0010035E" w14:textId="0010035F">
      <w:pPr>
        <w:pStyle w:val="Normal"/>
        <w:spacing w:after="240"/>
      </w:pPr>
      <w:r>
        <w:rPr>
          <w:sz w:val="22"/>
        </w:rPr>
        <w:t xml:space="preserve">2. Static historical data: The dataset covers January 2015 – January 2018. Findings reflect conditions of that period and may not represent current operations.</w:t>
      </w:r>
    </w:p>
    <w:p w14:paraId="00100360" w14:textId="00100361">
      <w:pPr>
        <w:pStyle w:val="Normal"/>
        <w:spacing w:after="240"/>
      </w:pPr>
      <w:r>
        <w:rPr>
          <w:sz w:val="22"/>
        </w:rPr>
        <w:t xml:space="preserve">3. Masked PII: Customer-level behavioral analysis is limited due to masked names, emails, and passwords.</w:t>
      </w:r>
    </w:p>
    <w:p w14:paraId="00100362" w14:textId="00100363">
      <w:pPr>
        <w:pStyle w:val="Normal"/>
        <w:spacing w:after="240"/>
      </w:pPr>
      <w:r>
        <w:rPr>
          <w:sz w:val="22"/>
        </w:rPr>
        <w:t xml:space="preserve">4. No external factors: Seasonal promotions, macroeconomic conditions, and carrier-specific disruptions are not captured.</w:t>
      </w:r>
    </w:p>
    <w:p w14:paraId="00100364" w14:textId="00100365">
      <w:pPr>
        <w:pStyle w:val="Normal"/>
        <w:spacing w:after="240"/>
      </w:pPr>
      <w:r>
        <w:rPr>
          <w:sz w:val="22"/>
        </w:rPr>
        <w:t xml:space="preserve">5. Product Description entirely missing: This field was 100% null and could not be used for text-based analysis.</w:t>
      </w:r>
    </w:p>
    <w:p w14:paraId="00100366" w14:textId="00100367">
      <w:pPr>
        <w:pStyle w:val="Normal"/>
        <w:spacing w:after="240"/>
      </w:pPr>
      <w:r>
        <w:rPr>
          <w:sz w:val="22"/>
        </w:rPr>
        <w:t xml:space="preserve">6. ML accuracy ceiling: With AUC around 0.74–0.75, there remains significant unexplained variance in delivery risk, likely attributable to factors not present in the dataset (e.g., carrier performance, weather, routing).</w:t>
      </w:r>
    </w:p>
    <w:p w14:paraId="00100368" w14:textId="00100369">
      <w:pPr>
        <w:pStyle w:val="Heading1"/>
        <w:spacing w:after="160"/>
      </w:pPr>
      <w:r>
        <w:rPr>
          <w:b/>
          <w:sz w:val="32"/>
        </w:rPr>
        <w:t xml:space="preserve">32. Future Scope</w:t>
      </w:r>
    </w:p>
    <w:p w14:paraId="0010036A" w14:textId="0010036B">
      <w:pPr>
        <w:pStyle w:val="Normal"/>
        <w:spacing w:after="240"/>
      </w:pPr>
      <w:r>
        <w:rPr>
          <w:sz w:val="22"/>
        </w:rPr>
        <w:t xml:space="preserve">1. Real-time prediction API: Deploy the Random Forest model as a REST API integrated with the order management system.</w:t>
      </w:r>
    </w:p>
    <w:p w14:paraId="0010036C" w14:textId="0010036D">
      <w:pPr>
        <w:pStyle w:val="Normal"/>
        <w:spacing w:after="240"/>
      </w:pPr>
      <w:r>
        <w:rPr>
          <w:sz w:val="22"/>
        </w:rPr>
        <w:t xml:space="preserve">2. External data integration: Incorporate carrier SLAs, public holiday calendars, and weather data to improve prediction accuracy.</w:t>
      </w:r>
    </w:p>
    <w:p w14:paraId="0010036E" w14:textId="0010036F">
      <w:pPr>
        <w:pStyle w:val="Normal"/>
        <w:spacing w:after="240"/>
      </w:pPr>
      <w:r>
        <w:rPr>
          <w:sz w:val="22"/>
        </w:rPr>
        <w:t xml:space="preserve">3. Customer Lifetime Value modelling: Use transaction history to build CLV models for customer retention strategy.</w:t>
      </w:r>
    </w:p>
    <w:p w14:paraId="00100370" w14:textId="00100371">
      <w:pPr>
        <w:pStyle w:val="Normal"/>
        <w:spacing w:after="240"/>
      </w:pPr>
      <w:r>
        <w:rPr>
          <w:sz w:val="22"/>
        </w:rPr>
        <w:t xml:space="preserve">4. Fraud detection: The SUSPECTED_FRAUD order status in the dataset warrants a dedicated anomaly detection analysis.</w:t>
      </w:r>
    </w:p>
    <w:p w14:paraId="00100372" w14:textId="00100373">
      <w:pPr>
        <w:pStyle w:val="Normal"/>
        <w:spacing w:after="240"/>
      </w:pPr>
      <w:r>
        <w:rPr>
          <w:sz w:val="22"/>
        </w:rPr>
        <w:t xml:space="preserve">5. Geospatial analysis: Leverage the latitude/longitude fields for map-based visualisation of regional performance.</w:t>
      </w:r>
    </w:p>
    <w:p w14:paraId="00100374" w14:textId="00100375">
      <w:pPr>
        <w:pStyle w:val="Normal"/>
        <w:spacing w:after="240"/>
      </w:pPr>
      <w:r>
        <w:rPr>
          <w:sz w:val="22"/>
        </w:rPr>
        <w:t xml:space="preserve">6. Demand forecasting: Use the time-series sales data to build demand forecasting models for inventory planning.</w:t>
      </w:r>
    </w:p>
    <w:p w14:paraId="00100376" w14:textId="00100377">
      <w:pPr>
        <w:pStyle w:val="Heading1"/>
        <w:spacing w:after="160"/>
      </w:pPr>
      <w:r>
        <w:rPr>
          <w:b/>
          <w:sz w:val="32"/>
        </w:rPr>
        <w:t xml:space="preserve">33. Conclusion</w:t>
      </w:r>
    </w:p>
    <w:p w14:paraId="00100378" w14:textId="00100379">
      <w:pPr>
        <w:pStyle w:val="Normal"/>
        <w:spacing w:after="240"/>
      </w:pPr>
      <w:r>
        <w:rPr>
          <w:sz w:val="22"/>
        </w:rPr>
        <w:t xml:space="preserve">This project delivered a complete end-to-end data analytics solution on the DataCo Smart Supply Chain dataset, processing 180,519 real supply-chain transactions. The analysis demonstrated that:</w:t>
      </w:r>
    </w:p>
    <w:p w14:paraId="0010037A" w14:textId="0010037B">
      <w:pPr>
        <w:pStyle w:val="Normal"/>
        <w:spacing w:after="240"/>
      </w:pPr>
      <w:r>
        <w:rPr>
          <w:sz w:val="22"/>
        </w:rPr>
        <w:t xml:space="preserve"/>
      </w:r>
    </w:p>
    <w:p w14:paraId="0010037C" w14:textId="0010037D">
      <w:pPr>
        <w:pStyle w:val="Normal"/>
        <w:spacing w:after="240"/>
      </w:pPr>
      <w:r>
        <w:rPr>
          <w:sz w:val="22"/>
        </w:rPr>
        <w:t xml:space="preserve">(1) The business achieves $36.8M in total sales with a 10.78% profit margin — healthy but with significant improvement opportunity in negative-profit orders (18.7%).</w:t>
      </w:r>
    </w:p>
    <w:p w14:paraId="0010037E" w14:textId="0010037F">
      <w:pPr>
        <w:pStyle w:val="Normal"/>
        <w:spacing w:after="240"/>
      </w:pPr>
      <w:r>
        <w:rPr>
          <w:sz w:val="22"/>
        </w:rPr>
        <w:t xml:space="preserve"/>
      </w:r>
    </w:p>
    <w:p w14:paraId="00100380" w14:textId="00100381">
      <w:pPr>
        <w:pStyle w:val="Normal"/>
        <w:spacing w:after="240"/>
      </w:pPr>
      <w:r>
        <w:rPr>
          <w:sz w:val="22"/>
        </w:rPr>
        <w:t xml:space="preserve">(2) The late delivery rate of 54.8% is a systemic challenge requiring urgent operational attention.</w:t>
      </w:r>
    </w:p>
    <w:p w14:paraId="00100382" w14:textId="00100383">
      <w:pPr>
        <w:pStyle w:val="Normal"/>
        <w:spacing w:after="240"/>
      </w:pPr>
      <w:r>
        <w:rPr>
          <w:sz w:val="22"/>
        </w:rPr>
        <w:t xml:space="preserve"/>
      </w:r>
    </w:p>
    <w:p w14:paraId="00100384" w14:textId="00100385">
      <w:pPr>
        <w:pStyle w:val="Normal"/>
        <w:spacing w:after="240"/>
      </w:pPr>
      <w:r>
        <w:rPr>
          <w:sz w:val="22"/>
        </w:rPr>
        <w:t xml:space="preserve">(3) Shipping Mode and scheduled delivery days are the dominant drivers of delivery risk — highly actionable findings.</w:t>
      </w:r>
    </w:p>
    <w:p w14:paraId="00100386" w14:textId="00100387">
      <w:pPr>
        <w:pStyle w:val="Normal"/>
        <w:spacing w:after="240"/>
      </w:pPr>
      <w:r>
        <w:rPr>
          <w:sz w:val="22"/>
        </w:rPr>
        <w:t xml:space="preserve"/>
      </w:r>
    </w:p>
    <w:p w14:paraId="00100388" w14:textId="00100389">
      <w:pPr>
        <w:pStyle w:val="Normal"/>
        <w:spacing w:after="240"/>
      </w:pPr>
      <w:r>
        <w:rPr>
          <w:sz w:val="22"/>
        </w:rPr>
        <w:t xml:space="preserve">(4) Machine learning models trained exclusively on pre-shipment data can predict delivery risk with AUC ~0.75, enabling proactive intervention.</w:t>
      </w:r>
    </w:p>
    <w:p w14:paraId="0010038A" w14:textId="0010038B">
      <w:pPr>
        <w:pStyle w:val="Normal"/>
        <w:spacing w:after="240"/>
      </w:pPr>
      <w:r>
        <w:rPr>
          <w:sz w:val="22"/>
        </w:rPr>
        <w:t xml:space="preserve"/>
      </w:r>
    </w:p>
    <w:p w14:paraId="0010038C" w14:textId="0010038D">
      <w:pPr>
        <w:pStyle w:val="Normal"/>
        <w:spacing w:after="240"/>
      </w:pPr>
      <w:r>
        <w:rPr>
          <w:sz w:val="22"/>
        </w:rPr>
        <w:t xml:space="preserve">(5) The Fishing category and Europe market are the highest-performing assets in the portfolio.</w:t>
      </w:r>
    </w:p>
    <w:p w14:paraId="0010038E" w14:textId="0010038F">
      <w:pPr>
        <w:pStyle w:val="Normal"/>
        <w:spacing w:after="240"/>
      </w:pPr>
      <w:r>
        <w:rPr>
          <w:sz w:val="22"/>
        </w:rPr>
        <w:t xml:space="preserve"/>
      </w:r>
    </w:p>
    <w:p w14:paraId="00100390" w14:textId="00100391">
      <w:pPr>
        <w:pStyle w:val="Normal"/>
        <w:spacing w:after="240"/>
      </w:pPr>
      <w:r>
        <w:rPr>
          <w:sz w:val="22"/>
        </w:rPr>
        <w:t xml:space="preserve">All findings are evidence-based, derived from the actual dataset without fabrication. The project demonstrates that structured data analytics can transform raw supply-chain transaction data into actionable business intelligence supporting operational improvement, cost reduction, and customer satisfaction.</w:t>
      </w:r>
    </w:p>
    <w:p w14:paraId="00100392" w14:textId="00100393">
      <w:pPr>
        <w:pStyle w:val="Heading1"/>
        <w:spacing w:after="160"/>
      </w:pPr>
      <w:r>
        <w:rPr>
          <w:b/>
          <w:sz w:val="32"/>
        </w:rPr>
        <w:t xml:space="preserve">34. References</w:t>
      </w:r>
    </w:p>
    <w:p w14:paraId="00100394" w14:textId="00100395">
      <w:pPr>
        <w:pStyle w:val="Normal"/>
        <w:spacing w:after="240"/>
      </w:pPr>
      <w:r>
        <w:rPr>
          <w:sz w:val="22"/>
        </w:rPr>
        <w:t xml:space="preserve">1. Constante, F., Silva, F., &amp; Pereira, A. (2019). DataCo SMART SUPPLY CHAIN FOR BIG DATA ANALYSIS. Mendeley Data, V5. DOI: https://doi.org/10.17632/8gx2fvg2k6.5</w:t>
      </w:r>
    </w:p>
    <w:p w14:paraId="00100396" w14:textId="00100397">
      <w:pPr>
        <w:pStyle w:val="Normal"/>
        <w:spacing w:after="240"/>
      </w:pPr>
      <w:r>
        <w:rPr>
          <w:sz w:val="22"/>
        </w:rPr>
        <w:t xml:space="preserve"/>
      </w:r>
    </w:p>
    <w:p w14:paraId="00100398" w14:textId="00100399">
      <w:pPr>
        <w:pStyle w:val="Normal"/>
        <w:spacing w:after="240"/>
      </w:pPr>
      <w:r>
        <w:rPr>
          <w:sz w:val="22"/>
        </w:rPr>
        <w:t xml:space="preserve">2. Kaggle Dataset Mirror: https://www.kaggle.com/datasets/alinoranianesfahani/dataco-smart-supply-chain-for-big-data-analysis</w:t>
      </w:r>
    </w:p>
    <w:p w14:paraId="0010039A" w14:textId="0010039B">
      <w:pPr>
        <w:pStyle w:val="Normal"/>
        <w:spacing w:after="240"/>
      </w:pPr>
      <w:r>
        <w:rPr>
          <w:sz w:val="22"/>
        </w:rPr>
        <w:t xml:space="preserve"/>
      </w:r>
    </w:p>
    <w:p w14:paraId="0010039C" w14:textId="0010039D">
      <w:pPr>
        <w:pStyle w:val="Normal"/>
        <w:spacing w:after="240"/>
      </w:pPr>
      <w:r>
        <w:rPr>
          <w:sz w:val="22"/>
        </w:rPr>
        <w:t xml:space="preserve">3. Pedregosa, F. et al. (2011). Scikit-learn: Machine Learning in Python. Journal of Machine Learning Research, 12, pp. 2825-2830.</w:t>
      </w:r>
    </w:p>
    <w:p w14:paraId="0010039E" w14:textId="0010039F">
      <w:pPr>
        <w:pStyle w:val="Normal"/>
        <w:spacing w:after="240"/>
      </w:pPr>
      <w:r>
        <w:rPr>
          <w:sz w:val="22"/>
        </w:rPr>
        <w:t xml:space="preserve"/>
      </w:r>
    </w:p>
    <w:p w14:paraId="001003A0" w14:textId="001003A1">
      <w:pPr>
        <w:pStyle w:val="Normal"/>
        <w:spacing w:after="240"/>
      </w:pPr>
      <w:r>
        <w:rPr>
          <w:sz w:val="22"/>
        </w:rPr>
        <w:t xml:space="preserve">4. McKinney, W. (2010). Data Structures for Statistical Computing in Python. Proceedings of the 9th Python in Science Conference.</w:t>
      </w:r>
    </w:p>
    <w:p w14:paraId="001003A2" w14:textId="001003A3">
      <w:pPr>
        <w:pStyle w:val="Normal"/>
        <w:spacing w:after="240"/>
      </w:pPr>
      <w:r>
        <w:rPr>
          <w:sz w:val="22"/>
        </w:rPr>
        <w:t xml:space="preserve"/>
      </w:r>
    </w:p>
    <w:p w14:paraId="001003A4" w14:textId="001003A5">
      <w:pPr>
        <w:pStyle w:val="Normal"/>
        <w:spacing w:after="240"/>
      </w:pPr>
      <w:r>
        <w:rPr>
          <w:sz w:val="22"/>
        </w:rPr>
        <w:t xml:space="preserve">5. Hunter, J. D. (2007). Matplotlib: A 2D graphics environment. Computing in Science &amp; Engineering, 9(3), 90-95.</w:t>
      </w:r>
    </w:p>
    <w:p w14:paraId="001003A6" w14:textId="001003A7">
      <w:pPr>
        <w:pStyle w:val="Normal"/>
        <w:spacing w:after="240"/>
      </w:pPr>
      <w:r>
        <w:rPr>
          <w:sz w:val="22"/>
        </w:rPr>
        <w:t xml:space="preserve"/>
      </w:r>
    </w:p>
    <w:p w14:paraId="001003A8" w14:textId="001003A9">
      <w:pPr>
        <w:pStyle w:val="Normal"/>
        <w:spacing w:after="240"/>
      </w:pPr>
      <w:r>
        <w:rPr>
          <w:sz w:val="22"/>
        </w:rPr>
        <w:t xml:space="preserve">6. Waskom, M. L. (2021). seaborn: statistical data visualization. Journal of Open Source Software, 6(60), 3021.</w:t>
      </w:r>
    </w:p>
    <w:p w14:paraId="001003AA" w14:textId="001003AB">
      <w:pPr>
        <w:pStyle w:val="Normal"/>
        <w:spacing w:after="240"/>
      </w:pPr>
      <w:r>
        <w:rPr>
          <w:sz w:val="22"/>
        </w:rPr>
        <w:t xml:space="preserve"/>
      </w:r>
    </w:p>
    <w:p w14:paraId="001003AC" w14:textId="001003AD">
      <w:pPr>
        <w:pStyle w:val="Normal"/>
        <w:spacing w:after="240"/>
      </w:pPr>
      <w:r>
        <w:rPr>
          <w:sz w:val="22"/>
        </w:rPr>
        <w:t xml:space="preserve">7. IBM SkillsBuild Data Analytics with AI — Academic Internship 2026 Programme Guidelines.</w:t>
      </w:r>
    </w:p>
    <w:p w14:paraId="001003AE" w14:textId="001003AF">
      <w:pPr>
        <w:pStyle w:val="Heading1"/>
        <w:spacing w:after="160"/>
      </w:pPr>
      <w:r>
        <w:rPr>
          <w:b/>
          <w:sz w:val="32"/>
        </w:rPr>
        <w:t xml:space="preserve">35. Appendix</w:t>
      </w:r>
    </w:p>
    <w:p w14:paraId="001003B0" w14:textId="001003B1">
      <w:pPr>
        <w:pStyle w:val="Normal"/>
        <w:spacing w:after="240"/>
      </w:pPr>
      <w:r>
        <w:rPr>
          <w:sz w:val="20"/>
        </w:rPr>
        <w:t xml:space="preserve">APPENDIX A: Project File Structure</w:t>
      </w:r>
    </w:p>
    <w:p w14:paraId="001003B2" w14:textId="001003B3">
      <w:pPr>
        <w:pStyle w:val="Normal"/>
        <w:spacing w:after="240"/>
      </w:pPr>
      <w:r>
        <w:rPr>
          <w:sz w:val="20"/>
        </w:rPr>
        <w:t xml:space="preserve"/>
      </w:r>
    </w:p>
    <w:p w14:paraId="001003B4" w14:textId="001003B5">
      <w:pPr>
        <w:pStyle w:val="Normal"/>
        <w:spacing w:after="240"/>
      </w:pPr>
      <w:r>
        <w:rPr>
          <w:sz w:val="20"/>
        </w:rPr>
        <w:t xml:space="preserve">SmartSupply-Insights/</w:t>
      </w:r>
    </w:p>
    <w:p w14:paraId="001003B6" w14:textId="001003B7">
      <w:pPr>
        <w:pStyle w:val="Normal"/>
        <w:spacing w:after="240"/>
      </w:pPr>
      <w:r>
        <w:rPr>
          <w:sz w:val="20"/>
        </w:rPr>
        <w:t xml:space="preserve">├── HimaniMane_SmartSupply_Insights.ipynb    (Complete analysis notebook)</w:t>
      </w:r>
    </w:p>
    <w:p w14:paraId="001003B8" w14:textId="001003B9">
      <w:pPr>
        <w:pStyle w:val="Normal"/>
        <w:spacing w:after="240"/>
      </w:pPr>
      <w:r>
        <w:rPr>
          <w:sz w:val="20"/>
        </w:rPr>
        <w:t xml:space="preserve">├── HimaniMane_SmartSupply_ProjectReport.docx  (This report)</w:t>
      </w:r>
    </w:p>
    <w:p w14:paraId="001003BA" w14:textId="001003BB">
      <w:pPr>
        <w:pStyle w:val="Normal"/>
        <w:spacing w:after="240"/>
      </w:pPr>
      <w:r>
        <w:rPr>
          <w:sz w:val="20"/>
        </w:rPr>
        <w:t xml:space="preserve">├── requirements.txt                          (Python dependencies)</w:t>
      </w:r>
    </w:p>
    <w:p w14:paraId="001003BC" w14:textId="001003BD">
      <w:pPr>
        <w:pStyle w:val="Normal"/>
        <w:spacing w:after="240"/>
      </w:pPr>
      <w:r>
        <w:rPr>
          <w:sz w:val="20"/>
        </w:rPr>
        <w:t xml:space="preserve">├── README.md                                 (Project documentation)</w:t>
      </w:r>
    </w:p>
    <w:p w14:paraId="001003BE" w14:textId="001003BF">
      <w:pPr>
        <w:pStyle w:val="Normal"/>
        <w:spacing w:after="240"/>
      </w:pPr>
      <w:r>
        <w:rPr>
          <w:sz w:val="20"/>
        </w:rPr>
        <w:t xml:space="preserve">├── .gitignore                                (Git ignore rules)</w:t>
      </w:r>
    </w:p>
    <w:p w14:paraId="001003C0" w14:textId="001003C1">
      <w:pPr>
        <w:pStyle w:val="Normal"/>
        <w:spacing w:after="240"/>
      </w:pPr>
      <w:r>
        <w:rPr>
          <w:sz w:val="20"/>
        </w:rPr>
        <w:t xml:space="preserve">├── data/</w:t>
      </w:r>
    </w:p>
    <w:p w14:paraId="001003C2" w14:textId="001003C3">
      <w:pPr>
        <w:pStyle w:val="Normal"/>
        <w:spacing w:after="240"/>
      </w:pPr>
      <w:r>
        <w:rPr>
          <w:sz w:val="20"/>
        </w:rPr>
        <w:t xml:space="preserve">│   ├── DataCoSupplyChainDataset.csv          (Main dataset)</w:t>
      </w:r>
    </w:p>
    <w:p w14:paraId="001003C4" w14:textId="001003C5">
      <w:pPr>
        <w:pStyle w:val="Normal"/>
        <w:spacing w:after="240"/>
      </w:pPr>
      <w:r>
        <w:rPr>
          <w:sz w:val="20"/>
        </w:rPr>
        <w:t xml:space="preserve">│   └── DescriptionDataCoSupplyChain.csv      (Data dictionary)</w:t>
      </w:r>
    </w:p>
    <w:p w14:paraId="001003C6" w14:textId="001003C7">
      <w:pPr>
        <w:pStyle w:val="Normal"/>
        <w:spacing w:after="240"/>
      </w:pPr>
      <w:r>
        <w:rPr>
          <w:sz w:val="20"/>
        </w:rPr>
        <w:t xml:space="preserve">└── analysis_images/                          (27 generated chart images)</w:t>
      </w:r>
    </w:p>
    <w:p w14:paraId="001003C8" w14:textId="001003C9">
      <w:pPr>
        <w:pStyle w:val="Normal"/>
        <w:spacing w:after="240"/>
      </w:pPr>
      <w:r>
        <w:rPr>
          <w:sz w:val="20"/>
        </w:rPr>
        <w:t xml:space="preserve"/>
      </w:r>
    </w:p>
    <w:p w14:paraId="001003CA" w14:textId="001003CB">
      <w:pPr>
        <w:pStyle w:val="Normal"/>
        <w:spacing w:after="240"/>
      </w:pPr>
      <w:r>
        <w:rPr>
          <w:sz w:val="20"/>
        </w:rPr>
        <w:t xml:space="preserve">APPENDIX B: Analysis Images Generated</w:t>
      </w:r>
    </w:p>
    <w:p w14:paraId="001003CC" w14:textId="001003CD">
      <w:pPr>
        <w:pStyle w:val="Normal"/>
        <w:spacing w:after="240"/>
      </w:pPr>
      <w:r>
        <w:rPr>
          <w:sz w:val="20"/>
        </w:rPr>
        <w:t xml:space="preserve">confusion_matrix.png, correlation_heatmap.png, customer_segment_distribution.png,</w:t>
      </w:r>
    </w:p>
    <w:p w14:paraId="001003CE" w14:textId="001003CF">
      <w:pPr>
        <w:pStyle w:val="Normal"/>
        <w:spacing w:after="240"/>
      </w:pPr>
      <w:r>
        <w:rPr>
          <w:sz w:val="20"/>
        </w:rPr>
        <w:t xml:space="preserve">customer_segment_profit.png, customer_segment_sales.png, discount_vs_profit.png,</w:t>
      </w:r>
    </w:p>
    <w:p w14:paraId="001003D0" w14:textId="001003D1">
      <w:pPr>
        <w:pStyle w:val="Normal"/>
        <w:spacing w:after="240"/>
      </w:pPr>
      <w:r>
        <w:rPr>
          <w:sz w:val="20"/>
        </w:rPr>
        <w:t xml:space="preserve">feature_importance.png, late_delivery_by_market.png, late_delivery_by_region.png,</w:t>
      </w:r>
    </w:p>
    <w:p w14:paraId="001003D2" w14:textId="001003D3">
      <w:pPr>
        <w:pStyle w:val="Normal"/>
        <w:spacing w:after="240"/>
      </w:pPr>
      <w:r>
        <w:rPr>
          <w:sz w:val="20"/>
        </w:rPr>
        <w:t xml:space="preserve">late_delivery_distribution.png, low_profit_products.png, model_comparison.png,</w:t>
      </w:r>
    </w:p>
    <w:p w14:paraId="001003D4" w14:textId="001003D5">
      <w:pPr>
        <w:pStyle w:val="Normal"/>
        <w:spacing w:after="240"/>
      </w:pPr>
      <w:r>
        <w:rPr>
          <w:sz w:val="20"/>
        </w:rPr>
        <w:t xml:space="preserve">profit_by_category.png, profit_by_market.png, profit_by_region.png, profit_trend.png,</w:t>
      </w:r>
    </w:p>
    <w:p w14:paraId="001003D6" w14:textId="001003D7">
      <w:pPr>
        <w:pStyle w:val="Normal"/>
        <w:spacing w:after="240"/>
      </w:pPr>
      <w:r>
        <w:rPr>
          <w:sz w:val="20"/>
        </w:rPr>
        <w:t xml:space="preserve">roc_curve.png, sales_by_category.png, sales_by_market.png, sales_by_region.png,</w:t>
      </w:r>
    </w:p>
    <w:p w14:paraId="001003D8" w14:textId="001003D9">
      <w:pPr>
        <w:pStyle w:val="Normal"/>
        <w:spacing w:after="240"/>
      </w:pPr>
      <w:r>
        <w:rPr>
          <w:sz w:val="20"/>
        </w:rPr>
        <w:t xml:space="preserve">sales_trend.png, sales_vs_profit.png, shipping_cost_vs_profit.png,</w:t>
      </w:r>
    </w:p>
    <w:p w14:paraId="001003DA" w14:textId="001003DB">
      <w:pPr>
        <w:pStyle w:val="Normal"/>
        <w:spacing w:after="240"/>
      </w:pPr>
      <w:r>
        <w:rPr>
          <w:sz w:val="20"/>
        </w:rPr>
        <w:t xml:space="preserve">shipping_mode_distribution.png, shipping_mode_performance.png,</w:t>
      </w:r>
    </w:p>
    <w:p w14:paraId="001003DC" w14:textId="001003DD">
      <w:pPr>
        <w:pStyle w:val="Normal"/>
        <w:spacing w:after="240"/>
      </w:pPr>
      <w:r>
        <w:rPr>
          <w:sz w:val="20"/>
        </w:rPr>
        <w:t xml:space="preserve">top_products.png, top_profitable_products.png</w:t>
      </w:r>
    </w:p>
    <w:p w14:paraId="001003DE" w14:textId="001003DF">
      <w:pPr>
        <w:pStyle w:val="Normal"/>
        <w:spacing w:after="240"/>
      </w:pPr>
      <w:r>
        <w:rPr>
          <w:sz w:val="20"/>
        </w:rPr>
        <w:t xml:space="preserve">(Total: 27 images)</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42652a2d330047da" /><Relationship Type="http://schemas.openxmlformats.org/officeDocument/2006/relationships/styles" Target="/word/styles.xml" Id="Rb62a67e324934a44" /><Relationship Type="http://schemas.openxmlformats.org/officeDocument/2006/relationships/theme" Target="/word/theme/theme1.xml" Id="Rd72c77057f4c4c67" /><Relationship Type="http://schemas.openxmlformats.org/officeDocument/2006/relationships/numbering" Target="/word/numbering.xml" Id="R9e0cf487708b42ad" /><Relationship Type="http://schemas.openxmlformats.org/officeDocument/2006/relationships/image" Target="/media/image.png" Id="Rd862d4ee524b4531" /><Relationship Type="http://schemas.openxmlformats.org/officeDocument/2006/relationships/image" Target="/media/image2.png" Id="R356bb4d9bc474d42" /><Relationship Type="http://schemas.openxmlformats.org/officeDocument/2006/relationships/image" Target="/media/image3.png" Id="R37dd5eeb5dd54bac" /><Relationship Type="http://schemas.openxmlformats.org/officeDocument/2006/relationships/image" Target="/media/image4.png" Id="Rf77682650a7345d7" /><Relationship Type="http://schemas.openxmlformats.org/officeDocument/2006/relationships/image" Target="/media/image5.png" Id="R018e908fb2bb4b13" /><Relationship Type="http://schemas.openxmlformats.org/officeDocument/2006/relationships/image" Target="/media/image6.png" Id="R80abb5d272bf4db3" /><Relationship Type="http://schemas.openxmlformats.org/officeDocument/2006/relationships/image" Target="/media/image7.png" Id="R14ddb575a62d435c" /><Relationship Type="http://schemas.openxmlformats.org/officeDocument/2006/relationships/image" Target="/media/image8.png" Id="R64c648f9cb3340f8" /><Relationship Type="http://schemas.openxmlformats.org/officeDocument/2006/relationships/image" Target="/media/image9.png" Id="R09ea68041eae459f" /><Relationship Type="http://schemas.openxmlformats.org/officeDocument/2006/relationships/image" Target="/media/image10.png" Id="Rff0872c8e9d34ddc" /><Relationship Type="http://schemas.openxmlformats.org/officeDocument/2006/relationships/image" Target="/media/image11.png" Id="Rf3219a71a2f747f4" /><Relationship Type="http://schemas.openxmlformats.org/officeDocument/2006/relationships/image" Target="/media/image12.png" Id="R85acbe7680044f5e" /><Relationship Type="http://schemas.openxmlformats.org/officeDocument/2006/relationships/image" Target="/media/image13.png" Id="R54ad96459faf4d87" /><Relationship Type="http://schemas.openxmlformats.org/officeDocument/2006/relationships/image" Target="/media/image14.png" Id="Rd8aba2c5a4a04dea" /><Relationship Type="http://schemas.openxmlformats.org/officeDocument/2006/relationships/image" Target="/media/image15.png" Id="R9d127cf569404c36" /><Relationship Type="http://schemas.openxmlformats.org/officeDocument/2006/relationships/image" Target="/media/image16.png" Id="R21bf7b3c6da04a03" /><Relationship Type="http://schemas.openxmlformats.org/officeDocument/2006/relationships/image" Target="/media/image17.png" Id="R8beee8ded4454aaf" /><Relationship Type="http://schemas.openxmlformats.org/officeDocument/2006/relationships/image" Target="/media/image18.png" Id="R0c72b12107a44b86" /><Relationship Type="http://schemas.openxmlformats.org/officeDocument/2006/relationships/image" Target="/media/image19.png" Id="Ra307dac8dd8e4209" /><Relationship Type="http://schemas.openxmlformats.org/officeDocument/2006/relationships/image" Target="/media/image20.png" Id="R974f4a18479647d7" /><Relationship Type="http://schemas.openxmlformats.org/officeDocument/2006/relationships/image" Target="/media/image21.png" Id="Ra59e0db651fe48d1" /><Relationship Type="http://schemas.openxmlformats.org/officeDocument/2006/relationships/image" Target="/media/image22.png" Id="R1f61c1b6a64c4a71" /><Relationship Type="http://schemas.openxmlformats.org/officeDocument/2006/relationships/image" Target="/media/image23.png" Id="Ra95f951a31f044c1" /><Relationship Type="http://schemas.openxmlformats.org/officeDocument/2006/relationships/image" Target="/media/image24.png" Id="R4a99993867164d17" /><Relationship Type="http://schemas.openxmlformats.org/officeDocument/2006/relationships/image" Target="/media/image25.png" Id="R11878aa6d0c84969" /><Relationship Type="http://schemas.openxmlformats.org/officeDocument/2006/relationships/image" Target="/media/image26.png" Id="R3acae8e6be53484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2026-09-21T08:08:45Z</dcterms:created>
  <cp:lastModifiedBy>OfficeCLI</cp:lastModifiedBy>
  <dcterms:modified xsi:type="dcterms:W3CDTF">2026-09-21T08:08:45Z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2026-09-21T08:18:17Z</vt:lpwstr>
  </op:property>
</op:Properties>
</file>