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D1B2A"/>
        </w:rPr>
        <w:t>Market Access Report: Non-Small Cell Lung Cancer (NSCLC) Physician Landscape in the Northeast</w:t>
      </w:r>
    </w:p>
    <w:p/>
    <w:p>
      <w:pPr>
        <w:ind w:left="432"/>
      </w:pPr>
      <w:r>
        <w:rPr>
          <w:i/>
          <w:color w:val="6B7280"/>
        </w:rPr>
        <w:t>**Filters Applied:** ICD-10 codes: All Non-Small Cell Lung Cancer (NSCLC) codes | Volume threshold: All | Geography: Northeast | Specialty: All specialties</w:t>
      </w:r>
    </w:p>
    <w:p/>
    <w:p>
      <w:pPr>
        <w:pStyle w:val="Heading2"/>
      </w:pPr>
      <w:r>
        <w:rPr>
          <w:color w:val="00A8E8"/>
        </w:rPr>
        <w:t>Executive Summary</w:t>
      </w:r>
    </w:p>
    <w:p>
      <w:r>
        <w:t>This report analyzes the physician landscape for Non-Small Cell Lung Cancer (NSCLC) in the Northeast, identifying 10 key specialists. The data reveals a significant concentration of expertise within Medical Oncology, which accounts for 50% (5 out of 10) of the identified physicians. A notable 80% (8 out of 10) of these specialists are classified in the very high or high volume tiers for NSCLC claims, indicating a highly concentrated group of influential prescribers and treating physicians.</w:t>
      </w:r>
    </w:p>
    <w:p/>
    <w:p>
      <w:r>
        <w:t>Geographically, the physician population is predominantly located in New York (50%), with Massachusetts and Pennsylvania also hosting significant numbers. This concentration underscores the importance of targeted engagement strategies within these specific states and institutions for optimal market access and therapy adoption for NSCLC treatments.</w:t>
      </w:r>
    </w:p>
    <w:p/>
    <w:p>
      <w:pPr>
        <w:pStyle w:val="Heading2"/>
      </w:pPr>
      <w:r>
        <w:rPr>
          <w:color w:val="00A8E8"/>
        </w:rPr>
        <w:t>Physician Landscape Overview</w:t>
      </w:r>
    </w:p>
    <w:p>
      <w:r>
        <w:t>A total of 10 physicians were identified as key NSCLC specialists within the Northeast region. The specialty distribution highlights the leading role of Medical Oncology, representing 50% (5 physicians) of the cohort. This is followed by Pulmonology and Thoracic Surgery, each contributing 20% (2 physicians), and Radiation Oncology with 10% (1 physician).</w:t>
      </w:r>
    </w:p>
    <w:p/>
    <w:p>
      <w:r>
        <w:t>In terms of claim volume, a substantial majority of the identified physicians demonstrate high activity in NSCLC. Specifically, 40% (4 physicians) fall into the very_high volume tier, and another 40% (4 physicians) are in the high volume tier. Only 20% (2 physicians) were categorized in the low volume tier, indicating that the majority of identified specialists are significant contributors to NSCLC patient care.</w:t>
      </w:r>
    </w:p>
    <w:p/>
    <w:p>
      <w:pPr>
        <w:pStyle w:val="Heading2"/>
      </w:pPr>
      <w:r>
        <w:rPr>
          <w:color w:val="00A8E8"/>
        </w:rPr>
        <w:t>Geographic &amp; Specialty Distribution</w:t>
      </w:r>
    </w:p>
    <w:p>
      <w:r>
        <w:t>The geographic analysis shows a strong concentration of NSCLC specialists in specific Northeast states. New York leads with 50% (5 physicians) of the identified specialists. This includes top-volume Medical Oncologists David Singh (Memorial Sloan Kettering, 135 claims) and Linda Chen (NewYork-Presbyterian, 105 claims), as well as Michael Torres (Pulmonology) and Patricia Wu (Thoracic Surgery).</w:t>
      </w:r>
    </w:p>
    <w:p/>
    <w:p>
      <w:r>
        <w:t>Massachusetts and Pennsylvania each account for 20% (2 physicians) of the total. In Massachusetts, key specialists include Angela Martinez (Medical Oncology, Mass General Hospital, 105 claims) and Thomas Lee (Pulmonology). Pennsylvania's specialists comprise Brian Patel (Thoracic Surgery, University of Pennsylvania, 78 claims) and Carol Okafor (Medical Oncology). Maryland completes the distribution with 10% (1 physician), represented by Nancy Johansson (Medical Oncology, Johns Hopkins Hospital, 93 claims), who is also a very high volume prescriber.</w:t>
      </w:r>
    </w:p>
    <w:p/>
    <w:p>
      <w:pPr>
        <w:pStyle w:val="Heading2"/>
      </w:pPr>
      <w:r>
        <w:rPr>
          <w:color w:val="00A8E8"/>
        </w:rPr>
        <w:t>Key Insights &amp; Implications</w:t>
      </w:r>
    </w:p>
    <w:p>
      <w:pPr>
        <w:pStyle w:val="ListBullet"/>
      </w:pPr>
      <w:r/>
      <w:r>
        <w:rPr>
          <w:b/>
        </w:rPr>
        <w:t>Medical Oncology Dominance:</w:t>
      </w:r>
      <w:r>
        <w:t xml:space="preserve"> Medical Oncologists represent 50% (5 out of 10) of the identified specialists and hold the top 4 positions by NSCLC claims volume, indicating they are the primary targets for NSCLC therapeutic discussions.</w:t>
      </w:r>
    </w:p>
    <w:p>
      <w:pPr>
        <w:pStyle w:val="ListBullet"/>
      </w:pPr>
      <w:r/>
      <w:r>
        <w:rPr>
          <w:b/>
        </w:rPr>
        <w:t>High-Volume Concentration:</w:t>
      </w:r>
      <w:r>
        <w:t xml:space="preserve"> A significant 80% (8 out of 10) of the identified physicians are in the very_high or high volume tiers, suggesting a highly efficient target audience for market access initiatives with potential for substantial impact.</w:t>
      </w:r>
    </w:p>
    <w:p>
      <w:pPr>
        <w:pStyle w:val="ListBullet"/>
      </w:pPr>
      <w:r/>
      <w:r>
        <w:rPr>
          <w:b/>
        </w:rPr>
        <w:t>Northeast Hubs:</w:t>
      </w:r>
      <w:r>
        <w:t xml:space="preserve"> New York (50% of physicians), Massachusetts (20%), and Pennsylvania (20%) are critical regional hubs for NSCLC treatment, requiring concentrated resource allocation and engagement strategies.</w:t>
      </w:r>
    </w:p>
    <w:p>
      <w:pPr>
        <w:pStyle w:val="ListBullet"/>
      </w:pPr>
      <w:r/>
      <w:r>
        <w:rPr>
          <w:b/>
        </w:rPr>
        <w:t>Multidisciplinary Approach:</w:t>
      </w:r>
      <w:r>
        <w:t xml:space="preserve"> The presence of Pulmonologists (20%) and Thoracic Surgeons (20%) alongside Medical Oncologists highlights a multidisciplinary treatment paradigm in high-volume institutions, suggesting the need for integrated engagement strategies.</w:t>
      </w:r>
    </w:p>
    <w:p>
      <w:pPr>
        <w:pStyle w:val="ListBullet"/>
      </w:pPr>
      <w:r/>
      <w:r>
        <w:rPr>
          <w:b/>
        </w:rPr>
        <w:t>Institutional Influence:</w:t>
      </w:r>
      <w:r>
        <w:t xml:space="preserve"> Key institutions such as Memorial Sloan Kettering, NewYork-Presbyterian, Mass General Hospital, and Johns Hopkins are associated with top-volume physicians, indicating their importance as centers of excellence for NSCLC care.</w:t>
      </w:r>
    </w:p>
    <w:p>
      <w:pPr>
        <w:pStyle w:val="ListBullet"/>
      </w:pPr>
      <w:r/>
      <w:r>
        <w:rPr>
          <w:b/>
        </w:rPr>
        <w:t>Board Certification Consideration:</w:t>
      </w:r>
      <w:r>
        <w:t xml:space="preserve"> While most top physicians are board-certified, the two low-volume physicians, Kevin Brown (Radiation Oncology) and Carol Okafor (Medical Oncology), are not board-certified, which might be a factor in their claims volume or influence.</w:t>
      </w:r>
    </w:p>
    <w:p/>
    <w:p>
      <w:pPr>
        <w:pStyle w:val="Heading2"/>
      </w:pPr>
      <w:r>
        <w:rPr>
          <w:color w:val="00A8E8"/>
        </w:rPr>
        <w:t>Recommended Next Steps</w:t>
      </w:r>
    </w:p>
    <w:p>
      <w:pPr>
        <w:pStyle w:val="ListNumber"/>
      </w:pPr>
      <w:r/>
      <w:r>
        <w:rPr>
          <w:b/>
        </w:rPr>
        <w:t>Prioritize Medical Oncology Engagement:</w:t>
      </w:r>
      <w:r>
        <w:t xml:space="preserve"> Focus sales and medical affairs efforts on the 5 identified Medical Oncologists, particularly David Singh, Linda Chen, Angela Martinez, and Nancy Johansson, given their top prescribing volumes and specialty leadership.</w:t>
      </w:r>
    </w:p>
    <w:p>
      <w:pPr>
        <w:pStyle w:val="ListNumber"/>
      </w:pPr>
      <w:r/>
      <w:r>
        <w:rPr>
          <w:b/>
        </w:rPr>
        <w:t>Geographic Targeting:</w:t>
      </w:r>
      <w:r>
        <w:t xml:space="preserve"> Implement geographically focused outreach strategies in New York, Massachusetts, and Pennsylvania to maximize impact, aligning resources with the highest concentrations of key NSCLC specialists.</w:t>
      </w:r>
    </w:p>
    <w:p>
      <w:pPr>
        <w:pStyle w:val="ListNumber"/>
      </w:pPr>
      <w:r/>
      <w:r>
        <w:rPr>
          <w:b/>
        </w:rPr>
        <w:t>Institutional Account Planning:</w:t>
      </w:r>
      <w:r>
        <w:t xml:space="preserve"> Develop tailored engagement plans for major institutions such as Memorial Sloan Kettering, NewYork-Presbyterian, Mass General Hospital, Johns Hopkins, and University of Pennsylvania, leveraging physician affiliations.</w:t>
      </w:r>
    </w:p>
    <w:p>
      <w:pPr>
        <w:pStyle w:val="ListNumber"/>
      </w:pPr>
      <w:r/>
      <w:r>
        <w:rPr>
          <w:b/>
        </w:rPr>
        <w:t>Multidisciplinary Education:</w:t>
      </w:r>
      <w:r>
        <w:t xml:space="preserve"> Consider developing educational resources or programs that engage Pulmonologists and Thoracic Surgeons alongside Medical Oncologists to promote a holistic understanding of NSCLC treatment pathways.</w:t>
      </w:r>
    </w:p>
    <w:p>
      <w:pPr>
        <w:pStyle w:val="ListNumber"/>
      </w:pPr>
      <w:r/>
      <w:r>
        <w:rPr>
          <w:b/>
        </w:rPr>
        <w:t>Board Certification Segmentation:</w:t>
      </w:r>
      <w:r>
        <w:t xml:space="preserve"> Segment physicians based on board certification status for nuanced messaging, potentially providing foundational education for non-board-certified physicians and advanced clinical data for board-certified specialists.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