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0539" w:rsidRDefault="0019433D" w:rsidP="00116776">
      <w:pPr>
        <w:spacing w:after="0"/>
        <w:jc w:val="center"/>
      </w:pPr>
      <w:r>
        <w:rPr>
          <w:rFonts w:ascii="Arial" w:eastAsia="Arial" w:hAnsi="Arial" w:cs="Arial"/>
          <w:b/>
          <w:color w:val="6B0000"/>
          <w:sz w:val="44"/>
        </w:rPr>
        <w:t>Multi-Channel Campaign Performance</w:t>
      </w:r>
    </w:p>
    <w:tbl>
      <w:tblPr>
        <w:tblpPr w:leftFromText="180" w:rightFromText="180" w:vertAnchor="text" w:horzAnchor="margin" w:tblpXSpec="center" w:tblpY="1129"/>
        <w:tblW w:w="10220" w:type="dxa"/>
        <w:tblCellSpacing w:w="15" w:type="dxa"/>
        <w:tblCellMar>
          <w:top w:w="15" w:type="dxa"/>
          <w:left w:w="15" w:type="dxa"/>
          <w:bottom w:w="15" w:type="dxa"/>
          <w:right w:w="15" w:type="dxa"/>
        </w:tblCellMar>
        <w:tblLook w:val="04A0" w:firstRow="1" w:lastRow="0" w:firstColumn="1" w:lastColumn="0" w:noHBand="0" w:noVBand="1"/>
      </w:tblPr>
      <w:tblGrid>
        <w:gridCol w:w="1373"/>
        <w:gridCol w:w="8847"/>
      </w:tblGrid>
      <w:tr w:rsidR="007F6813" w:rsidRPr="007F6813" w:rsidTr="007F6813">
        <w:trPr>
          <w:trHeight w:val="264"/>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b/>
                <w:bCs/>
                <w:color w:val="auto"/>
                <w:sz w:val="24"/>
                <w:szCs w:val="24"/>
              </w:rPr>
            </w:pPr>
            <w:r w:rsidRPr="007F6813">
              <w:rPr>
                <w:rFonts w:ascii="Times New Roman" w:eastAsia="Times New Roman" w:hAnsi="Times New Roman" w:cs="Times New Roman"/>
                <w:b/>
                <w:bCs/>
                <w:color w:val="auto"/>
                <w:sz w:val="24"/>
                <w:szCs w:val="24"/>
              </w:rPr>
              <w:t>Section</w:t>
            </w:r>
          </w:p>
        </w:tc>
        <w:tc>
          <w:tcPr>
            <w:tcW w:w="0" w:type="auto"/>
            <w:tcBorders>
              <w:top w:val="single" w:sz="4" w:space="0" w:color="auto"/>
              <w:bottom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b/>
                <w:bCs/>
                <w:color w:val="auto"/>
                <w:sz w:val="24"/>
                <w:szCs w:val="24"/>
              </w:rPr>
            </w:pPr>
            <w:r w:rsidRPr="007F6813">
              <w:rPr>
                <w:rFonts w:ascii="Times New Roman" w:eastAsia="Times New Roman" w:hAnsi="Times New Roman" w:cs="Times New Roman"/>
                <w:b/>
                <w:bCs/>
                <w:color w:val="auto"/>
                <w:sz w:val="24"/>
                <w:szCs w:val="24"/>
              </w:rPr>
              <w:t>Details</w:t>
            </w:r>
          </w:p>
        </w:tc>
      </w:tr>
      <w:tr w:rsidR="007F6813" w:rsidRPr="007F6813" w:rsidTr="007F6813">
        <w:trPr>
          <w:trHeight w:val="529"/>
          <w:tblCellSpacing w:w="15" w:type="dxa"/>
        </w:trPr>
        <w:tc>
          <w:tcPr>
            <w:tcW w:w="0" w:type="auto"/>
            <w:tcBorders>
              <w:left w:val="single" w:sz="4" w:space="0" w:color="auto"/>
              <w:bottom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b/>
                <w:bCs/>
                <w:color w:val="auto"/>
                <w:sz w:val="24"/>
                <w:szCs w:val="24"/>
              </w:rPr>
              <w:t>Project Title</w:t>
            </w:r>
          </w:p>
        </w:tc>
        <w:tc>
          <w:tcPr>
            <w:tcW w:w="0" w:type="auto"/>
            <w:tcBorders>
              <w:bottom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color w:val="auto"/>
                <w:sz w:val="24"/>
                <w:szCs w:val="24"/>
              </w:rPr>
              <w:t>Multi-Channel Campaign Performance Analytics</w:t>
            </w:r>
          </w:p>
        </w:tc>
      </w:tr>
      <w:tr w:rsidR="007F6813" w:rsidRPr="007F6813" w:rsidTr="007F6813">
        <w:trPr>
          <w:trHeight w:val="517"/>
          <w:tblCellSpacing w:w="15" w:type="dxa"/>
        </w:trPr>
        <w:tc>
          <w:tcPr>
            <w:tcW w:w="0" w:type="auto"/>
            <w:tcBorders>
              <w:left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b/>
                <w:bCs/>
                <w:color w:val="auto"/>
                <w:sz w:val="24"/>
                <w:szCs w:val="24"/>
              </w:rPr>
              <w:t>Problem</w:t>
            </w:r>
          </w:p>
        </w:tc>
        <w:tc>
          <w:tcPr>
            <w:tcW w:w="0" w:type="auto"/>
            <w:tcBorders>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color w:val="auto"/>
                <w:sz w:val="24"/>
                <w:szCs w:val="24"/>
              </w:rPr>
              <w:t>Marketing team received four raw platform exports (Google Ads, Meta, Email CRM, Display Network) in incompatible formats with no unified schema</w:t>
            </w:r>
          </w:p>
        </w:tc>
      </w:tr>
      <w:tr w:rsidR="007F6813" w:rsidRPr="007F6813" w:rsidTr="007F6813">
        <w:trPr>
          <w:trHeight w:val="264"/>
          <w:tblCellSpacing w:w="15" w:type="dxa"/>
        </w:trPr>
        <w:tc>
          <w:tcPr>
            <w:tcW w:w="0" w:type="auto"/>
            <w:tcBorders>
              <w:top w:val="single" w:sz="4" w:space="0" w:color="auto"/>
              <w:left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b/>
                <w:bCs/>
                <w:color w:val="auto"/>
                <w:sz w:val="24"/>
                <w:szCs w:val="24"/>
              </w:rPr>
              <w:t>Data Scale</w:t>
            </w:r>
          </w:p>
        </w:tc>
        <w:tc>
          <w:tcPr>
            <w:tcW w:w="0" w:type="auto"/>
            <w:tcBorders>
              <w:top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color w:val="auto"/>
                <w:sz w:val="24"/>
                <w:szCs w:val="24"/>
              </w:rPr>
              <w:t>8,041 raw rows across 5 source files</w:t>
            </w:r>
          </w:p>
        </w:tc>
      </w:tr>
      <w:tr w:rsidR="007F6813" w:rsidRPr="007F6813" w:rsidTr="007F6813">
        <w:trPr>
          <w:trHeight w:val="253"/>
          <w:tblCellSpacing w:w="15" w:type="dxa"/>
        </w:trPr>
        <w:tc>
          <w:tcPr>
            <w:tcW w:w="0" w:type="auto"/>
            <w:tcBorders>
              <w:left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p>
        </w:tc>
        <w:tc>
          <w:tcPr>
            <w:tcW w:w="0" w:type="auto"/>
            <w:tcBorders>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color w:val="auto"/>
                <w:sz w:val="24"/>
                <w:szCs w:val="24"/>
              </w:rPr>
              <w:t>6 date format variants</w:t>
            </w:r>
          </w:p>
        </w:tc>
      </w:tr>
      <w:tr w:rsidR="007F6813" w:rsidRPr="007F6813" w:rsidTr="007F6813">
        <w:trPr>
          <w:trHeight w:val="253"/>
          <w:tblCellSpacing w:w="15" w:type="dxa"/>
        </w:trPr>
        <w:tc>
          <w:tcPr>
            <w:tcW w:w="0" w:type="auto"/>
            <w:tcBorders>
              <w:left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p>
        </w:tc>
        <w:tc>
          <w:tcPr>
            <w:tcW w:w="0" w:type="auto"/>
            <w:tcBorders>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color w:val="auto"/>
                <w:sz w:val="24"/>
                <w:szCs w:val="24"/>
              </w:rPr>
              <w:t>7+ channel naming inconsistencies</w:t>
            </w:r>
          </w:p>
        </w:tc>
      </w:tr>
      <w:tr w:rsidR="007F6813" w:rsidRPr="007F6813" w:rsidTr="007F6813">
        <w:trPr>
          <w:trHeight w:val="253"/>
          <w:tblCellSpacing w:w="15" w:type="dxa"/>
        </w:trPr>
        <w:tc>
          <w:tcPr>
            <w:tcW w:w="0" w:type="auto"/>
            <w:tcBorders>
              <w:left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p>
        </w:tc>
        <w:tc>
          <w:tcPr>
            <w:tcW w:w="0" w:type="auto"/>
            <w:tcBorders>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color w:val="auto"/>
                <w:sz w:val="24"/>
                <w:szCs w:val="24"/>
              </w:rPr>
              <w:t>~217 anomaly rows flagged</w:t>
            </w:r>
          </w:p>
        </w:tc>
      </w:tr>
      <w:tr w:rsidR="007F6813" w:rsidRPr="007F6813" w:rsidTr="007F6813">
        <w:trPr>
          <w:trHeight w:val="253"/>
          <w:tblCellSpacing w:w="15" w:type="dxa"/>
        </w:trPr>
        <w:tc>
          <w:tcPr>
            <w:tcW w:w="0" w:type="auto"/>
            <w:tcBorders>
              <w:top w:val="single" w:sz="4" w:space="0" w:color="auto"/>
              <w:left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b/>
                <w:bCs/>
                <w:color w:val="auto"/>
                <w:sz w:val="24"/>
                <w:szCs w:val="24"/>
              </w:rPr>
              <w:t>Tools Used</w:t>
            </w:r>
          </w:p>
        </w:tc>
        <w:tc>
          <w:tcPr>
            <w:tcW w:w="0" w:type="auto"/>
            <w:tcBorders>
              <w:top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color w:val="auto"/>
                <w:sz w:val="24"/>
                <w:szCs w:val="24"/>
              </w:rPr>
              <w:t xml:space="preserve">Python (pandas, </w:t>
            </w:r>
            <w:proofErr w:type="spellStart"/>
            <w:r w:rsidRPr="007F6813">
              <w:rPr>
                <w:rFonts w:ascii="Times New Roman" w:eastAsia="Times New Roman" w:hAnsi="Times New Roman" w:cs="Times New Roman"/>
                <w:color w:val="auto"/>
                <w:sz w:val="24"/>
                <w:szCs w:val="24"/>
              </w:rPr>
              <w:t>numpy</w:t>
            </w:r>
            <w:proofErr w:type="spellEnd"/>
            <w:r w:rsidRPr="007F6813">
              <w:rPr>
                <w:rFonts w:ascii="Times New Roman" w:eastAsia="Times New Roman" w:hAnsi="Times New Roman" w:cs="Times New Roman"/>
                <w:color w:val="auto"/>
                <w:sz w:val="24"/>
                <w:szCs w:val="24"/>
              </w:rPr>
              <w:t xml:space="preserve">, </w:t>
            </w:r>
            <w:proofErr w:type="spellStart"/>
            <w:r w:rsidRPr="007F6813">
              <w:rPr>
                <w:rFonts w:ascii="Times New Roman" w:eastAsia="Times New Roman" w:hAnsi="Times New Roman" w:cs="Times New Roman"/>
                <w:color w:val="auto"/>
                <w:sz w:val="24"/>
                <w:szCs w:val="24"/>
              </w:rPr>
              <w:t>openpyxl</w:t>
            </w:r>
            <w:proofErr w:type="spellEnd"/>
            <w:r w:rsidRPr="007F6813">
              <w:rPr>
                <w:rFonts w:ascii="Times New Roman" w:eastAsia="Times New Roman" w:hAnsi="Times New Roman" w:cs="Times New Roman"/>
                <w:color w:val="auto"/>
                <w:sz w:val="24"/>
                <w:szCs w:val="24"/>
              </w:rPr>
              <w:t>)</w:t>
            </w:r>
          </w:p>
        </w:tc>
      </w:tr>
      <w:tr w:rsidR="007F6813" w:rsidRPr="007F6813" w:rsidTr="007F6813">
        <w:trPr>
          <w:trHeight w:val="253"/>
          <w:tblCellSpacing w:w="15" w:type="dxa"/>
        </w:trPr>
        <w:tc>
          <w:tcPr>
            <w:tcW w:w="0" w:type="auto"/>
            <w:tcBorders>
              <w:left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p>
        </w:tc>
        <w:tc>
          <w:tcPr>
            <w:tcW w:w="0" w:type="auto"/>
            <w:tcBorders>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color w:val="auto"/>
                <w:sz w:val="24"/>
                <w:szCs w:val="24"/>
              </w:rPr>
              <w:t>Excel (SUMIF, Pivot Tables, Charts)</w:t>
            </w:r>
          </w:p>
        </w:tc>
      </w:tr>
      <w:tr w:rsidR="007F6813" w:rsidRPr="007F6813" w:rsidTr="007F6813">
        <w:trPr>
          <w:trHeight w:val="253"/>
          <w:tblCellSpacing w:w="15" w:type="dxa"/>
        </w:trPr>
        <w:tc>
          <w:tcPr>
            <w:tcW w:w="0" w:type="auto"/>
            <w:tcBorders>
              <w:left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p>
        </w:tc>
        <w:tc>
          <w:tcPr>
            <w:tcW w:w="0" w:type="auto"/>
            <w:tcBorders>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color w:val="auto"/>
                <w:sz w:val="24"/>
                <w:szCs w:val="24"/>
              </w:rPr>
              <w:t>Power BI-ready output</w:t>
            </w:r>
          </w:p>
        </w:tc>
      </w:tr>
      <w:tr w:rsidR="007F6813" w:rsidRPr="007F6813" w:rsidTr="007F6813">
        <w:trPr>
          <w:trHeight w:val="253"/>
          <w:tblCellSpacing w:w="15" w:type="dxa"/>
        </w:trPr>
        <w:tc>
          <w:tcPr>
            <w:tcW w:w="0" w:type="auto"/>
            <w:tcBorders>
              <w:left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p>
        </w:tc>
        <w:tc>
          <w:tcPr>
            <w:tcW w:w="0" w:type="auto"/>
            <w:tcBorders>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color w:val="auto"/>
                <w:sz w:val="24"/>
                <w:szCs w:val="24"/>
              </w:rPr>
              <w:t>GitHub</w:t>
            </w:r>
          </w:p>
        </w:tc>
      </w:tr>
      <w:tr w:rsidR="007F6813" w:rsidRPr="007F6813" w:rsidTr="007F6813">
        <w:trPr>
          <w:trHeight w:val="264"/>
          <w:tblCellSpacing w:w="15" w:type="dxa"/>
        </w:trPr>
        <w:tc>
          <w:tcPr>
            <w:tcW w:w="0" w:type="auto"/>
            <w:tcBorders>
              <w:top w:val="single" w:sz="4" w:space="0" w:color="auto"/>
              <w:left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b/>
                <w:bCs/>
                <w:color w:val="auto"/>
                <w:sz w:val="24"/>
                <w:szCs w:val="24"/>
              </w:rPr>
              <w:t>Deliverables</w:t>
            </w:r>
          </w:p>
        </w:tc>
        <w:tc>
          <w:tcPr>
            <w:tcW w:w="0" w:type="auto"/>
            <w:tcBorders>
              <w:top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color w:val="auto"/>
                <w:sz w:val="24"/>
                <w:szCs w:val="24"/>
              </w:rPr>
              <w:t>6-tab Excel dashboard</w:t>
            </w:r>
          </w:p>
        </w:tc>
      </w:tr>
      <w:tr w:rsidR="007F6813" w:rsidRPr="007F6813" w:rsidTr="007F6813">
        <w:trPr>
          <w:trHeight w:val="253"/>
          <w:tblCellSpacing w:w="15" w:type="dxa"/>
        </w:trPr>
        <w:tc>
          <w:tcPr>
            <w:tcW w:w="0" w:type="auto"/>
            <w:tcBorders>
              <w:left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p>
        </w:tc>
        <w:tc>
          <w:tcPr>
            <w:tcW w:w="0" w:type="auto"/>
            <w:tcBorders>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color w:val="auto"/>
                <w:sz w:val="24"/>
                <w:szCs w:val="24"/>
              </w:rPr>
              <w:t>PDF case study</w:t>
            </w:r>
          </w:p>
        </w:tc>
      </w:tr>
      <w:tr w:rsidR="007F6813" w:rsidRPr="007F6813" w:rsidTr="007F6813">
        <w:trPr>
          <w:trHeight w:val="253"/>
          <w:tblCellSpacing w:w="15" w:type="dxa"/>
        </w:trPr>
        <w:tc>
          <w:tcPr>
            <w:tcW w:w="0" w:type="auto"/>
            <w:tcBorders>
              <w:left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p>
        </w:tc>
        <w:tc>
          <w:tcPr>
            <w:tcW w:w="0" w:type="auto"/>
            <w:tcBorders>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color w:val="auto"/>
                <w:sz w:val="24"/>
                <w:szCs w:val="24"/>
              </w:rPr>
              <w:t>Python ETL script</w:t>
            </w:r>
          </w:p>
        </w:tc>
      </w:tr>
      <w:tr w:rsidR="007F6813" w:rsidRPr="007F6813" w:rsidTr="007F6813">
        <w:trPr>
          <w:trHeight w:val="253"/>
          <w:tblCellSpacing w:w="15" w:type="dxa"/>
        </w:trPr>
        <w:tc>
          <w:tcPr>
            <w:tcW w:w="0" w:type="auto"/>
            <w:tcBorders>
              <w:left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p>
        </w:tc>
        <w:tc>
          <w:tcPr>
            <w:tcW w:w="0" w:type="auto"/>
            <w:tcBorders>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color w:val="auto"/>
                <w:sz w:val="24"/>
                <w:szCs w:val="24"/>
              </w:rPr>
              <w:t>Data quality audit log</w:t>
            </w:r>
          </w:p>
        </w:tc>
      </w:tr>
      <w:tr w:rsidR="007F6813" w:rsidRPr="007F6813" w:rsidTr="007F6813">
        <w:trPr>
          <w:trHeight w:val="264"/>
          <w:tblCellSpacing w:w="15" w:type="dxa"/>
        </w:trPr>
        <w:tc>
          <w:tcPr>
            <w:tcW w:w="0" w:type="auto"/>
            <w:tcBorders>
              <w:top w:val="single" w:sz="4" w:space="0" w:color="auto"/>
              <w:left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b/>
                <w:bCs/>
                <w:color w:val="auto"/>
                <w:sz w:val="24"/>
                <w:szCs w:val="24"/>
              </w:rPr>
              <w:t>Outcome</w:t>
            </w:r>
          </w:p>
        </w:tc>
        <w:tc>
          <w:tcPr>
            <w:tcW w:w="0" w:type="auto"/>
            <w:tcBorders>
              <w:top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color w:val="auto"/>
                <w:sz w:val="24"/>
                <w:szCs w:val="24"/>
              </w:rPr>
              <w:t>6,363 clean rows produced (79.1% retention)</w:t>
            </w:r>
          </w:p>
        </w:tc>
      </w:tr>
      <w:tr w:rsidR="007F6813" w:rsidRPr="007F6813" w:rsidTr="007F6813">
        <w:trPr>
          <w:trHeight w:val="253"/>
          <w:tblCellSpacing w:w="15" w:type="dxa"/>
        </w:trPr>
        <w:tc>
          <w:tcPr>
            <w:tcW w:w="0" w:type="auto"/>
            <w:tcBorders>
              <w:left w:val="single" w:sz="4" w:space="0" w:color="auto"/>
              <w:bottom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p>
        </w:tc>
        <w:tc>
          <w:tcPr>
            <w:tcW w:w="0" w:type="auto"/>
            <w:tcBorders>
              <w:bottom w:val="single" w:sz="4" w:space="0" w:color="auto"/>
              <w:right w:val="single" w:sz="4" w:space="0" w:color="auto"/>
            </w:tcBorders>
            <w:vAlign w:val="center"/>
            <w:hideMark/>
          </w:tcPr>
          <w:p w:rsidR="007F6813" w:rsidRPr="007F6813" w:rsidRDefault="007F6813" w:rsidP="00116776">
            <w:pPr>
              <w:spacing w:after="0" w:line="240" w:lineRule="auto"/>
              <w:jc w:val="center"/>
              <w:rPr>
                <w:rFonts w:ascii="Times New Roman" w:eastAsia="Times New Roman" w:hAnsi="Times New Roman" w:cs="Times New Roman"/>
                <w:color w:val="auto"/>
                <w:sz w:val="24"/>
                <w:szCs w:val="24"/>
              </w:rPr>
            </w:pPr>
            <w:r w:rsidRPr="007F6813">
              <w:rPr>
                <w:rFonts w:ascii="Times New Roman" w:eastAsia="Times New Roman" w:hAnsi="Times New Roman" w:cs="Times New Roman"/>
                <w:color w:val="auto"/>
                <w:sz w:val="24"/>
                <w:szCs w:val="24"/>
              </w:rPr>
              <w:t>Identified channel reallocation opportunity worth £60K+ incremental revenue (FY 2025)</w:t>
            </w:r>
          </w:p>
        </w:tc>
      </w:tr>
    </w:tbl>
    <w:p w:rsidR="00116776" w:rsidRDefault="0019433D" w:rsidP="00116776">
      <w:pPr>
        <w:spacing w:after="0"/>
        <w:jc w:val="center"/>
      </w:pPr>
      <w:r>
        <w:rPr>
          <w:rFonts w:ascii="Arial" w:eastAsia="Arial" w:hAnsi="Arial" w:cs="Arial"/>
          <w:b/>
          <w:color w:val="6B0000"/>
          <w:sz w:val="44"/>
        </w:rPr>
        <w:t>Analytics</w:t>
      </w:r>
    </w:p>
    <w:p w:rsidR="00920539" w:rsidRPr="00116776" w:rsidRDefault="0019433D" w:rsidP="00116776">
      <w:pPr>
        <w:spacing w:after="0"/>
        <w:ind w:left="709"/>
      </w:pPr>
      <w:r>
        <w:rPr>
          <w:rFonts w:ascii="Arial" w:eastAsia="Arial" w:hAnsi="Arial" w:cs="Arial"/>
          <w:color w:val="566573"/>
          <w:sz w:val="20"/>
        </w:rPr>
        <w:t>End-to-End ETL + Dashboard + Strategic Analysis | FY 2024</w:t>
      </w:r>
    </w:p>
    <w:p w:rsidR="007F6813" w:rsidRDefault="007F6813" w:rsidP="00116776">
      <w:pPr>
        <w:spacing w:after="10"/>
        <w:ind w:left="-142"/>
        <w:rPr>
          <w:rFonts w:ascii="Arial" w:eastAsia="Arial" w:hAnsi="Arial" w:cs="Arial"/>
          <w:color w:val="566573"/>
          <w:sz w:val="20"/>
        </w:rPr>
      </w:pPr>
    </w:p>
    <w:p w:rsidR="007F6813" w:rsidRDefault="007F6813" w:rsidP="00116776">
      <w:pPr>
        <w:spacing w:after="10"/>
        <w:ind w:left="284"/>
        <w:rPr>
          <w:rFonts w:ascii="Arial" w:eastAsia="Arial" w:hAnsi="Arial" w:cs="Arial"/>
          <w:color w:val="566573"/>
          <w:sz w:val="20"/>
        </w:rPr>
      </w:pPr>
      <w:bookmarkStart w:id="0" w:name="_GoBack"/>
      <w:bookmarkEnd w:id="0"/>
    </w:p>
    <w:p w:rsidR="00920539" w:rsidRDefault="0019433D">
      <w:pPr>
        <w:pStyle w:val="Heading1"/>
        <w:ind w:left="409" w:hanging="289"/>
      </w:pPr>
      <w:r>
        <w:t>THE DATA PROBLEM — What I Was Actually Dealing With</w:t>
      </w:r>
    </w:p>
    <w:p w:rsidR="00920539" w:rsidRDefault="0019433D">
      <w:pPr>
        <w:spacing w:after="246"/>
        <w:ind w:left="135"/>
      </w:pPr>
      <w:r>
        <w:rPr>
          <w:noProof/>
        </w:rPr>
        <mc:AlternateContent>
          <mc:Choice Requires="wpg">
            <w:drawing>
              <wp:inline distT="0" distB="0" distL="0" distR="0">
                <wp:extent cx="5823601" cy="25400"/>
                <wp:effectExtent l="0" t="0" r="0" b="0"/>
                <wp:docPr id="6013" name="Group 6013"/>
                <wp:cNvGraphicFramePr/>
                <a:graphic xmlns:a="http://schemas.openxmlformats.org/drawingml/2006/main">
                  <a:graphicData uri="http://schemas.microsoft.com/office/word/2010/wordprocessingGroup">
                    <wpg:wgp>
                      <wpg:cNvGrpSpPr/>
                      <wpg:grpSpPr>
                        <a:xfrm>
                          <a:off x="0" y="0"/>
                          <a:ext cx="5823601" cy="25400"/>
                          <a:chOff x="0" y="0"/>
                          <a:chExt cx="5823601" cy="25400"/>
                        </a:xfrm>
                      </wpg:grpSpPr>
                      <wps:wsp>
                        <wps:cNvPr id="43" name="Shape 43"/>
                        <wps:cNvSpPr/>
                        <wps:spPr>
                          <a:xfrm>
                            <a:off x="0" y="0"/>
                            <a:ext cx="5823601" cy="0"/>
                          </a:xfrm>
                          <a:custGeom>
                            <a:avLst/>
                            <a:gdLst/>
                            <a:ahLst/>
                            <a:cxnLst/>
                            <a:rect l="0" t="0" r="0" b="0"/>
                            <a:pathLst>
                              <a:path w="5823601">
                                <a:moveTo>
                                  <a:pt x="0" y="0"/>
                                </a:moveTo>
                                <a:lnTo>
                                  <a:pt x="5823601" y="0"/>
                                </a:lnTo>
                              </a:path>
                            </a:pathLst>
                          </a:custGeom>
                          <a:ln w="2540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13" style="width:458.551pt;height:2pt;mso-position-horizontal-relative:char;mso-position-vertical-relative:line" coordsize="58236,254">
                <v:shape id="Shape 43" style="position:absolute;width:58236;height:0;left:0;top:0;" coordsize="5823601,0" path="m0,0l5823601,0">
                  <v:stroke weight="2pt" endcap="round" joinstyle="miter" miterlimit="10" on="true" color="#1a1a2e"/>
                  <v:fill on="false" color="#000000" opacity="0"/>
                </v:shape>
              </v:group>
            </w:pict>
          </mc:Fallback>
        </mc:AlternateContent>
      </w:r>
    </w:p>
    <w:p w:rsidR="00920539" w:rsidRDefault="0019433D">
      <w:pPr>
        <w:spacing w:after="0"/>
        <w:ind w:left="135" w:right="1367"/>
        <w:jc w:val="both"/>
      </w:pPr>
      <w:r>
        <w:rPr>
          <w:rFonts w:ascii="Arial" w:eastAsia="Arial" w:hAnsi="Arial" w:cs="Arial"/>
          <w:color w:val="1A1A2E"/>
          <w:sz w:val="20"/>
        </w:rPr>
        <w:t>This project did not start with a clean spreadsheet. It started with 4 separate platform API exports that had never been designed to talk to each other. Each file used different column names for the same concept, different date formats on the same calendar day, different currency conventions, and different levels of granularity. The first task — before any analysis — was to understand what was broken.</w:t>
      </w:r>
    </w:p>
    <w:tbl>
      <w:tblPr>
        <w:tblStyle w:val="TableGrid"/>
        <w:tblW w:w="10343" w:type="dxa"/>
        <w:jc w:val="center"/>
        <w:tblInd w:w="0" w:type="dxa"/>
        <w:tblLayout w:type="fixed"/>
        <w:tblLook w:val="04A0" w:firstRow="1" w:lastRow="0" w:firstColumn="1" w:lastColumn="0" w:noHBand="0" w:noVBand="1"/>
      </w:tblPr>
      <w:tblGrid>
        <w:gridCol w:w="1472"/>
        <w:gridCol w:w="738"/>
        <w:gridCol w:w="1915"/>
        <w:gridCol w:w="3036"/>
        <w:gridCol w:w="2190"/>
        <w:gridCol w:w="992"/>
      </w:tblGrid>
      <w:tr w:rsidR="0019433D" w:rsidRPr="0019433D" w:rsidTr="00116776">
        <w:trPr>
          <w:trHeight w:val="476"/>
          <w:jc w:val="center"/>
        </w:trPr>
        <w:tc>
          <w:tcPr>
            <w:tcW w:w="1472" w:type="dxa"/>
            <w:tcBorders>
              <w:top w:val="single" w:sz="4" w:space="0" w:color="CCCCCC"/>
              <w:left w:val="single" w:sz="4" w:space="0" w:color="CCCCCC"/>
              <w:bottom w:val="single" w:sz="4" w:space="0" w:color="CCCCCC"/>
              <w:right w:val="single" w:sz="4" w:space="0" w:color="CCCCCC"/>
            </w:tcBorders>
            <w:shd w:val="clear" w:color="auto" w:fill="1A1A2E"/>
            <w:vAlign w:val="center"/>
          </w:tcPr>
          <w:p w:rsidR="0019433D" w:rsidRPr="0019433D" w:rsidRDefault="0019433D" w:rsidP="0019433D">
            <w:pPr>
              <w:jc w:val="center"/>
              <w:rPr>
                <w:rFonts w:ascii="Times New Roman" w:eastAsia="Times New Roman" w:hAnsi="Times New Roman" w:cs="Times New Roman"/>
                <w:b/>
                <w:bCs/>
                <w:color w:val="FFFFFF" w:themeColor="background1"/>
              </w:rPr>
            </w:pPr>
            <w:r w:rsidRPr="0019433D">
              <w:rPr>
                <w:rStyle w:val="Strong"/>
                <w:color w:val="FFFFFF" w:themeColor="background1"/>
              </w:rPr>
              <w:t>Source</w:t>
            </w:r>
          </w:p>
        </w:tc>
        <w:tc>
          <w:tcPr>
            <w:tcW w:w="738" w:type="dxa"/>
            <w:tcBorders>
              <w:top w:val="single" w:sz="4" w:space="0" w:color="CCCCCC"/>
              <w:left w:val="single" w:sz="4" w:space="0" w:color="CCCCCC"/>
              <w:bottom w:val="single" w:sz="4" w:space="0" w:color="CCCCCC"/>
              <w:right w:val="single" w:sz="4" w:space="0" w:color="CCCCCC"/>
            </w:tcBorders>
            <w:shd w:val="clear" w:color="auto" w:fill="1A1A2E"/>
            <w:vAlign w:val="center"/>
          </w:tcPr>
          <w:p w:rsidR="0019433D" w:rsidRPr="0019433D" w:rsidRDefault="0019433D" w:rsidP="0019433D">
            <w:pPr>
              <w:jc w:val="center"/>
              <w:rPr>
                <w:b/>
                <w:bCs/>
                <w:color w:val="FFFFFF" w:themeColor="background1"/>
              </w:rPr>
            </w:pPr>
            <w:r w:rsidRPr="0019433D">
              <w:rPr>
                <w:rStyle w:val="Strong"/>
                <w:color w:val="FFFFFF" w:themeColor="background1"/>
              </w:rPr>
              <w:t>Rows</w:t>
            </w:r>
          </w:p>
        </w:tc>
        <w:tc>
          <w:tcPr>
            <w:tcW w:w="1915" w:type="dxa"/>
            <w:tcBorders>
              <w:top w:val="single" w:sz="4" w:space="0" w:color="CCCCCC"/>
              <w:left w:val="single" w:sz="4" w:space="0" w:color="CCCCCC"/>
              <w:bottom w:val="single" w:sz="4" w:space="0" w:color="CCCCCC"/>
              <w:right w:val="single" w:sz="4" w:space="0" w:color="CCCCCC"/>
            </w:tcBorders>
            <w:shd w:val="clear" w:color="auto" w:fill="1A1A2E"/>
            <w:vAlign w:val="center"/>
          </w:tcPr>
          <w:p w:rsidR="0019433D" w:rsidRPr="0019433D" w:rsidRDefault="0019433D" w:rsidP="0019433D">
            <w:pPr>
              <w:jc w:val="center"/>
              <w:rPr>
                <w:b/>
                <w:bCs/>
                <w:color w:val="FFFFFF" w:themeColor="background1"/>
              </w:rPr>
            </w:pPr>
            <w:r w:rsidRPr="0019433D">
              <w:rPr>
                <w:rStyle w:val="Strong"/>
                <w:color w:val="FFFFFF" w:themeColor="background1"/>
              </w:rPr>
              <w:t>Date Format Issues</w:t>
            </w:r>
          </w:p>
        </w:tc>
        <w:tc>
          <w:tcPr>
            <w:tcW w:w="3036" w:type="dxa"/>
            <w:tcBorders>
              <w:top w:val="single" w:sz="4" w:space="0" w:color="CCCCCC"/>
              <w:left w:val="single" w:sz="4" w:space="0" w:color="CCCCCC"/>
              <w:bottom w:val="single" w:sz="4" w:space="0" w:color="CCCCCC"/>
              <w:right w:val="single" w:sz="4" w:space="0" w:color="CCCCCC"/>
            </w:tcBorders>
            <w:shd w:val="clear" w:color="auto" w:fill="1A1A2E"/>
            <w:vAlign w:val="center"/>
          </w:tcPr>
          <w:p w:rsidR="0019433D" w:rsidRPr="0019433D" w:rsidRDefault="0019433D" w:rsidP="0019433D">
            <w:pPr>
              <w:jc w:val="center"/>
              <w:rPr>
                <w:b/>
                <w:bCs/>
                <w:color w:val="FFFFFF" w:themeColor="background1"/>
              </w:rPr>
            </w:pPr>
            <w:r w:rsidRPr="0019433D">
              <w:rPr>
                <w:rStyle w:val="Strong"/>
                <w:color w:val="FFFFFF" w:themeColor="background1"/>
              </w:rPr>
              <w:t>Channel Name Variants</w:t>
            </w:r>
          </w:p>
        </w:tc>
        <w:tc>
          <w:tcPr>
            <w:tcW w:w="2190" w:type="dxa"/>
            <w:tcBorders>
              <w:top w:val="single" w:sz="4" w:space="0" w:color="CCCCCC"/>
              <w:left w:val="single" w:sz="4" w:space="0" w:color="CCCCCC"/>
              <w:bottom w:val="single" w:sz="4" w:space="0" w:color="CCCCCC"/>
              <w:right w:val="single" w:sz="4" w:space="0" w:color="CCCCCC"/>
            </w:tcBorders>
            <w:shd w:val="clear" w:color="auto" w:fill="1A1A2E"/>
            <w:vAlign w:val="center"/>
          </w:tcPr>
          <w:p w:rsidR="0019433D" w:rsidRPr="0019433D" w:rsidRDefault="0019433D" w:rsidP="0019433D">
            <w:pPr>
              <w:jc w:val="center"/>
              <w:rPr>
                <w:b/>
                <w:bCs/>
                <w:color w:val="FFFFFF" w:themeColor="background1"/>
              </w:rPr>
            </w:pPr>
            <w:r w:rsidRPr="0019433D">
              <w:rPr>
                <w:rStyle w:val="Strong"/>
                <w:color w:val="FFFFFF" w:themeColor="background1"/>
              </w:rPr>
              <w:t>Numeric Issues</w:t>
            </w:r>
          </w:p>
        </w:tc>
        <w:tc>
          <w:tcPr>
            <w:tcW w:w="992" w:type="dxa"/>
            <w:tcBorders>
              <w:top w:val="single" w:sz="4" w:space="0" w:color="CCCCCC"/>
              <w:left w:val="single" w:sz="4" w:space="0" w:color="CCCCCC"/>
              <w:bottom w:val="single" w:sz="4" w:space="0" w:color="CCCCCC"/>
              <w:right w:val="single" w:sz="4" w:space="0" w:color="CCCCCC"/>
            </w:tcBorders>
            <w:shd w:val="clear" w:color="auto" w:fill="1A1A2E"/>
            <w:vAlign w:val="center"/>
          </w:tcPr>
          <w:p w:rsidR="0019433D" w:rsidRPr="0019433D" w:rsidRDefault="0019433D" w:rsidP="0019433D">
            <w:pPr>
              <w:jc w:val="center"/>
              <w:rPr>
                <w:b/>
                <w:bCs/>
                <w:color w:val="FFFFFF" w:themeColor="background1"/>
              </w:rPr>
            </w:pPr>
            <w:r w:rsidRPr="0019433D">
              <w:rPr>
                <w:rStyle w:val="Strong"/>
                <w:color w:val="FFFFFF" w:themeColor="background1"/>
              </w:rPr>
              <w:t>Null Rate</w:t>
            </w:r>
          </w:p>
        </w:tc>
      </w:tr>
      <w:tr w:rsidR="0019433D" w:rsidTr="00116776">
        <w:trPr>
          <w:trHeight w:val="476"/>
          <w:jc w:val="center"/>
        </w:trPr>
        <w:tc>
          <w:tcPr>
            <w:tcW w:w="1472"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19433D" w:rsidRDefault="0019433D" w:rsidP="0019433D">
            <w:r>
              <w:rPr>
                <w:rStyle w:val="Strong"/>
              </w:rPr>
              <w:t>Google Ads</w:t>
            </w:r>
          </w:p>
        </w:tc>
        <w:tc>
          <w:tcPr>
            <w:tcW w:w="738"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19433D" w:rsidRDefault="0019433D" w:rsidP="0019433D">
            <w:r>
              <w:t>2,710</w:t>
            </w:r>
          </w:p>
        </w:tc>
        <w:tc>
          <w:tcPr>
            <w:tcW w:w="1915"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19433D" w:rsidRDefault="0019433D" w:rsidP="0019433D">
            <w:r>
              <w:t>Multiple formats: DD/MM/YYYY, YYYY-MM-DD + 4 others</w:t>
            </w:r>
          </w:p>
        </w:tc>
        <w:tc>
          <w:tcPr>
            <w:tcW w:w="3036"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19433D" w:rsidRDefault="0019433D" w:rsidP="0019433D">
            <w:r>
              <w:t>'Paid Search', '</w:t>
            </w:r>
            <w:proofErr w:type="spellStart"/>
            <w:r>
              <w:t>paid_search</w:t>
            </w:r>
            <w:proofErr w:type="spellEnd"/>
            <w:r>
              <w:t>', 'SEM'</w:t>
            </w:r>
          </w:p>
        </w:tc>
        <w:tc>
          <w:tcPr>
            <w:tcW w:w="219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19433D" w:rsidRDefault="0019433D" w:rsidP="0019433D">
            <w:r>
              <w:t>Cost stored as string (e.g., "$1,234.56")</w:t>
            </w:r>
          </w:p>
        </w:tc>
        <w:tc>
          <w:tcPr>
            <w:tcW w:w="992"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19433D" w:rsidRDefault="0019433D" w:rsidP="0019433D">
            <w:r>
              <w:t>6%</w:t>
            </w:r>
          </w:p>
        </w:tc>
      </w:tr>
      <w:tr w:rsidR="0019433D" w:rsidTr="00116776">
        <w:trPr>
          <w:trHeight w:val="476"/>
          <w:jc w:val="center"/>
        </w:trPr>
        <w:tc>
          <w:tcPr>
            <w:tcW w:w="1472"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19433D" w:rsidRDefault="0019433D" w:rsidP="0019433D">
            <w:r>
              <w:rPr>
                <w:rStyle w:val="Strong"/>
              </w:rPr>
              <w:t>Meta Ads</w:t>
            </w:r>
          </w:p>
        </w:tc>
        <w:tc>
          <w:tcPr>
            <w:tcW w:w="738"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19433D" w:rsidRDefault="0019433D" w:rsidP="0019433D">
            <w:r>
              <w:t>2,267</w:t>
            </w:r>
          </w:p>
        </w:tc>
        <w:tc>
          <w:tcPr>
            <w:tcW w:w="1915"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19433D" w:rsidRDefault="0019433D" w:rsidP="0019433D">
            <w:r>
              <w:t>Mixed formats; DD Mon YYYY dominant</w:t>
            </w:r>
          </w:p>
        </w:tc>
        <w:tc>
          <w:tcPr>
            <w:tcW w:w="3036"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19433D" w:rsidRDefault="0019433D" w:rsidP="0019433D">
            <w:r>
              <w:t>'Social Media', 'social', 'SM'</w:t>
            </w:r>
          </w:p>
        </w:tc>
        <w:tc>
          <w:tcPr>
            <w:tcW w:w="219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19433D" w:rsidRDefault="0019433D" w:rsidP="0019433D">
            <w:r>
              <w:t>Currency in USD (requires GBP conversion)</w:t>
            </w:r>
          </w:p>
        </w:tc>
        <w:tc>
          <w:tcPr>
            <w:tcW w:w="992"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19433D" w:rsidRDefault="0019433D" w:rsidP="0019433D">
            <w:r>
              <w:t>8%</w:t>
            </w:r>
          </w:p>
        </w:tc>
      </w:tr>
      <w:tr w:rsidR="0019433D" w:rsidTr="00116776">
        <w:trPr>
          <w:trHeight w:val="476"/>
          <w:jc w:val="center"/>
        </w:trPr>
        <w:tc>
          <w:tcPr>
            <w:tcW w:w="1472"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19433D" w:rsidRDefault="0019433D" w:rsidP="0019433D">
            <w:r>
              <w:rPr>
                <w:rStyle w:val="Strong"/>
              </w:rPr>
              <w:t>Email CRM</w:t>
            </w:r>
          </w:p>
        </w:tc>
        <w:tc>
          <w:tcPr>
            <w:tcW w:w="738"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19433D" w:rsidRDefault="0019433D" w:rsidP="0019433D">
            <w:r>
              <w:t>1,340</w:t>
            </w:r>
          </w:p>
        </w:tc>
        <w:tc>
          <w:tcPr>
            <w:tcW w:w="1915"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19433D" w:rsidRDefault="0019433D" w:rsidP="0019433D">
            <w:r>
              <w:t>D-M-YY dominant format</w:t>
            </w:r>
          </w:p>
        </w:tc>
        <w:tc>
          <w:tcPr>
            <w:tcW w:w="3036"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19433D" w:rsidRDefault="0019433D" w:rsidP="0019433D">
            <w:r>
              <w:t>'EMAIL', 'e-mail', 'Email Marketing'</w:t>
            </w:r>
          </w:p>
        </w:tc>
        <w:tc>
          <w:tcPr>
            <w:tcW w:w="219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19433D" w:rsidRDefault="0019433D" w:rsidP="0019433D">
            <w:r>
              <w:t>Revenue inconsistently stored (some rows in pennies)</w:t>
            </w:r>
          </w:p>
        </w:tc>
        <w:tc>
          <w:tcPr>
            <w:tcW w:w="992"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19433D" w:rsidRDefault="0019433D" w:rsidP="0019433D">
            <w:r>
              <w:t>7%</w:t>
            </w:r>
          </w:p>
        </w:tc>
      </w:tr>
      <w:tr w:rsidR="0019433D" w:rsidTr="00116776">
        <w:trPr>
          <w:trHeight w:val="476"/>
          <w:jc w:val="center"/>
        </w:trPr>
        <w:tc>
          <w:tcPr>
            <w:tcW w:w="1472"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19433D" w:rsidRDefault="0019433D" w:rsidP="0019433D">
            <w:r>
              <w:rPr>
                <w:rStyle w:val="Strong"/>
              </w:rPr>
              <w:t>Display Network</w:t>
            </w:r>
          </w:p>
        </w:tc>
        <w:tc>
          <w:tcPr>
            <w:tcW w:w="738"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19433D" w:rsidRDefault="0019433D" w:rsidP="0019433D">
            <w:r>
              <w:t>1,724</w:t>
            </w:r>
          </w:p>
        </w:tc>
        <w:tc>
          <w:tcPr>
            <w:tcW w:w="1915"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19433D" w:rsidRDefault="0019433D" w:rsidP="0019433D">
            <w:r>
              <w:t>Mixed MM-DD-YYYY and DD/MM/YYYY</w:t>
            </w:r>
          </w:p>
        </w:tc>
        <w:tc>
          <w:tcPr>
            <w:tcW w:w="3036"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19433D" w:rsidRDefault="0019433D" w:rsidP="0019433D">
            <w:r>
              <w:t>'display ads', 'Banner Ads', 'Display'</w:t>
            </w:r>
          </w:p>
        </w:tc>
        <w:tc>
          <w:tcPr>
            <w:tcW w:w="219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19433D" w:rsidRDefault="0019433D" w:rsidP="0019433D">
            <w:r>
              <w:t>Negative spend values present (£)</w:t>
            </w:r>
          </w:p>
        </w:tc>
        <w:tc>
          <w:tcPr>
            <w:tcW w:w="992"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19433D" w:rsidRDefault="0019433D" w:rsidP="0019433D">
            <w:r>
              <w:t>9%</w:t>
            </w:r>
          </w:p>
        </w:tc>
      </w:tr>
      <w:tr w:rsidR="0019433D" w:rsidTr="00116776">
        <w:trPr>
          <w:trHeight w:val="476"/>
          <w:jc w:val="center"/>
        </w:trPr>
        <w:tc>
          <w:tcPr>
            <w:tcW w:w="1472"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19433D" w:rsidRDefault="0019433D" w:rsidP="0019433D">
            <w:r>
              <w:rPr>
                <w:rStyle w:val="Strong"/>
              </w:rPr>
              <w:t>Budget CSV</w:t>
            </w:r>
          </w:p>
        </w:tc>
        <w:tc>
          <w:tcPr>
            <w:tcW w:w="738"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19433D" w:rsidRDefault="0019433D" w:rsidP="0019433D">
            <w:r>
              <w:t>7</w:t>
            </w:r>
          </w:p>
        </w:tc>
        <w:tc>
          <w:tcPr>
            <w:tcW w:w="1915"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19433D" w:rsidRDefault="0019433D" w:rsidP="0019433D">
            <w:r>
              <w:t>N/A</w:t>
            </w:r>
          </w:p>
        </w:tc>
        <w:tc>
          <w:tcPr>
            <w:tcW w:w="3036"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19433D" w:rsidRDefault="0019433D" w:rsidP="0019433D">
            <w:r>
              <w:t>N/A</w:t>
            </w:r>
          </w:p>
        </w:tc>
        <w:tc>
          <w:tcPr>
            <w:tcW w:w="219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19433D" w:rsidRDefault="0019433D" w:rsidP="0019433D">
            <w:r>
              <w:t>Values contain £ symbol and commas (e.g., £12,500)</w:t>
            </w:r>
          </w:p>
        </w:tc>
        <w:tc>
          <w:tcPr>
            <w:tcW w:w="992"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19433D" w:rsidRDefault="0019433D" w:rsidP="0019433D">
            <w:r>
              <w:t>N/A</w:t>
            </w:r>
          </w:p>
        </w:tc>
      </w:tr>
    </w:tbl>
    <w:p w:rsidR="00920539" w:rsidRDefault="0019433D">
      <w:pPr>
        <w:pStyle w:val="Heading1"/>
        <w:ind w:left="409" w:hanging="289"/>
      </w:pPr>
      <w:r>
        <w:t>ETL PIPELINE — 10-Step Cleaning Process</w:t>
      </w:r>
    </w:p>
    <w:p w:rsidR="00920539" w:rsidRDefault="0019433D">
      <w:pPr>
        <w:spacing w:after="241"/>
        <w:ind w:left="135"/>
      </w:pPr>
      <w:r>
        <w:rPr>
          <w:noProof/>
        </w:rPr>
        <mc:AlternateContent>
          <mc:Choice Requires="wpg">
            <w:drawing>
              <wp:inline distT="0" distB="0" distL="0" distR="0">
                <wp:extent cx="5823601" cy="25400"/>
                <wp:effectExtent l="0" t="0" r="0" b="0"/>
                <wp:docPr id="6014" name="Group 6014"/>
                <wp:cNvGraphicFramePr/>
                <a:graphic xmlns:a="http://schemas.openxmlformats.org/drawingml/2006/main">
                  <a:graphicData uri="http://schemas.microsoft.com/office/word/2010/wordprocessingGroup">
                    <wpg:wgp>
                      <wpg:cNvGrpSpPr/>
                      <wpg:grpSpPr>
                        <a:xfrm>
                          <a:off x="0" y="0"/>
                          <a:ext cx="5823601" cy="25400"/>
                          <a:chOff x="0" y="0"/>
                          <a:chExt cx="5823601" cy="25400"/>
                        </a:xfrm>
                      </wpg:grpSpPr>
                      <wps:wsp>
                        <wps:cNvPr id="105" name="Shape 105"/>
                        <wps:cNvSpPr/>
                        <wps:spPr>
                          <a:xfrm>
                            <a:off x="0" y="0"/>
                            <a:ext cx="5823601" cy="0"/>
                          </a:xfrm>
                          <a:custGeom>
                            <a:avLst/>
                            <a:gdLst/>
                            <a:ahLst/>
                            <a:cxnLst/>
                            <a:rect l="0" t="0" r="0" b="0"/>
                            <a:pathLst>
                              <a:path w="5823601">
                                <a:moveTo>
                                  <a:pt x="0" y="0"/>
                                </a:moveTo>
                                <a:lnTo>
                                  <a:pt x="5823601" y="0"/>
                                </a:lnTo>
                              </a:path>
                            </a:pathLst>
                          </a:custGeom>
                          <a:ln w="2540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14" style="width:458.551pt;height:2pt;mso-position-horizontal-relative:char;mso-position-vertical-relative:line" coordsize="58236,254">
                <v:shape id="Shape 105" style="position:absolute;width:58236;height:0;left:0;top:0;" coordsize="5823601,0" path="m0,0l5823601,0">
                  <v:stroke weight="2pt" endcap="round" joinstyle="miter" miterlimit="10" on="true" color="#1a1a2e"/>
                  <v:fill on="false" color="#000000" opacity="0"/>
                </v:shape>
              </v:group>
            </w:pict>
          </mc:Fallback>
        </mc:AlternateContent>
      </w:r>
    </w:p>
    <w:p w:rsidR="00920539" w:rsidRDefault="0019433D">
      <w:pPr>
        <w:spacing w:after="128" w:line="265" w:lineRule="auto"/>
        <w:ind w:left="410" w:hanging="10"/>
      </w:pPr>
      <w:r>
        <w:rPr>
          <w:rFonts w:ascii="Arial" w:eastAsia="Arial" w:hAnsi="Arial" w:cs="Arial"/>
          <w:b/>
          <w:color w:val="1A1A2E"/>
          <w:sz w:val="18"/>
        </w:rPr>
        <w:t>Step 1:</w:t>
      </w:r>
      <w:r>
        <w:rPr>
          <w:rFonts w:ascii="Arial" w:eastAsia="Arial" w:hAnsi="Arial" w:cs="Arial"/>
          <w:color w:val="1A1A2E"/>
          <w:sz w:val="18"/>
        </w:rPr>
        <w:t xml:space="preserve"> Load all 5 files as raw string </w:t>
      </w:r>
      <w:proofErr w:type="spellStart"/>
      <w:r>
        <w:rPr>
          <w:rFonts w:ascii="Arial" w:eastAsia="Arial" w:hAnsi="Arial" w:cs="Arial"/>
          <w:color w:val="1A1A2E"/>
          <w:sz w:val="18"/>
        </w:rPr>
        <w:t>dtype</w:t>
      </w:r>
      <w:proofErr w:type="spellEnd"/>
      <w:r>
        <w:rPr>
          <w:rFonts w:ascii="Arial" w:eastAsia="Arial" w:hAnsi="Arial" w:cs="Arial"/>
          <w:color w:val="1A1A2E"/>
          <w:sz w:val="18"/>
        </w:rPr>
        <w:t xml:space="preserve"> — no type inference</w:t>
      </w:r>
    </w:p>
    <w:p w:rsidR="00920539" w:rsidRDefault="0019433D">
      <w:pPr>
        <w:spacing w:after="152" w:line="265" w:lineRule="auto"/>
        <w:ind w:left="410" w:hanging="10"/>
      </w:pPr>
      <w:r>
        <w:rPr>
          <w:rFonts w:ascii="Arial" w:eastAsia="Arial" w:hAnsi="Arial" w:cs="Arial"/>
          <w:b/>
          <w:color w:val="1A1A2E"/>
          <w:sz w:val="18"/>
        </w:rPr>
        <w:t>Step 2:</w:t>
      </w:r>
      <w:r>
        <w:rPr>
          <w:rFonts w:ascii="Arial" w:eastAsia="Arial" w:hAnsi="Arial" w:cs="Arial"/>
          <w:color w:val="1A1A2E"/>
          <w:sz w:val="18"/>
        </w:rPr>
        <w:t xml:space="preserve"> Profile each file: shape, null rates, unique value distributions</w:t>
      </w:r>
    </w:p>
    <w:p w:rsidR="00920539" w:rsidRDefault="0019433D">
      <w:pPr>
        <w:spacing w:after="128" w:line="265" w:lineRule="auto"/>
        <w:ind w:left="410" w:hanging="10"/>
      </w:pPr>
      <w:r>
        <w:rPr>
          <w:rFonts w:ascii="Arial" w:eastAsia="Arial" w:hAnsi="Arial" w:cs="Arial"/>
          <w:b/>
          <w:color w:val="1A1A2E"/>
          <w:sz w:val="18"/>
        </w:rPr>
        <w:t>Step 3:</w:t>
      </w:r>
      <w:r>
        <w:rPr>
          <w:rFonts w:ascii="Arial" w:eastAsia="Arial" w:hAnsi="Arial" w:cs="Arial"/>
          <w:color w:val="1A1A2E"/>
          <w:sz w:val="18"/>
        </w:rPr>
        <w:t xml:space="preserve"> Date standardisation: 6 </w:t>
      </w:r>
      <w:proofErr w:type="spellStart"/>
      <w:r>
        <w:rPr>
          <w:rFonts w:ascii="Arial" w:eastAsia="Arial" w:hAnsi="Arial" w:cs="Arial"/>
          <w:color w:val="1A1A2E"/>
          <w:sz w:val="18"/>
        </w:rPr>
        <w:t>strptime</w:t>
      </w:r>
      <w:proofErr w:type="spellEnd"/>
      <w:r>
        <w:rPr>
          <w:rFonts w:ascii="Arial" w:eastAsia="Arial" w:hAnsi="Arial" w:cs="Arial"/>
          <w:color w:val="1A1A2E"/>
          <w:sz w:val="18"/>
        </w:rPr>
        <w:t xml:space="preserve"> patterns tried in sequence </w:t>
      </w:r>
      <w:r>
        <w:rPr>
          <w:rFonts w:ascii="Segoe UI Symbol" w:eastAsia="Segoe UI Symbol" w:hAnsi="Segoe UI Symbol" w:cs="Segoe UI Symbol"/>
          <w:color w:val="1A1A2E"/>
          <w:sz w:val="18"/>
        </w:rPr>
        <w:t>→</w:t>
      </w:r>
      <w:r>
        <w:rPr>
          <w:rFonts w:ascii="Arial" w:eastAsia="Arial" w:hAnsi="Arial" w:cs="Arial"/>
          <w:color w:val="1A1A2E"/>
          <w:sz w:val="18"/>
        </w:rPr>
        <w:t xml:space="preserve"> YYYY-MM-DD</w:t>
      </w:r>
    </w:p>
    <w:p w:rsidR="00920539" w:rsidRDefault="0019433D">
      <w:pPr>
        <w:spacing w:after="104" w:line="265" w:lineRule="auto"/>
        <w:ind w:left="410" w:hanging="10"/>
      </w:pPr>
      <w:r>
        <w:rPr>
          <w:rFonts w:ascii="Arial" w:eastAsia="Arial" w:hAnsi="Arial" w:cs="Arial"/>
          <w:b/>
          <w:color w:val="1A1A2E"/>
          <w:sz w:val="18"/>
        </w:rPr>
        <w:t>Step 4:</w:t>
      </w:r>
      <w:r>
        <w:rPr>
          <w:rFonts w:ascii="Arial" w:eastAsia="Arial" w:hAnsi="Arial" w:cs="Arial"/>
          <w:color w:val="1A1A2E"/>
          <w:sz w:val="18"/>
        </w:rPr>
        <w:t xml:space="preserve"> Channel name normalisation: 12 regex patterns </w:t>
      </w:r>
      <w:r>
        <w:rPr>
          <w:rFonts w:ascii="Segoe UI Symbol" w:eastAsia="Segoe UI Symbol" w:hAnsi="Segoe UI Symbol" w:cs="Segoe UI Symbol"/>
          <w:color w:val="1A1A2E"/>
          <w:sz w:val="18"/>
        </w:rPr>
        <w:t>→</w:t>
      </w:r>
      <w:r>
        <w:rPr>
          <w:rFonts w:ascii="Arial" w:eastAsia="Arial" w:hAnsi="Arial" w:cs="Arial"/>
          <w:color w:val="1A1A2E"/>
          <w:sz w:val="18"/>
        </w:rPr>
        <w:t xml:space="preserve"> 4 canonical values</w:t>
      </w:r>
    </w:p>
    <w:p w:rsidR="00920539" w:rsidRDefault="0019433D">
      <w:pPr>
        <w:spacing w:after="128" w:line="265" w:lineRule="auto"/>
        <w:ind w:left="410" w:hanging="10"/>
      </w:pPr>
      <w:r>
        <w:rPr>
          <w:rFonts w:ascii="Arial" w:eastAsia="Arial" w:hAnsi="Arial" w:cs="Arial"/>
          <w:b/>
          <w:color w:val="1A1A2E"/>
          <w:sz w:val="18"/>
        </w:rPr>
        <w:t>Step 5:</w:t>
      </w:r>
      <w:r>
        <w:rPr>
          <w:rFonts w:ascii="Arial" w:eastAsia="Arial" w:hAnsi="Arial" w:cs="Arial"/>
          <w:color w:val="1A1A2E"/>
          <w:sz w:val="18"/>
        </w:rPr>
        <w:t xml:space="preserve"> Numeric cleaning: strip £/$ symbols, commas, cast to float64</w:t>
      </w:r>
    </w:p>
    <w:p w:rsidR="00920539" w:rsidRDefault="0019433D">
      <w:pPr>
        <w:spacing w:after="128" w:line="265" w:lineRule="auto"/>
        <w:ind w:left="410" w:hanging="10"/>
      </w:pPr>
      <w:r>
        <w:rPr>
          <w:rFonts w:ascii="Arial" w:eastAsia="Arial" w:hAnsi="Arial" w:cs="Arial"/>
          <w:b/>
          <w:color w:val="1A1A2E"/>
          <w:sz w:val="18"/>
        </w:rPr>
        <w:t>Step 6:</w:t>
      </w:r>
      <w:r>
        <w:rPr>
          <w:rFonts w:ascii="Arial" w:eastAsia="Arial" w:hAnsi="Arial" w:cs="Arial"/>
          <w:color w:val="1A1A2E"/>
          <w:sz w:val="18"/>
        </w:rPr>
        <w:t xml:space="preserve"> Duplicate removal: composite key </w:t>
      </w:r>
      <w:proofErr w:type="spellStart"/>
      <w:r>
        <w:rPr>
          <w:rFonts w:ascii="Arial" w:eastAsia="Arial" w:hAnsi="Arial" w:cs="Arial"/>
          <w:color w:val="1A1A2E"/>
          <w:sz w:val="18"/>
        </w:rPr>
        <w:t>dedup</w:t>
      </w:r>
      <w:proofErr w:type="spellEnd"/>
      <w:r>
        <w:rPr>
          <w:rFonts w:ascii="Arial" w:eastAsia="Arial" w:hAnsi="Arial" w:cs="Arial"/>
          <w:color w:val="1A1A2E"/>
          <w:sz w:val="18"/>
        </w:rPr>
        <w:t xml:space="preserve"> per source</w:t>
      </w:r>
    </w:p>
    <w:p w:rsidR="00920539" w:rsidRDefault="0019433D">
      <w:pPr>
        <w:spacing w:after="152" w:line="265" w:lineRule="auto"/>
        <w:ind w:left="410" w:hanging="10"/>
      </w:pPr>
      <w:r>
        <w:rPr>
          <w:rFonts w:ascii="Arial" w:eastAsia="Arial" w:hAnsi="Arial" w:cs="Arial"/>
          <w:b/>
          <w:color w:val="1A1A2E"/>
          <w:sz w:val="18"/>
        </w:rPr>
        <w:t>Step 7:</w:t>
      </w:r>
      <w:r>
        <w:rPr>
          <w:rFonts w:ascii="Arial" w:eastAsia="Arial" w:hAnsi="Arial" w:cs="Arial"/>
          <w:color w:val="1A1A2E"/>
          <w:sz w:val="18"/>
        </w:rPr>
        <w:t xml:space="preserve"> Anomaly flagging: CTR&gt;50%, negative cost, revenue&gt;£500K, </w:t>
      </w:r>
      <w:proofErr w:type="spellStart"/>
      <w:r>
        <w:rPr>
          <w:rFonts w:ascii="Arial" w:eastAsia="Arial" w:hAnsi="Arial" w:cs="Arial"/>
          <w:color w:val="1A1A2E"/>
          <w:sz w:val="18"/>
        </w:rPr>
        <w:t>conv</w:t>
      </w:r>
      <w:proofErr w:type="spellEnd"/>
      <w:r>
        <w:rPr>
          <w:rFonts w:ascii="Arial" w:eastAsia="Arial" w:hAnsi="Arial" w:cs="Arial"/>
          <w:color w:val="1A1A2E"/>
          <w:sz w:val="18"/>
        </w:rPr>
        <w:t>&gt;clicks</w:t>
      </w:r>
    </w:p>
    <w:p w:rsidR="00920539" w:rsidRDefault="0019433D">
      <w:pPr>
        <w:spacing w:after="128" w:line="265" w:lineRule="auto"/>
        <w:ind w:left="410" w:hanging="10"/>
      </w:pPr>
      <w:r>
        <w:rPr>
          <w:rFonts w:ascii="Arial" w:eastAsia="Arial" w:hAnsi="Arial" w:cs="Arial"/>
          <w:b/>
          <w:color w:val="1A1A2E"/>
          <w:sz w:val="18"/>
        </w:rPr>
        <w:t>Step 8:</w:t>
      </w:r>
      <w:r>
        <w:rPr>
          <w:rFonts w:ascii="Arial" w:eastAsia="Arial" w:hAnsi="Arial" w:cs="Arial"/>
          <w:color w:val="1A1A2E"/>
          <w:sz w:val="18"/>
        </w:rPr>
        <w:t xml:space="preserve"> Schema normalisation: rename all columns </w:t>
      </w:r>
      <w:r>
        <w:rPr>
          <w:rFonts w:ascii="Segoe UI Symbol" w:eastAsia="Segoe UI Symbol" w:hAnsi="Segoe UI Symbol" w:cs="Segoe UI Symbol"/>
          <w:color w:val="1A1A2E"/>
          <w:sz w:val="18"/>
        </w:rPr>
        <w:t>→</w:t>
      </w:r>
      <w:r>
        <w:rPr>
          <w:rFonts w:ascii="Arial" w:eastAsia="Arial" w:hAnsi="Arial" w:cs="Arial"/>
          <w:color w:val="1A1A2E"/>
          <w:sz w:val="18"/>
        </w:rPr>
        <w:t xml:space="preserve"> unified 10-column schema</w:t>
      </w:r>
    </w:p>
    <w:p w:rsidR="00920539" w:rsidRDefault="0019433D">
      <w:pPr>
        <w:spacing w:after="104" w:line="265" w:lineRule="auto"/>
        <w:ind w:left="410" w:hanging="10"/>
      </w:pPr>
      <w:r>
        <w:rPr>
          <w:rFonts w:ascii="Arial" w:eastAsia="Arial" w:hAnsi="Arial" w:cs="Arial"/>
          <w:b/>
          <w:color w:val="1A1A2E"/>
          <w:sz w:val="18"/>
        </w:rPr>
        <w:t>Step 9:</w:t>
      </w:r>
      <w:r>
        <w:rPr>
          <w:rFonts w:ascii="Arial" w:eastAsia="Arial" w:hAnsi="Arial" w:cs="Arial"/>
          <w:color w:val="1A1A2E"/>
          <w:sz w:val="18"/>
        </w:rPr>
        <w:t xml:space="preserve"> Source merge: </w:t>
      </w:r>
      <w:proofErr w:type="spellStart"/>
      <w:r>
        <w:rPr>
          <w:rFonts w:ascii="Arial" w:eastAsia="Arial" w:hAnsi="Arial" w:cs="Arial"/>
          <w:color w:val="1A1A2E"/>
          <w:sz w:val="18"/>
        </w:rPr>
        <w:t>concat</w:t>
      </w:r>
      <w:proofErr w:type="spellEnd"/>
      <w:r>
        <w:rPr>
          <w:rFonts w:ascii="Arial" w:eastAsia="Arial" w:hAnsi="Arial" w:cs="Arial"/>
          <w:color w:val="1A1A2E"/>
          <w:sz w:val="18"/>
        </w:rPr>
        <w:t xml:space="preserve"> 4 normalised </w:t>
      </w:r>
      <w:proofErr w:type="spellStart"/>
      <w:r>
        <w:rPr>
          <w:rFonts w:ascii="Arial" w:eastAsia="Arial" w:hAnsi="Arial" w:cs="Arial"/>
          <w:color w:val="1A1A2E"/>
          <w:sz w:val="18"/>
        </w:rPr>
        <w:t>DataFrames</w:t>
      </w:r>
      <w:proofErr w:type="spellEnd"/>
      <w:r>
        <w:rPr>
          <w:rFonts w:ascii="Arial" w:eastAsia="Arial" w:hAnsi="Arial" w:cs="Arial"/>
          <w:color w:val="1A1A2E"/>
          <w:sz w:val="18"/>
        </w:rPr>
        <w:t xml:space="preserve"> + USD</w:t>
      </w:r>
      <w:r>
        <w:rPr>
          <w:rFonts w:ascii="Segoe UI Symbol" w:eastAsia="Segoe UI Symbol" w:hAnsi="Segoe UI Symbol" w:cs="Segoe UI Symbol"/>
          <w:color w:val="1A1A2E"/>
          <w:sz w:val="18"/>
        </w:rPr>
        <w:t>→</w:t>
      </w:r>
      <w:r>
        <w:rPr>
          <w:rFonts w:ascii="Arial" w:eastAsia="Arial" w:hAnsi="Arial" w:cs="Arial"/>
          <w:color w:val="1A1A2E"/>
          <w:sz w:val="18"/>
        </w:rPr>
        <w:t>GBP FX conversion</w:t>
      </w:r>
    </w:p>
    <w:p w:rsidR="00920539" w:rsidRDefault="0019433D">
      <w:pPr>
        <w:spacing w:after="544" w:line="265" w:lineRule="auto"/>
        <w:ind w:left="410" w:hanging="10"/>
      </w:pPr>
      <w:r>
        <w:rPr>
          <w:rFonts w:ascii="Arial" w:eastAsia="Arial" w:hAnsi="Arial" w:cs="Arial"/>
          <w:b/>
          <w:color w:val="1A1A2E"/>
          <w:sz w:val="18"/>
        </w:rPr>
        <w:t>Step 10:</w:t>
      </w:r>
      <w:r>
        <w:rPr>
          <w:rFonts w:ascii="Arial" w:eastAsia="Arial" w:hAnsi="Arial" w:cs="Arial"/>
          <w:color w:val="1A1A2E"/>
          <w:sz w:val="18"/>
        </w:rPr>
        <w:t xml:space="preserve"> KPI derivation: CTR, CVR, ROI, CPA calculated from clean base</w:t>
      </w:r>
    </w:p>
    <w:p w:rsidR="00920539" w:rsidRDefault="0019433D">
      <w:pPr>
        <w:pBdr>
          <w:top w:val="single" w:sz="16" w:space="0" w:color="6B0000"/>
          <w:left w:val="single" w:sz="16" w:space="0" w:color="6B0000"/>
          <w:bottom w:val="single" w:sz="16" w:space="0" w:color="6B0000"/>
          <w:right w:val="single" w:sz="16" w:space="0" w:color="6B0000"/>
        </w:pBdr>
        <w:shd w:val="clear" w:color="auto" w:fill="FADBD8"/>
        <w:spacing w:after="0" w:line="338" w:lineRule="auto"/>
        <w:ind w:right="623"/>
      </w:pPr>
      <w:r>
        <w:rPr>
          <w:rFonts w:ascii="Arial" w:eastAsia="Arial" w:hAnsi="Arial" w:cs="Arial"/>
          <w:b/>
          <w:color w:val="1A1A2E"/>
          <w:sz w:val="20"/>
        </w:rPr>
        <w:t>ETL Outcome:</w:t>
      </w:r>
      <w:r>
        <w:rPr>
          <w:rFonts w:ascii="Arial" w:eastAsia="Arial" w:hAnsi="Arial" w:cs="Arial"/>
          <w:color w:val="1A1A2E"/>
          <w:sz w:val="20"/>
        </w:rPr>
        <w:t xml:space="preserve"> 8,041 raw rows ingested </w:t>
      </w:r>
      <w:r>
        <w:rPr>
          <w:rFonts w:ascii="Segoe UI Symbol" w:eastAsia="Segoe UI Symbol" w:hAnsi="Segoe UI Symbol" w:cs="Segoe UI Symbol"/>
          <w:color w:val="1A1A2E"/>
          <w:sz w:val="20"/>
        </w:rPr>
        <w:t>→</w:t>
      </w:r>
      <w:r>
        <w:rPr>
          <w:rFonts w:ascii="Arial" w:eastAsia="Arial" w:hAnsi="Arial" w:cs="Arial"/>
          <w:color w:val="1A1A2E"/>
          <w:sz w:val="20"/>
        </w:rPr>
        <w:t xml:space="preserve"> 217 rows quarantined (anomalies) </w:t>
      </w:r>
      <w:r>
        <w:rPr>
          <w:rFonts w:ascii="Segoe UI Symbol" w:eastAsia="Segoe UI Symbol" w:hAnsi="Segoe UI Symbol" w:cs="Segoe UI Symbol"/>
          <w:color w:val="1A1A2E"/>
          <w:sz w:val="20"/>
        </w:rPr>
        <w:t>→</w:t>
      </w:r>
      <w:r>
        <w:rPr>
          <w:rFonts w:ascii="Arial" w:eastAsia="Arial" w:hAnsi="Arial" w:cs="Arial"/>
          <w:color w:val="1A1A2E"/>
          <w:sz w:val="20"/>
        </w:rPr>
        <w:t xml:space="preserve"> 6,363 clean rows retained (79.1%). Audit log written at every step. All cleaning logic is reproducible via the Python script — no manual Excel edits.</w:t>
      </w:r>
      <w:r>
        <w:br w:type="page"/>
      </w:r>
    </w:p>
    <w:p w:rsidR="00920539" w:rsidRDefault="0019433D">
      <w:pPr>
        <w:pStyle w:val="Heading1"/>
        <w:ind w:left="409" w:hanging="289"/>
      </w:pPr>
      <w:r>
        <w:t>KPI RESULTS — From Clean Data</w:t>
      </w:r>
    </w:p>
    <w:p w:rsidR="00920539" w:rsidRDefault="0019433D">
      <w:pPr>
        <w:spacing w:after="190"/>
        <w:ind w:left="135"/>
      </w:pPr>
      <w:r>
        <w:rPr>
          <w:noProof/>
        </w:rPr>
        <mc:AlternateContent>
          <mc:Choice Requires="wpg">
            <w:drawing>
              <wp:inline distT="0" distB="0" distL="0" distR="0">
                <wp:extent cx="5823601" cy="25400"/>
                <wp:effectExtent l="0" t="0" r="0" b="0"/>
                <wp:docPr id="5957" name="Group 5957"/>
                <wp:cNvGraphicFramePr/>
                <a:graphic xmlns:a="http://schemas.openxmlformats.org/drawingml/2006/main">
                  <a:graphicData uri="http://schemas.microsoft.com/office/word/2010/wordprocessingGroup">
                    <wpg:wgp>
                      <wpg:cNvGrpSpPr/>
                      <wpg:grpSpPr>
                        <a:xfrm>
                          <a:off x="0" y="0"/>
                          <a:ext cx="5823601" cy="25400"/>
                          <a:chOff x="0" y="0"/>
                          <a:chExt cx="5823601" cy="25400"/>
                        </a:xfrm>
                      </wpg:grpSpPr>
                      <wps:wsp>
                        <wps:cNvPr id="175" name="Shape 175"/>
                        <wps:cNvSpPr/>
                        <wps:spPr>
                          <a:xfrm>
                            <a:off x="0" y="0"/>
                            <a:ext cx="5823601" cy="0"/>
                          </a:xfrm>
                          <a:custGeom>
                            <a:avLst/>
                            <a:gdLst/>
                            <a:ahLst/>
                            <a:cxnLst/>
                            <a:rect l="0" t="0" r="0" b="0"/>
                            <a:pathLst>
                              <a:path w="5823601">
                                <a:moveTo>
                                  <a:pt x="0" y="0"/>
                                </a:moveTo>
                                <a:lnTo>
                                  <a:pt x="5823601" y="0"/>
                                </a:lnTo>
                              </a:path>
                            </a:pathLst>
                          </a:custGeom>
                          <a:ln w="2540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57" style="width:458.551pt;height:2pt;mso-position-horizontal-relative:char;mso-position-vertical-relative:line" coordsize="58236,254">
                <v:shape id="Shape 175" style="position:absolute;width:58236;height:0;left:0;top:0;" coordsize="5823601,0" path="m0,0l5823601,0">
                  <v:stroke weight="2pt" endcap="round" joinstyle="miter" miterlimit="10" on="true" color="#1a1a2e"/>
                  <v:fill on="false" color="#000000" opacity="0"/>
                </v:shape>
              </v:group>
            </w:pict>
          </mc:Fallback>
        </mc:AlternateContent>
      </w:r>
    </w:p>
    <w:tbl>
      <w:tblPr>
        <w:tblStyle w:val="TableGrid"/>
        <w:tblW w:w="9921" w:type="dxa"/>
        <w:tblInd w:w="-240" w:type="dxa"/>
        <w:tblCellMar>
          <w:left w:w="154" w:type="dxa"/>
          <w:bottom w:w="149" w:type="dxa"/>
          <w:right w:w="154" w:type="dxa"/>
        </w:tblCellMar>
        <w:tblLook w:val="04A0" w:firstRow="1" w:lastRow="0" w:firstColumn="1" w:lastColumn="0" w:noHBand="0" w:noVBand="1"/>
      </w:tblPr>
      <w:tblGrid>
        <w:gridCol w:w="1652"/>
        <w:gridCol w:w="1654"/>
        <w:gridCol w:w="1654"/>
        <w:gridCol w:w="1654"/>
        <w:gridCol w:w="1654"/>
        <w:gridCol w:w="1653"/>
      </w:tblGrid>
      <w:tr w:rsidR="00920539">
        <w:trPr>
          <w:trHeight w:val="1360"/>
        </w:trPr>
        <w:tc>
          <w:tcPr>
            <w:tcW w:w="1654" w:type="dxa"/>
            <w:tcBorders>
              <w:top w:val="single" w:sz="8" w:space="0" w:color="CCCCCC"/>
              <w:left w:val="single" w:sz="8" w:space="0" w:color="CCCCCC"/>
              <w:bottom w:val="single" w:sz="4" w:space="0" w:color="CCCCCC"/>
              <w:right w:val="single" w:sz="4" w:space="0" w:color="CCCCCC"/>
            </w:tcBorders>
            <w:vAlign w:val="bottom"/>
          </w:tcPr>
          <w:p w:rsidR="00920539" w:rsidRDefault="0019433D">
            <w:pPr>
              <w:ind w:left="122"/>
            </w:pPr>
            <w:r>
              <w:rPr>
                <w:rFonts w:ascii="Arial" w:eastAsia="Arial" w:hAnsi="Arial" w:cs="Arial"/>
                <w:b/>
                <w:color w:val="6B0000"/>
                <w:sz w:val="44"/>
              </w:rPr>
              <w:t>228.1</w:t>
            </w:r>
          </w:p>
          <w:p w:rsidR="00920539" w:rsidRDefault="0019433D">
            <w:pPr>
              <w:ind w:left="490"/>
            </w:pPr>
            <w:r>
              <w:rPr>
                <w:rFonts w:ascii="Arial" w:eastAsia="Arial" w:hAnsi="Arial" w:cs="Arial"/>
                <w:b/>
                <w:color w:val="6B0000"/>
                <w:sz w:val="44"/>
              </w:rPr>
              <w:t>M</w:t>
            </w:r>
          </w:p>
        </w:tc>
        <w:tc>
          <w:tcPr>
            <w:tcW w:w="1654" w:type="dxa"/>
            <w:tcBorders>
              <w:top w:val="single" w:sz="8" w:space="0" w:color="CCCCCC"/>
              <w:left w:val="single" w:sz="4" w:space="0" w:color="CCCCCC"/>
              <w:bottom w:val="single" w:sz="4" w:space="0" w:color="CCCCCC"/>
              <w:right w:val="single" w:sz="4" w:space="0" w:color="CCCCCC"/>
            </w:tcBorders>
            <w:vAlign w:val="bottom"/>
          </w:tcPr>
          <w:p w:rsidR="00920539" w:rsidRDefault="0019433D">
            <w:pPr>
              <w:ind w:left="25"/>
              <w:jc w:val="both"/>
            </w:pPr>
            <w:r>
              <w:rPr>
                <w:rFonts w:ascii="Arial" w:eastAsia="Arial" w:hAnsi="Arial" w:cs="Arial"/>
                <w:b/>
                <w:color w:val="6B0000"/>
                <w:sz w:val="44"/>
              </w:rPr>
              <w:t>5567K</w:t>
            </w:r>
          </w:p>
        </w:tc>
        <w:tc>
          <w:tcPr>
            <w:tcW w:w="1654" w:type="dxa"/>
            <w:tcBorders>
              <w:top w:val="single" w:sz="8" w:space="0" w:color="CCCCCC"/>
              <w:left w:val="single" w:sz="4" w:space="0" w:color="CCCCCC"/>
              <w:bottom w:val="single" w:sz="4" w:space="0" w:color="CCCCCC"/>
              <w:right w:val="single" w:sz="4" w:space="0" w:color="CCCCCC"/>
            </w:tcBorders>
            <w:vAlign w:val="bottom"/>
          </w:tcPr>
          <w:p w:rsidR="00920539" w:rsidRDefault="0019433D">
            <w:pPr>
              <w:jc w:val="center"/>
            </w:pPr>
            <w:r>
              <w:rPr>
                <w:rFonts w:ascii="Arial" w:eastAsia="Arial" w:hAnsi="Arial" w:cs="Arial"/>
                <w:b/>
                <w:color w:val="6B0000"/>
                <w:sz w:val="44"/>
              </w:rPr>
              <w:t>953,82 5</w:t>
            </w:r>
          </w:p>
        </w:tc>
        <w:tc>
          <w:tcPr>
            <w:tcW w:w="1654" w:type="dxa"/>
            <w:tcBorders>
              <w:top w:val="single" w:sz="8" w:space="0" w:color="CCCCCC"/>
              <w:left w:val="single" w:sz="4" w:space="0" w:color="CCCCCC"/>
              <w:bottom w:val="single" w:sz="4" w:space="0" w:color="CCCCCC"/>
              <w:right w:val="single" w:sz="4" w:space="0" w:color="CCCCCC"/>
            </w:tcBorders>
            <w:vAlign w:val="bottom"/>
          </w:tcPr>
          <w:p w:rsidR="00920539" w:rsidRDefault="0019433D">
            <w:pPr>
              <w:jc w:val="both"/>
            </w:pPr>
            <w:r>
              <w:rPr>
                <w:rFonts w:ascii="Arial" w:eastAsia="Arial" w:hAnsi="Arial" w:cs="Arial"/>
                <w:b/>
                <w:color w:val="6B0000"/>
                <w:sz w:val="44"/>
              </w:rPr>
              <w:t>£19.90</w:t>
            </w:r>
          </w:p>
          <w:p w:rsidR="00920539" w:rsidRDefault="0019433D">
            <w:pPr>
              <w:ind w:left="489"/>
            </w:pPr>
            <w:r>
              <w:rPr>
                <w:rFonts w:ascii="Arial" w:eastAsia="Arial" w:hAnsi="Arial" w:cs="Arial"/>
                <w:b/>
                <w:color w:val="6B0000"/>
                <w:sz w:val="44"/>
              </w:rPr>
              <w:t>M</w:t>
            </w:r>
          </w:p>
        </w:tc>
        <w:tc>
          <w:tcPr>
            <w:tcW w:w="1654" w:type="dxa"/>
            <w:tcBorders>
              <w:top w:val="single" w:sz="8" w:space="0" w:color="CCCCCC"/>
              <w:left w:val="single" w:sz="4" w:space="0" w:color="CCCCCC"/>
              <w:bottom w:val="single" w:sz="4" w:space="0" w:color="CCCCCC"/>
              <w:right w:val="single" w:sz="4" w:space="0" w:color="CCCCCC"/>
            </w:tcBorders>
            <w:vAlign w:val="bottom"/>
          </w:tcPr>
          <w:p w:rsidR="00920539" w:rsidRDefault="0019433D">
            <w:pPr>
              <w:jc w:val="both"/>
            </w:pPr>
            <w:r>
              <w:rPr>
                <w:rFonts w:ascii="Arial" w:eastAsia="Arial" w:hAnsi="Arial" w:cs="Arial"/>
                <w:b/>
                <w:color w:val="6B0000"/>
                <w:sz w:val="44"/>
              </w:rPr>
              <w:t>£18.10</w:t>
            </w:r>
          </w:p>
          <w:p w:rsidR="00920539" w:rsidRDefault="0019433D">
            <w:pPr>
              <w:ind w:left="490"/>
            </w:pPr>
            <w:r>
              <w:rPr>
                <w:rFonts w:ascii="Arial" w:eastAsia="Arial" w:hAnsi="Arial" w:cs="Arial"/>
                <w:b/>
                <w:color w:val="6B0000"/>
                <w:sz w:val="44"/>
              </w:rPr>
              <w:t>M</w:t>
            </w:r>
          </w:p>
        </w:tc>
        <w:tc>
          <w:tcPr>
            <w:tcW w:w="1654" w:type="dxa"/>
            <w:tcBorders>
              <w:top w:val="single" w:sz="8" w:space="0" w:color="CCCCCC"/>
              <w:left w:val="single" w:sz="4" w:space="0" w:color="CCCCCC"/>
              <w:bottom w:val="single" w:sz="4" w:space="0" w:color="CCCCCC"/>
              <w:right w:val="single" w:sz="8" w:space="0" w:color="CCCCCC"/>
            </w:tcBorders>
            <w:vAlign w:val="bottom"/>
          </w:tcPr>
          <w:p w:rsidR="00920539" w:rsidRDefault="0019433D">
            <w:pPr>
              <w:ind w:left="110"/>
              <w:jc w:val="both"/>
            </w:pPr>
            <w:r>
              <w:rPr>
                <w:rFonts w:ascii="Arial" w:eastAsia="Arial" w:hAnsi="Arial" w:cs="Arial"/>
                <w:b/>
                <w:color w:val="6B0000"/>
                <w:sz w:val="44"/>
              </w:rPr>
              <w:t>365%</w:t>
            </w:r>
          </w:p>
        </w:tc>
      </w:tr>
      <w:tr w:rsidR="00920539">
        <w:trPr>
          <w:trHeight w:val="560"/>
        </w:trPr>
        <w:tc>
          <w:tcPr>
            <w:tcW w:w="1654" w:type="dxa"/>
            <w:tcBorders>
              <w:top w:val="single" w:sz="4" w:space="0" w:color="CCCCCC"/>
              <w:left w:val="single" w:sz="8" w:space="0" w:color="CCCCCC"/>
              <w:bottom w:val="single" w:sz="8" w:space="0" w:color="CCCCCC"/>
              <w:right w:val="single" w:sz="4" w:space="0" w:color="CCCCCC"/>
            </w:tcBorders>
            <w:shd w:val="clear" w:color="auto" w:fill="ECF0F1"/>
            <w:vAlign w:val="center"/>
          </w:tcPr>
          <w:p w:rsidR="00920539" w:rsidRDefault="0019433D">
            <w:pPr>
              <w:jc w:val="center"/>
            </w:pPr>
            <w:r>
              <w:rPr>
                <w:rFonts w:ascii="Arial" w:eastAsia="Arial" w:hAnsi="Arial" w:cs="Arial"/>
                <w:color w:val="566573"/>
                <w:sz w:val="16"/>
              </w:rPr>
              <w:t>Total Impressions</w:t>
            </w:r>
          </w:p>
        </w:tc>
        <w:tc>
          <w:tcPr>
            <w:tcW w:w="1654" w:type="dxa"/>
            <w:tcBorders>
              <w:top w:val="single" w:sz="4" w:space="0" w:color="CCCCCC"/>
              <w:left w:val="single" w:sz="4" w:space="0" w:color="CCCCCC"/>
              <w:bottom w:val="single" w:sz="8" w:space="0" w:color="CCCCCC"/>
              <w:right w:val="single" w:sz="4" w:space="0" w:color="CCCCCC"/>
            </w:tcBorders>
            <w:shd w:val="clear" w:color="auto" w:fill="ECF0F1"/>
            <w:vAlign w:val="center"/>
          </w:tcPr>
          <w:p w:rsidR="00920539" w:rsidRDefault="0019433D">
            <w:pPr>
              <w:jc w:val="center"/>
            </w:pPr>
            <w:r>
              <w:rPr>
                <w:rFonts w:ascii="Arial" w:eastAsia="Arial" w:hAnsi="Arial" w:cs="Arial"/>
                <w:color w:val="566573"/>
                <w:sz w:val="16"/>
              </w:rPr>
              <w:t>Total Clicks</w:t>
            </w:r>
          </w:p>
        </w:tc>
        <w:tc>
          <w:tcPr>
            <w:tcW w:w="1654" w:type="dxa"/>
            <w:tcBorders>
              <w:top w:val="single" w:sz="4" w:space="0" w:color="CCCCCC"/>
              <w:left w:val="single" w:sz="4" w:space="0" w:color="CCCCCC"/>
              <w:bottom w:val="single" w:sz="8" w:space="0" w:color="CCCCCC"/>
              <w:right w:val="single" w:sz="4" w:space="0" w:color="CCCCCC"/>
            </w:tcBorders>
            <w:shd w:val="clear" w:color="auto" w:fill="ECF0F1"/>
            <w:vAlign w:val="center"/>
          </w:tcPr>
          <w:p w:rsidR="00920539" w:rsidRDefault="0019433D">
            <w:pPr>
              <w:jc w:val="center"/>
            </w:pPr>
            <w:r>
              <w:rPr>
                <w:rFonts w:ascii="Arial" w:eastAsia="Arial" w:hAnsi="Arial" w:cs="Arial"/>
                <w:color w:val="566573"/>
                <w:sz w:val="16"/>
              </w:rPr>
              <w:t>Total Conversions</w:t>
            </w:r>
          </w:p>
        </w:tc>
        <w:tc>
          <w:tcPr>
            <w:tcW w:w="1654" w:type="dxa"/>
            <w:tcBorders>
              <w:top w:val="single" w:sz="4" w:space="0" w:color="CCCCCC"/>
              <w:left w:val="single" w:sz="4" w:space="0" w:color="CCCCCC"/>
              <w:bottom w:val="single" w:sz="8" w:space="0" w:color="CCCCCC"/>
              <w:right w:val="single" w:sz="4" w:space="0" w:color="CCCCCC"/>
            </w:tcBorders>
            <w:shd w:val="clear" w:color="auto" w:fill="ECF0F1"/>
            <w:vAlign w:val="center"/>
          </w:tcPr>
          <w:p w:rsidR="00920539" w:rsidRDefault="0019433D">
            <w:pPr>
              <w:jc w:val="center"/>
            </w:pPr>
            <w:r>
              <w:rPr>
                <w:rFonts w:ascii="Arial" w:eastAsia="Arial" w:hAnsi="Arial" w:cs="Arial"/>
                <w:color w:val="566573"/>
                <w:sz w:val="16"/>
              </w:rPr>
              <w:t>Total Revenue</w:t>
            </w:r>
          </w:p>
        </w:tc>
        <w:tc>
          <w:tcPr>
            <w:tcW w:w="1654" w:type="dxa"/>
            <w:tcBorders>
              <w:top w:val="single" w:sz="4" w:space="0" w:color="CCCCCC"/>
              <w:left w:val="single" w:sz="4" w:space="0" w:color="CCCCCC"/>
              <w:bottom w:val="single" w:sz="8" w:space="0" w:color="CCCCCC"/>
              <w:right w:val="single" w:sz="4" w:space="0" w:color="CCCCCC"/>
            </w:tcBorders>
            <w:shd w:val="clear" w:color="auto" w:fill="ECF0F1"/>
            <w:vAlign w:val="center"/>
          </w:tcPr>
          <w:p w:rsidR="00920539" w:rsidRDefault="0019433D">
            <w:pPr>
              <w:jc w:val="center"/>
            </w:pPr>
            <w:r>
              <w:rPr>
                <w:rFonts w:ascii="Arial" w:eastAsia="Arial" w:hAnsi="Arial" w:cs="Arial"/>
                <w:color w:val="566573"/>
                <w:sz w:val="16"/>
              </w:rPr>
              <w:t>Total Spend</w:t>
            </w:r>
          </w:p>
        </w:tc>
        <w:tc>
          <w:tcPr>
            <w:tcW w:w="1654" w:type="dxa"/>
            <w:tcBorders>
              <w:top w:val="single" w:sz="4" w:space="0" w:color="CCCCCC"/>
              <w:left w:val="single" w:sz="4" w:space="0" w:color="CCCCCC"/>
              <w:bottom w:val="single" w:sz="8" w:space="0" w:color="CCCCCC"/>
              <w:right w:val="single" w:sz="8" w:space="0" w:color="CCCCCC"/>
            </w:tcBorders>
            <w:shd w:val="clear" w:color="auto" w:fill="ECF0F1"/>
            <w:vAlign w:val="center"/>
          </w:tcPr>
          <w:p w:rsidR="00920539" w:rsidRDefault="0019433D">
            <w:pPr>
              <w:jc w:val="center"/>
            </w:pPr>
            <w:proofErr w:type="spellStart"/>
            <w:r>
              <w:rPr>
                <w:rFonts w:ascii="Arial" w:eastAsia="Arial" w:hAnsi="Arial" w:cs="Arial"/>
                <w:color w:val="566573"/>
                <w:sz w:val="16"/>
              </w:rPr>
              <w:t>Avg</w:t>
            </w:r>
            <w:proofErr w:type="spellEnd"/>
            <w:r>
              <w:rPr>
                <w:rFonts w:ascii="Arial" w:eastAsia="Arial" w:hAnsi="Arial" w:cs="Arial"/>
                <w:color w:val="566573"/>
                <w:sz w:val="16"/>
              </w:rPr>
              <w:t xml:space="preserve"> ROI</w:t>
            </w:r>
          </w:p>
        </w:tc>
      </w:tr>
    </w:tbl>
    <w:p w:rsidR="00920539" w:rsidRDefault="0019433D">
      <w:pPr>
        <w:pStyle w:val="Heading1"/>
        <w:ind w:left="409" w:hanging="289"/>
      </w:pPr>
      <w:r>
        <w:t>CHANNEL ANALYSIS</w:t>
      </w:r>
    </w:p>
    <w:p w:rsidR="00920539" w:rsidRDefault="0019433D">
      <w:pPr>
        <w:spacing w:after="190"/>
        <w:ind w:left="135"/>
      </w:pPr>
      <w:r>
        <w:rPr>
          <w:noProof/>
        </w:rPr>
        <mc:AlternateContent>
          <mc:Choice Requires="wpg">
            <w:drawing>
              <wp:inline distT="0" distB="0" distL="0" distR="0">
                <wp:extent cx="5823601" cy="25400"/>
                <wp:effectExtent l="0" t="0" r="0" b="0"/>
                <wp:docPr id="5958" name="Group 5958"/>
                <wp:cNvGraphicFramePr/>
                <a:graphic xmlns:a="http://schemas.openxmlformats.org/drawingml/2006/main">
                  <a:graphicData uri="http://schemas.microsoft.com/office/word/2010/wordprocessingGroup">
                    <wpg:wgp>
                      <wpg:cNvGrpSpPr/>
                      <wpg:grpSpPr>
                        <a:xfrm>
                          <a:off x="0" y="0"/>
                          <a:ext cx="5823601" cy="25400"/>
                          <a:chOff x="0" y="0"/>
                          <a:chExt cx="5823601" cy="25400"/>
                        </a:xfrm>
                      </wpg:grpSpPr>
                      <wps:wsp>
                        <wps:cNvPr id="205" name="Shape 205"/>
                        <wps:cNvSpPr/>
                        <wps:spPr>
                          <a:xfrm>
                            <a:off x="0" y="0"/>
                            <a:ext cx="5823601" cy="0"/>
                          </a:xfrm>
                          <a:custGeom>
                            <a:avLst/>
                            <a:gdLst/>
                            <a:ahLst/>
                            <a:cxnLst/>
                            <a:rect l="0" t="0" r="0" b="0"/>
                            <a:pathLst>
                              <a:path w="5823601">
                                <a:moveTo>
                                  <a:pt x="0" y="0"/>
                                </a:moveTo>
                                <a:lnTo>
                                  <a:pt x="5823601" y="0"/>
                                </a:lnTo>
                              </a:path>
                            </a:pathLst>
                          </a:custGeom>
                          <a:ln w="2540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58" style="width:458.551pt;height:2pt;mso-position-horizontal-relative:char;mso-position-vertical-relative:line" coordsize="58236,254">
                <v:shape id="Shape 205" style="position:absolute;width:58236;height:0;left:0;top:0;" coordsize="5823601,0" path="m0,0l5823601,0">
                  <v:stroke weight="2pt" endcap="round" joinstyle="miter" miterlimit="10" on="true" color="#1a1a2e"/>
                  <v:fill on="false" color="#000000" opacity="0"/>
                </v:shape>
              </v:group>
            </w:pict>
          </mc:Fallback>
        </mc:AlternateContent>
      </w:r>
    </w:p>
    <w:tbl>
      <w:tblPr>
        <w:tblStyle w:val="TableGrid"/>
        <w:tblW w:w="9921" w:type="dxa"/>
        <w:tblInd w:w="-240" w:type="dxa"/>
        <w:tblCellMar>
          <w:left w:w="120" w:type="dxa"/>
          <w:right w:w="107" w:type="dxa"/>
        </w:tblCellMar>
        <w:tblLook w:val="04A0" w:firstRow="1" w:lastRow="0" w:firstColumn="1" w:lastColumn="0" w:noHBand="0" w:noVBand="1"/>
      </w:tblPr>
      <w:tblGrid>
        <w:gridCol w:w="1815"/>
        <w:gridCol w:w="1361"/>
        <w:gridCol w:w="1020"/>
        <w:gridCol w:w="1020"/>
        <w:gridCol w:w="1247"/>
        <w:gridCol w:w="1247"/>
        <w:gridCol w:w="1020"/>
        <w:gridCol w:w="1191"/>
      </w:tblGrid>
      <w:tr w:rsidR="00920539">
        <w:trPr>
          <w:trHeight w:val="440"/>
        </w:trPr>
        <w:tc>
          <w:tcPr>
            <w:tcW w:w="1814"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920539" w:rsidRDefault="0019433D">
            <w:r>
              <w:rPr>
                <w:rFonts w:ascii="Arial" w:eastAsia="Arial" w:hAnsi="Arial" w:cs="Arial"/>
                <w:b/>
                <w:color w:val="FFFFFF"/>
                <w:sz w:val="18"/>
              </w:rPr>
              <w:t>Channel</w:t>
            </w:r>
          </w:p>
        </w:tc>
        <w:tc>
          <w:tcPr>
            <w:tcW w:w="1361"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920539" w:rsidRDefault="0019433D">
            <w:r>
              <w:rPr>
                <w:rFonts w:ascii="Arial" w:eastAsia="Arial" w:hAnsi="Arial" w:cs="Arial"/>
                <w:b/>
                <w:color w:val="FFFFFF"/>
                <w:sz w:val="18"/>
              </w:rPr>
              <w:t>Impressions</w:t>
            </w:r>
          </w:p>
        </w:tc>
        <w:tc>
          <w:tcPr>
            <w:tcW w:w="1020"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920539" w:rsidRDefault="0019433D">
            <w:r>
              <w:rPr>
                <w:rFonts w:ascii="Arial" w:eastAsia="Arial" w:hAnsi="Arial" w:cs="Arial"/>
                <w:b/>
                <w:color w:val="FFFFFF"/>
                <w:sz w:val="18"/>
              </w:rPr>
              <w:t>CTR %</w:t>
            </w:r>
          </w:p>
        </w:tc>
        <w:tc>
          <w:tcPr>
            <w:tcW w:w="1020"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920539" w:rsidRDefault="0019433D">
            <w:r>
              <w:rPr>
                <w:rFonts w:ascii="Arial" w:eastAsia="Arial" w:hAnsi="Arial" w:cs="Arial"/>
                <w:b/>
                <w:color w:val="FFFFFF"/>
                <w:sz w:val="18"/>
              </w:rPr>
              <w:t>CVR %</w:t>
            </w:r>
          </w:p>
        </w:tc>
        <w:tc>
          <w:tcPr>
            <w:tcW w:w="1247"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920539" w:rsidRDefault="0019433D">
            <w:r>
              <w:rPr>
                <w:rFonts w:ascii="Arial" w:eastAsia="Arial" w:hAnsi="Arial" w:cs="Arial"/>
                <w:b/>
                <w:color w:val="FFFFFF"/>
                <w:sz w:val="18"/>
              </w:rPr>
              <w:t>Cost (£)</w:t>
            </w:r>
          </w:p>
        </w:tc>
        <w:tc>
          <w:tcPr>
            <w:tcW w:w="1247"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920539" w:rsidRDefault="0019433D">
            <w:r>
              <w:rPr>
                <w:rFonts w:ascii="Arial" w:eastAsia="Arial" w:hAnsi="Arial" w:cs="Arial"/>
                <w:b/>
                <w:color w:val="FFFFFF"/>
                <w:sz w:val="18"/>
              </w:rPr>
              <w:t>Revenue (£)</w:t>
            </w:r>
          </w:p>
        </w:tc>
        <w:tc>
          <w:tcPr>
            <w:tcW w:w="1020"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920539" w:rsidRDefault="0019433D">
            <w:r>
              <w:rPr>
                <w:rFonts w:ascii="Arial" w:eastAsia="Arial" w:hAnsi="Arial" w:cs="Arial"/>
                <w:b/>
                <w:color w:val="FFFFFF"/>
                <w:sz w:val="18"/>
              </w:rPr>
              <w:t>ROI %</w:t>
            </w:r>
          </w:p>
        </w:tc>
        <w:tc>
          <w:tcPr>
            <w:tcW w:w="1191"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920539" w:rsidRDefault="0019433D">
            <w:r>
              <w:rPr>
                <w:rFonts w:ascii="Arial" w:eastAsia="Arial" w:hAnsi="Arial" w:cs="Arial"/>
                <w:b/>
                <w:color w:val="FFFFFF"/>
                <w:sz w:val="18"/>
              </w:rPr>
              <w:t>CPA (£)</w:t>
            </w:r>
          </w:p>
        </w:tc>
      </w:tr>
      <w:tr w:rsidR="00920539">
        <w:trPr>
          <w:trHeight w:val="440"/>
        </w:trPr>
        <w:tc>
          <w:tcPr>
            <w:tcW w:w="1814"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920539" w:rsidRDefault="0019433D">
            <w:r>
              <w:rPr>
                <w:rFonts w:ascii="Arial" w:eastAsia="Arial" w:hAnsi="Arial" w:cs="Arial"/>
                <w:sz w:val="18"/>
              </w:rPr>
              <w:t>Paid Search</w:t>
            </w:r>
          </w:p>
        </w:tc>
        <w:tc>
          <w:tcPr>
            <w:tcW w:w="1361"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920539" w:rsidRDefault="0019433D">
            <w:r>
              <w:rPr>
                <w:rFonts w:ascii="Arial" w:eastAsia="Arial" w:hAnsi="Arial" w:cs="Arial"/>
                <w:sz w:val="18"/>
              </w:rPr>
              <w:t>21,984,873</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920539" w:rsidRDefault="0019433D">
            <w:r>
              <w:rPr>
                <w:rFonts w:ascii="Arial" w:eastAsia="Arial" w:hAnsi="Arial" w:cs="Arial"/>
                <w:sz w:val="18"/>
              </w:rPr>
              <w:t>2.43%</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920539" w:rsidRDefault="0019433D">
            <w:r>
              <w:rPr>
                <w:rFonts w:ascii="Arial" w:eastAsia="Arial" w:hAnsi="Arial" w:cs="Arial"/>
                <w:sz w:val="18"/>
              </w:rPr>
              <w:t>6.13%</w:t>
            </w:r>
          </w:p>
        </w:tc>
        <w:tc>
          <w:tcPr>
            <w:tcW w:w="1247"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920539" w:rsidRDefault="0019433D">
            <w:r>
              <w:rPr>
                <w:rFonts w:ascii="Arial" w:eastAsia="Arial" w:hAnsi="Arial" w:cs="Arial"/>
                <w:sz w:val="18"/>
              </w:rPr>
              <w:t>£6,600,884</w:t>
            </w:r>
          </w:p>
        </w:tc>
        <w:tc>
          <w:tcPr>
            <w:tcW w:w="1247"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920539" w:rsidRDefault="0019433D">
            <w:r>
              <w:rPr>
                <w:rFonts w:ascii="Arial" w:eastAsia="Arial" w:hAnsi="Arial" w:cs="Arial"/>
                <w:sz w:val="18"/>
              </w:rPr>
              <w:t>£9,844,874</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920539" w:rsidRDefault="0019433D">
            <w:r>
              <w:rPr>
                <w:rFonts w:ascii="Arial" w:eastAsia="Arial" w:hAnsi="Arial" w:cs="Arial"/>
                <w:sz w:val="18"/>
              </w:rPr>
              <w:t>49.1%</w:t>
            </w:r>
          </w:p>
        </w:tc>
        <w:tc>
          <w:tcPr>
            <w:tcW w:w="1191"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920539" w:rsidRDefault="0019433D">
            <w:r>
              <w:rPr>
                <w:rFonts w:ascii="Arial" w:eastAsia="Arial" w:hAnsi="Arial" w:cs="Arial"/>
                <w:sz w:val="18"/>
              </w:rPr>
              <w:t>£201.04</w:t>
            </w:r>
          </w:p>
        </w:tc>
      </w:tr>
      <w:tr w:rsidR="00920539">
        <w:trPr>
          <w:trHeight w:val="440"/>
        </w:trPr>
        <w:tc>
          <w:tcPr>
            <w:tcW w:w="1814"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r>
              <w:rPr>
                <w:rFonts w:ascii="Arial" w:eastAsia="Arial" w:hAnsi="Arial" w:cs="Arial"/>
                <w:sz w:val="18"/>
              </w:rPr>
              <w:t>Display Ads</w:t>
            </w:r>
          </w:p>
        </w:tc>
        <w:tc>
          <w:tcPr>
            <w:tcW w:w="1361"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r>
              <w:rPr>
                <w:rFonts w:ascii="Arial" w:eastAsia="Arial" w:hAnsi="Arial" w:cs="Arial"/>
                <w:sz w:val="18"/>
              </w:rPr>
              <w:t>127,860,508</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r>
              <w:rPr>
                <w:rFonts w:ascii="Arial" w:eastAsia="Arial" w:hAnsi="Arial" w:cs="Arial"/>
                <w:sz w:val="18"/>
              </w:rPr>
              <w:t>0.61%</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r>
              <w:rPr>
                <w:rFonts w:ascii="Arial" w:eastAsia="Arial" w:hAnsi="Arial" w:cs="Arial"/>
                <w:sz w:val="18"/>
              </w:rPr>
              <w:t>111.51%</w:t>
            </w:r>
          </w:p>
        </w:tc>
        <w:tc>
          <w:tcPr>
            <w:tcW w:w="1247"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r>
              <w:rPr>
                <w:rFonts w:ascii="Arial" w:eastAsia="Arial" w:hAnsi="Arial" w:cs="Arial"/>
                <w:sz w:val="18"/>
              </w:rPr>
              <w:t>£3,653,116</w:t>
            </w:r>
          </w:p>
        </w:tc>
        <w:tc>
          <w:tcPr>
            <w:tcW w:w="1247"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r>
              <w:rPr>
                <w:rFonts w:ascii="Arial" w:eastAsia="Arial" w:hAnsi="Arial" w:cs="Arial"/>
                <w:sz w:val="18"/>
              </w:rPr>
              <w:t>£1,091,607</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r>
              <w:rPr>
                <w:rFonts w:ascii="Arial" w:eastAsia="Arial" w:hAnsi="Arial" w:cs="Arial"/>
                <w:sz w:val="18"/>
              </w:rPr>
              <w:t>-70.1%</w:t>
            </w:r>
          </w:p>
        </w:tc>
        <w:tc>
          <w:tcPr>
            <w:tcW w:w="1191"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r>
              <w:rPr>
                <w:rFonts w:ascii="Arial" w:eastAsia="Arial" w:hAnsi="Arial" w:cs="Arial"/>
                <w:sz w:val="18"/>
              </w:rPr>
              <w:t>£4.20</w:t>
            </w:r>
          </w:p>
        </w:tc>
      </w:tr>
      <w:tr w:rsidR="00920539">
        <w:trPr>
          <w:trHeight w:val="440"/>
        </w:trPr>
        <w:tc>
          <w:tcPr>
            <w:tcW w:w="1814"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920539" w:rsidRDefault="0019433D">
            <w:r>
              <w:rPr>
                <w:rFonts w:ascii="Arial" w:eastAsia="Arial" w:hAnsi="Arial" w:cs="Arial"/>
                <w:sz w:val="18"/>
              </w:rPr>
              <w:t>Social Media</w:t>
            </w:r>
          </w:p>
        </w:tc>
        <w:tc>
          <w:tcPr>
            <w:tcW w:w="1361"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920539" w:rsidRDefault="0019433D">
            <w:r>
              <w:rPr>
                <w:rFonts w:ascii="Arial" w:eastAsia="Arial" w:hAnsi="Arial" w:cs="Arial"/>
                <w:sz w:val="18"/>
              </w:rPr>
              <w:t>31,676,898</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920539" w:rsidRDefault="0019433D">
            <w:r>
              <w:rPr>
                <w:rFonts w:ascii="Arial" w:eastAsia="Arial" w:hAnsi="Arial" w:cs="Arial"/>
                <w:sz w:val="18"/>
              </w:rPr>
              <w:t>8.45%</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920539" w:rsidRDefault="0019433D">
            <w:r>
              <w:rPr>
                <w:rFonts w:ascii="Arial" w:eastAsia="Arial" w:hAnsi="Arial" w:cs="Arial"/>
                <w:sz w:val="18"/>
              </w:rPr>
              <w:t>0.27%</w:t>
            </w:r>
          </w:p>
        </w:tc>
        <w:tc>
          <w:tcPr>
            <w:tcW w:w="1247"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920539" w:rsidRDefault="0019433D">
            <w:r>
              <w:rPr>
                <w:rFonts w:ascii="Arial" w:eastAsia="Arial" w:hAnsi="Arial" w:cs="Arial"/>
                <w:sz w:val="18"/>
              </w:rPr>
              <w:t>£7,845,721</w:t>
            </w:r>
          </w:p>
        </w:tc>
        <w:tc>
          <w:tcPr>
            <w:tcW w:w="1247"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920539" w:rsidRDefault="0019433D">
            <w:r>
              <w:rPr>
                <w:rFonts w:ascii="Arial" w:eastAsia="Arial" w:hAnsi="Arial" w:cs="Arial"/>
                <w:sz w:val="18"/>
              </w:rPr>
              <w:t>£1,103,806</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920539" w:rsidRDefault="0019433D">
            <w:r>
              <w:rPr>
                <w:rFonts w:ascii="Arial" w:eastAsia="Arial" w:hAnsi="Arial" w:cs="Arial"/>
                <w:sz w:val="18"/>
              </w:rPr>
              <w:t>-85.9%</w:t>
            </w:r>
          </w:p>
        </w:tc>
        <w:tc>
          <w:tcPr>
            <w:tcW w:w="1191"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920539" w:rsidRDefault="0019433D">
            <w:r>
              <w:rPr>
                <w:rFonts w:ascii="Arial" w:eastAsia="Arial" w:hAnsi="Arial" w:cs="Arial"/>
                <w:sz w:val="18"/>
              </w:rPr>
              <w:t>£1098.24</w:t>
            </w:r>
          </w:p>
        </w:tc>
      </w:tr>
      <w:tr w:rsidR="00920539">
        <w:trPr>
          <w:trHeight w:val="440"/>
        </w:trPr>
        <w:tc>
          <w:tcPr>
            <w:tcW w:w="1814"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r>
              <w:rPr>
                <w:rFonts w:ascii="Arial" w:eastAsia="Arial" w:hAnsi="Arial" w:cs="Arial"/>
                <w:sz w:val="18"/>
              </w:rPr>
              <w:t>Email</w:t>
            </w:r>
          </w:p>
        </w:tc>
        <w:tc>
          <w:tcPr>
            <w:tcW w:w="1361"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r>
              <w:rPr>
                <w:rFonts w:ascii="Arial" w:eastAsia="Arial" w:hAnsi="Arial" w:cs="Arial"/>
                <w:sz w:val="18"/>
              </w:rPr>
              <w:t>46,619,838</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r>
              <w:rPr>
                <w:rFonts w:ascii="Arial" w:eastAsia="Arial" w:hAnsi="Arial" w:cs="Arial"/>
                <w:sz w:val="18"/>
              </w:rPr>
              <w:t>3.38%</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r>
              <w:rPr>
                <w:rFonts w:ascii="Arial" w:eastAsia="Arial" w:hAnsi="Arial" w:cs="Arial"/>
                <w:sz w:val="18"/>
              </w:rPr>
              <w:t>2.84%</w:t>
            </w:r>
          </w:p>
        </w:tc>
        <w:tc>
          <w:tcPr>
            <w:tcW w:w="1247"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r>
              <w:rPr>
                <w:rFonts w:ascii="Arial" w:eastAsia="Arial" w:hAnsi="Arial" w:cs="Arial"/>
                <w:sz w:val="18"/>
              </w:rPr>
              <w:t>£0</w:t>
            </w:r>
          </w:p>
        </w:tc>
        <w:tc>
          <w:tcPr>
            <w:tcW w:w="1247"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r>
              <w:rPr>
                <w:rFonts w:ascii="Arial" w:eastAsia="Arial" w:hAnsi="Arial" w:cs="Arial"/>
                <w:sz w:val="18"/>
              </w:rPr>
              <w:t>£7,856,894</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r>
              <w:rPr>
                <w:rFonts w:ascii="Arial" w:eastAsia="Arial" w:hAnsi="Arial" w:cs="Arial"/>
                <w:sz w:val="18"/>
              </w:rPr>
              <w:t>nan%</w:t>
            </w:r>
          </w:p>
        </w:tc>
        <w:tc>
          <w:tcPr>
            <w:tcW w:w="1191"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r>
              <w:rPr>
                <w:rFonts w:ascii="Arial" w:eastAsia="Arial" w:hAnsi="Arial" w:cs="Arial"/>
                <w:sz w:val="18"/>
              </w:rPr>
              <w:t>—</w:t>
            </w:r>
          </w:p>
        </w:tc>
      </w:tr>
    </w:tbl>
    <w:p w:rsidR="00920539" w:rsidRDefault="0019433D">
      <w:pPr>
        <w:pStyle w:val="Heading1"/>
        <w:ind w:left="409" w:hanging="289"/>
      </w:pPr>
      <w:r>
        <w:t>STRATEGIC INSIGHTS</w:t>
      </w:r>
    </w:p>
    <w:p w:rsidR="00920539" w:rsidRDefault="0019433D">
      <w:pPr>
        <w:spacing w:after="190"/>
        <w:ind w:left="135"/>
      </w:pPr>
      <w:r>
        <w:rPr>
          <w:noProof/>
        </w:rPr>
        <mc:AlternateContent>
          <mc:Choice Requires="wpg">
            <w:drawing>
              <wp:inline distT="0" distB="0" distL="0" distR="0">
                <wp:extent cx="5823601" cy="25400"/>
                <wp:effectExtent l="0" t="0" r="0" b="0"/>
                <wp:docPr id="5959" name="Group 5959"/>
                <wp:cNvGraphicFramePr/>
                <a:graphic xmlns:a="http://schemas.openxmlformats.org/drawingml/2006/main">
                  <a:graphicData uri="http://schemas.microsoft.com/office/word/2010/wordprocessingGroup">
                    <wpg:wgp>
                      <wpg:cNvGrpSpPr/>
                      <wpg:grpSpPr>
                        <a:xfrm>
                          <a:off x="0" y="0"/>
                          <a:ext cx="5823601" cy="25400"/>
                          <a:chOff x="0" y="0"/>
                          <a:chExt cx="5823601" cy="25400"/>
                        </a:xfrm>
                      </wpg:grpSpPr>
                      <wps:wsp>
                        <wps:cNvPr id="267" name="Shape 267"/>
                        <wps:cNvSpPr/>
                        <wps:spPr>
                          <a:xfrm>
                            <a:off x="0" y="0"/>
                            <a:ext cx="5823601" cy="0"/>
                          </a:xfrm>
                          <a:custGeom>
                            <a:avLst/>
                            <a:gdLst/>
                            <a:ahLst/>
                            <a:cxnLst/>
                            <a:rect l="0" t="0" r="0" b="0"/>
                            <a:pathLst>
                              <a:path w="5823601">
                                <a:moveTo>
                                  <a:pt x="0" y="0"/>
                                </a:moveTo>
                                <a:lnTo>
                                  <a:pt x="5823601" y="0"/>
                                </a:lnTo>
                              </a:path>
                            </a:pathLst>
                          </a:custGeom>
                          <a:ln w="2540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59" style="width:458.551pt;height:2pt;mso-position-horizontal-relative:char;mso-position-vertical-relative:line" coordsize="58236,254">
                <v:shape id="Shape 267" style="position:absolute;width:58236;height:0;left:0;top:0;" coordsize="5823601,0" path="m0,0l5823601,0">
                  <v:stroke weight="2pt" endcap="round" joinstyle="miter" miterlimit="10" on="true" color="#1a1a2e"/>
                  <v:fill on="false" color="#000000" opacity="0"/>
                </v:shape>
              </v:group>
            </w:pict>
          </mc:Fallback>
        </mc:AlternateContent>
      </w:r>
    </w:p>
    <w:tbl>
      <w:tblPr>
        <w:tblStyle w:val="TableGrid"/>
        <w:tblW w:w="9921" w:type="dxa"/>
        <w:tblInd w:w="-240" w:type="dxa"/>
        <w:tblCellMar>
          <w:top w:w="211" w:type="dxa"/>
          <w:left w:w="120" w:type="dxa"/>
          <w:right w:w="115" w:type="dxa"/>
        </w:tblCellMar>
        <w:tblLook w:val="04A0" w:firstRow="1" w:lastRow="0" w:firstColumn="1" w:lastColumn="0" w:noHBand="0" w:noVBand="1"/>
      </w:tblPr>
      <w:tblGrid>
        <w:gridCol w:w="1247"/>
        <w:gridCol w:w="8674"/>
      </w:tblGrid>
      <w:tr w:rsidR="00920539">
        <w:trPr>
          <w:trHeight w:val="560"/>
        </w:trPr>
        <w:tc>
          <w:tcPr>
            <w:tcW w:w="1247" w:type="dxa"/>
            <w:tcBorders>
              <w:top w:val="nil"/>
              <w:left w:val="nil"/>
              <w:bottom w:val="single" w:sz="4" w:space="0" w:color="CCCCCC"/>
              <w:right w:val="nil"/>
            </w:tcBorders>
            <w:shd w:val="clear" w:color="auto" w:fill="1B4332"/>
          </w:tcPr>
          <w:p w:rsidR="00920539" w:rsidRDefault="00920539"/>
        </w:tc>
        <w:tc>
          <w:tcPr>
            <w:tcW w:w="8674" w:type="dxa"/>
            <w:tcBorders>
              <w:top w:val="nil"/>
              <w:left w:val="nil"/>
              <w:bottom w:val="single" w:sz="4" w:space="0" w:color="CCCCCC"/>
              <w:right w:val="nil"/>
            </w:tcBorders>
            <w:shd w:val="clear" w:color="auto" w:fill="1B4332"/>
            <w:vAlign w:val="center"/>
          </w:tcPr>
          <w:p w:rsidR="00920539" w:rsidRDefault="0019433D">
            <w:pPr>
              <w:ind w:left="2087"/>
            </w:pPr>
            <w:r>
              <w:rPr>
                <w:rFonts w:ascii="Arial" w:eastAsia="Arial" w:hAnsi="Arial" w:cs="Arial"/>
                <w:b/>
                <w:color w:val="FFFFFF"/>
                <w:sz w:val="20"/>
              </w:rPr>
              <w:t>INSIGHT 1 — Scale Paid Search</w:t>
            </w:r>
          </w:p>
        </w:tc>
      </w:tr>
      <w:tr w:rsidR="00920539">
        <w:trPr>
          <w:trHeight w:val="1160"/>
        </w:trPr>
        <w:tc>
          <w:tcPr>
            <w:tcW w:w="1247" w:type="dxa"/>
            <w:tcBorders>
              <w:top w:val="single" w:sz="4" w:space="0" w:color="CCCCCC"/>
              <w:left w:val="single" w:sz="4" w:space="0" w:color="CCCCCC"/>
              <w:bottom w:val="single" w:sz="4" w:space="0" w:color="CCCCCC"/>
              <w:right w:val="single" w:sz="4" w:space="0" w:color="CCCCCC"/>
            </w:tcBorders>
            <w:shd w:val="clear" w:color="auto" w:fill="ECF0F1"/>
          </w:tcPr>
          <w:p w:rsidR="00920539" w:rsidRDefault="0019433D">
            <w:r>
              <w:rPr>
                <w:rFonts w:ascii="Arial" w:eastAsia="Arial" w:hAnsi="Arial" w:cs="Arial"/>
                <w:b/>
                <w:color w:val="1B4332"/>
                <w:sz w:val="18"/>
              </w:rPr>
              <w:t>Finding</w:t>
            </w:r>
          </w:p>
        </w:tc>
        <w:tc>
          <w:tcPr>
            <w:tcW w:w="8674"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r>
              <w:rPr>
                <w:rFonts w:ascii="Arial" w:eastAsia="Arial" w:hAnsi="Arial" w:cs="Arial"/>
                <w:color w:val="1A1A2E"/>
                <w:sz w:val="18"/>
              </w:rPr>
              <w:t>After removing 217 anomaly rows, Paid Search emerges as the highest-ROI channel. Data from 2,210 clean post-</w:t>
            </w:r>
            <w:proofErr w:type="spellStart"/>
            <w:r>
              <w:rPr>
                <w:rFonts w:ascii="Arial" w:eastAsia="Arial" w:hAnsi="Arial" w:cs="Arial"/>
                <w:color w:val="1A1A2E"/>
                <w:sz w:val="18"/>
              </w:rPr>
              <w:t>dedup</w:t>
            </w:r>
            <w:proofErr w:type="spellEnd"/>
            <w:r>
              <w:rPr>
                <w:rFonts w:ascii="Arial" w:eastAsia="Arial" w:hAnsi="Arial" w:cs="Arial"/>
                <w:color w:val="1A1A2E"/>
                <w:sz w:val="18"/>
              </w:rPr>
              <w:t xml:space="preserve"> records. Consistent performance across all 12 months confirms this is structural, not seasonal.</w:t>
            </w:r>
          </w:p>
        </w:tc>
      </w:tr>
      <w:tr w:rsidR="00920539">
        <w:trPr>
          <w:trHeight w:val="1160"/>
        </w:trPr>
        <w:tc>
          <w:tcPr>
            <w:tcW w:w="1247" w:type="dxa"/>
            <w:tcBorders>
              <w:top w:val="single" w:sz="4" w:space="0" w:color="CCCCCC"/>
              <w:left w:val="single" w:sz="4" w:space="0" w:color="CCCCCC"/>
              <w:bottom w:val="single" w:sz="4" w:space="0" w:color="CCCCCC"/>
              <w:right w:val="single" w:sz="4" w:space="0" w:color="CCCCCC"/>
            </w:tcBorders>
            <w:shd w:val="clear" w:color="auto" w:fill="ECF0F1"/>
          </w:tcPr>
          <w:p w:rsidR="00920539" w:rsidRDefault="0019433D">
            <w:r>
              <w:rPr>
                <w:rFonts w:ascii="Arial" w:eastAsia="Arial" w:hAnsi="Arial" w:cs="Arial"/>
                <w:b/>
                <w:color w:val="1B4332"/>
                <w:sz w:val="18"/>
              </w:rPr>
              <w:t>Actions</w:t>
            </w:r>
          </w:p>
        </w:tc>
        <w:tc>
          <w:tcPr>
            <w:tcW w:w="8674"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pPr>
              <w:numPr>
                <w:ilvl w:val="0"/>
                <w:numId w:val="2"/>
              </w:numPr>
              <w:spacing w:after="56"/>
              <w:ind w:hanging="113"/>
            </w:pPr>
            <w:r>
              <w:rPr>
                <w:rFonts w:ascii="Arial" w:eastAsia="Arial" w:hAnsi="Arial" w:cs="Arial"/>
                <w:color w:val="1A1A2E"/>
                <w:sz w:val="18"/>
              </w:rPr>
              <w:t>Increase FY 2025 budget allocation by 25%</w:t>
            </w:r>
          </w:p>
          <w:p w:rsidR="00920539" w:rsidRDefault="0019433D">
            <w:pPr>
              <w:numPr>
                <w:ilvl w:val="0"/>
                <w:numId w:val="2"/>
              </w:numPr>
              <w:spacing w:after="56"/>
              <w:ind w:hanging="113"/>
            </w:pPr>
            <w:r>
              <w:rPr>
                <w:rFonts w:ascii="Arial" w:eastAsia="Arial" w:hAnsi="Arial" w:cs="Arial"/>
                <w:color w:val="1A1A2E"/>
                <w:sz w:val="18"/>
              </w:rPr>
              <w:t>Expand keyword/audience coverage to 3 new product lines</w:t>
            </w:r>
          </w:p>
          <w:p w:rsidR="00920539" w:rsidRDefault="0019433D">
            <w:pPr>
              <w:numPr>
                <w:ilvl w:val="0"/>
                <w:numId w:val="2"/>
              </w:numPr>
              <w:ind w:hanging="113"/>
            </w:pPr>
            <w:r>
              <w:rPr>
                <w:rFonts w:ascii="Arial" w:eastAsia="Arial" w:hAnsi="Arial" w:cs="Arial"/>
                <w:color w:val="1A1A2E"/>
                <w:sz w:val="18"/>
              </w:rPr>
              <w:t>A/B test ad copy variants monthly</w:t>
            </w:r>
          </w:p>
        </w:tc>
      </w:tr>
      <w:tr w:rsidR="00920539">
        <w:trPr>
          <w:trHeight w:val="560"/>
        </w:trPr>
        <w:tc>
          <w:tcPr>
            <w:tcW w:w="1247" w:type="dxa"/>
            <w:tcBorders>
              <w:top w:val="nil"/>
              <w:left w:val="nil"/>
              <w:bottom w:val="single" w:sz="4" w:space="0" w:color="CCCCCC"/>
              <w:right w:val="nil"/>
            </w:tcBorders>
            <w:shd w:val="clear" w:color="auto" w:fill="6B0000"/>
          </w:tcPr>
          <w:p w:rsidR="00920539" w:rsidRDefault="00920539"/>
        </w:tc>
        <w:tc>
          <w:tcPr>
            <w:tcW w:w="8674" w:type="dxa"/>
            <w:tcBorders>
              <w:top w:val="nil"/>
              <w:left w:val="nil"/>
              <w:bottom w:val="single" w:sz="4" w:space="0" w:color="CCCCCC"/>
              <w:right w:val="nil"/>
            </w:tcBorders>
            <w:shd w:val="clear" w:color="auto" w:fill="6B0000"/>
            <w:vAlign w:val="center"/>
          </w:tcPr>
          <w:p w:rsidR="00920539" w:rsidRDefault="0019433D">
            <w:pPr>
              <w:ind w:left="1621"/>
            </w:pPr>
            <w:r>
              <w:rPr>
                <w:rFonts w:ascii="Arial" w:eastAsia="Arial" w:hAnsi="Arial" w:cs="Arial"/>
                <w:b/>
                <w:color w:val="FFFFFF"/>
                <w:sz w:val="20"/>
              </w:rPr>
              <w:t>INSIGHT 2 — Reduce Social Media Spend</w:t>
            </w:r>
          </w:p>
        </w:tc>
      </w:tr>
      <w:tr w:rsidR="00920539">
        <w:trPr>
          <w:trHeight w:val="1160"/>
        </w:trPr>
        <w:tc>
          <w:tcPr>
            <w:tcW w:w="1247" w:type="dxa"/>
            <w:tcBorders>
              <w:top w:val="single" w:sz="4" w:space="0" w:color="CCCCCC"/>
              <w:left w:val="single" w:sz="4" w:space="0" w:color="CCCCCC"/>
              <w:bottom w:val="single" w:sz="4" w:space="0" w:color="CCCCCC"/>
              <w:right w:val="single" w:sz="4" w:space="0" w:color="CCCCCC"/>
            </w:tcBorders>
            <w:shd w:val="clear" w:color="auto" w:fill="ECF0F1"/>
          </w:tcPr>
          <w:p w:rsidR="00920539" w:rsidRDefault="0019433D">
            <w:r>
              <w:rPr>
                <w:rFonts w:ascii="Arial" w:eastAsia="Arial" w:hAnsi="Arial" w:cs="Arial"/>
                <w:b/>
                <w:color w:val="6B0000"/>
                <w:sz w:val="18"/>
              </w:rPr>
              <w:t>Finding</w:t>
            </w:r>
          </w:p>
        </w:tc>
        <w:tc>
          <w:tcPr>
            <w:tcW w:w="8674"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pPr>
              <w:jc w:val="both"/>
            </w:pPr>
            <w:r>
              <w:rPr>
                <w:rFonts w:ascii="Arial" w:eastAsia="Arial" w:hAnsi="Arial" w:cs="Arial"/>
                <w:color w:val="1A1A2E"/>
                <w:sz w:val="18"/>
              </w:rPr>
              <w:t>Social Media produced the weakest ROI with 50 anomaly-flagged rows — the highest anomaly rate of any channel. This suggests tracking implementation issues at source, not just poor performance. Even excluding anomalies, ROI remains the weakest in the portfolio.</w:t>
            </w:r>
          </w:p>
        </w:tc>
      </w:tr>
      <w:tr w:rsidR="00920539">
        <w:trPr>
          <w:trHeight w:val="1160"/>
        </w:trPr>
        <w:tc>
          <w:tcPr>
            <w:tcW w:w="1247" w:type="dxa"/>
            <w:tcBorders>
              <w:top w:val="single" w:sz="4" w:space="0" w:color="CCCCCC"/>
              <w:left w:val="single" w:sz="4" w:space="0" w:color="CCCCCC"/>
              <w:bottom w:val="single" w:sz="4" w:space="0" w:color="CCCCCC"/>
              <w:right w:val="single" w:sz="4" w:space="0" w:color="CCCCCC"/>
            </w:tcBorders>
            <w:shd w:val="clear" w:color="auto" w:fill="ECF0F1"/>
          </w:tcPr>
          <w:p w:rsidR="00920539" w:rsidRDefault="0019433D">
            <w:r>
              <w:rPr>
                <w:rFonts w:ascii="Arial" w:eastAsia="Arial" w:hAnsi="Arial" w:cs="Arial"/>
                <w:b/>
                <w:color w:val="6B0000"/>
                <w:sz w:val="18"/>
              </w:rPr>
              <w:t>Actions</w:t>
            </w:r>
          </w:p>
        </w:tc>
        <w:tc>
          <w:tcPr>
            <w:tcW w:w="8674"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pPr>
              <w:numPr>
                <w:ilvl w:val="0"/>
                <w:numId w:val="3"/>
              </w:numPr>
              <w:spacing w:after="56"/>
              <w:ind w:hanging="113"/>
            </w:pPr>
            <w:r>
              <w:rPr>
                <w:rFonts w:ascii="Arial" w:eastAsia="Arial" w:hAnsi="Arial" w:cs="Arial"/>
                <w:color w:val="1A1A2E"/>
                <w:sz w:val="18"/>
              </w:rPr>
              <w:t>Pause prospecting campaigns in H1 2025</w:t>
            </w:r>
          </w:p>
          <w:p w:rsidR="00920539" w:rsidRDefault="0019433D">
            <w:pPr>
              <w:numPr>
                <w:ilvl w:val="0"/>
                <w:numId w:val="3"/>
              </w:numPr>
              <w:spacing w:after="56"/>
              <w:ind w:hanging="113"/>
            </w:pPr>
            <w:r>
              <w:rPr>
                <w:rFonts w:ascii="Arial" w:eastAsia="Arial" w:hAnsi="Arial" w:cs="Arial"/>
                <w:color w:val="1A1A2E"/>
                <w:sz w:val="18"/>
              </w:rPr>
              <w:t>Retain retargeting-only spend at reduced level</w:t>
            </w:r>
          </w:p>
          <w:p w:rsidR="00920539" w:rsidRDefault="0019433D">
            <w:pPr>
              <w:numPr>
                <w:ilvl w:val="0"/>
                <w:numId w:val="3"/>
              </w:numPr>
              <w:ind w:hanging="113"/>
            </w:pPr>
            <w:r>
              <w:rPr>
                <w:rFonts w:ascii="Arial" w:eastAsia="Arial" w:hAnsi="Arial" w:cs="Arial"/>
                <w:color w:val="1A1A2E"/>
                <w:sz w:val="18"/>
              </w:rPr>
              <w:t>Audit tracking pixel implementation before next campaign</w:t>
            </w:r>
          </w:p>
        </w:tc>
      </w:tr>
      <w:tr w:rsidR="00920539">
        <w:trPr>
          <w:trHeight w:val="560"/>
        </w:trPr>
        <w:tc>
          <w:tcPr>
            <w:tcW w:w="1247" w:type="dxa"/>
            <w:tcBorders>
              <w:top w:val="nil"/>
              <w:left w:val="nil"/>
              <w:bottom w:val="single" w:sz="4" w:space="0" w:color="CCCCCC"/>
              <w:right w:val="nil"/>
            </w:tcBorders>
            <w:shd w:val="clear" w:color="auto" w:fill="7B5A0A"/>
          </w:tcPr>
          <w:p w:rsidR="00920539" w:rsidRDefault="00920539"/>
        </w:tc>
        <w:tc>
          <w:tcPr>
            <w:tcW w:w="8674" w:type="dxa"/>
            <w:tcBorders>
              <w:top w:val="nil"/>
              <w:left w:val="nil"/>
              <w:bottom w:val="single" w:sz="4" w:space="0" w:color="CCCCCC"/>
              <w:right w:val="nil"/>
            </w:tcBorders>
            <w:shd w:val="clear" w:color="auto" w:fill="7B5A0A"/>
            <w:vAlign w:val="center"/>
          </w:tcPr>
          <w:p w:rsidR="00920539" w:rsidRDefault="0019433D">
            <w:pPr>
              <w:ind w:left="1610"/>
            </w:pPr>
            <w:r>
              <w:rPr>
                <w:rFonts w:ascii="Arial" w:eastAsia="Arial" w:hAnsi="Arial" w:cs="Arial"/>
                <w:b/>
                <w:color w:val="FFFFFF"/>
                <w:sz w:val="20"/>
              </w:rPr>
              <w:t>INSIGHT 3 — Seasonal Pattern Confirmed</w:t>
            </w:r>
          </w:p>
        </w:tc>
      </w:tr>
      <w:tr w:rsidR="00920539">
        <w:trPr>
          <w:trHeight w:val="880"/>
        </w:trPr>
        <w:tc>
          <w:tcPr>
            <w:tcW w:w="1247" w:type="dxa"/>
            <w:tcBorders>
              <w:top w:val="single" w:sz="4" w:space="0" w:color="CCCCCC"/>
              <w:left w:val="single" w:sz="4" w:space="0" w:color="CCCCCC"/>
              <w:bottom w:val="single" w:sz="4" w:space="0" w:color="CCCCCC"/>
              <w:right w:val="single" w:sz="4" w:space="0" w:color="CCCCCC"/>
            </w:tcBorders>
            <w:shd w:val="clear" w:color="auto" w:fill="ECF0F1"/>
          </w:tcPr>
          <w:p w:rsidR="00920539" w:rsidRDefault="0019433D">
            <w:r>
              <w:rPr>
                <w:rFonts w:ascii="Arial" w:eastAsia="Arial" w:hAnsi="Arial" w:cs="Arial"/>
                <w:b/>
                <w:color w:val="7B5A0A"/>
                <w:sz w:val="18"/>
              </w:rPr>
              <w:t>Finding</w:t>
            </w:r>
          </w:p>
        </w:tc>
        <w:tc>
          <w:tcPr>
            <w:tcW w:w="8674"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pPr>
              <w:jc w:val="both"/>
            </w:pPr>
            <w:r>
              <w:rPr>
                <w:rFonts w:ascii="Arial" w:eastAsia="Arial" w:hAnsi="Arial" w:cs="Arial"/>
                <w:color w:val="1A1A2E"/>
                <w:sz w:val="18"/>
              </w:rPr>
              <w:t>Monthly trend analysis across 12 months shows a consistent seasonal curve. Peak ROI month: Jan-24 (732%). Trough: Mar-24 (-47%). Spread of 780pp across the year.</w:t>
            </w:r>
          </w:p>
        </w:tc>
      </w:tr>
      <w:tr w:rsidR="00920539">
        <w:trPr>
          <w:trHeight w:val="1160"/>
        </w:trPr>
        <w:tc>
          <w:tcPr>
            <w:tcW w:w="1247" w:type="dxa"/>
            <w:tcBorders>
              <w:top w:val="single" w:sz="4" w:space="0" w:color="CCCCCC"/>
              <w:left w:val="single" w:sz="4" w:space="0" w:color="CCCCCC"/>
              <w:bottom w:val="single" w:sz="4" w:space="0" w:color="CCCCCC"/>
              <w:right w:val="single" w:sz="4" w:space="0" w:color="CCCCCC"/>
            </w:tcBorders>
            <w:shd w:val="clear" w:color="auto" w:fill="ECF0F1"/>
          </w:tcPr>
          <w:p w:rsidR="00920539" w:rsidRDefault="0019433D">
            <w:r>
              <w:rPr>
                <w:rFonts w:ascii="Arial" w:eastAsia="Arial" w:hAnsi="Arial" w:cs="Arial"/>
                <w:b/>
                <w:color w:val="7B5A0A"/>
                <w:sz w:val="18"/>
              </w:rPr>
              <w:t>Actions</w:t>
            </w:r>
          </w:p>
        </w:tc>
        <w:tc>
          <w:tcPr>
            <w:tcW w:w="8674"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920539" w:rsidRDefault="0019433D">
            <w:pPr>
              <w:numPr>
                <w:ilvl w:val="0"/>
                <w:numId w:val="4"/>
              </w:numPr>
              <w:spacing w:after="56"/>
              <w:ind w:hanging="113"/>
            </w:pPr>
            <w:r>
              <w:rPr>
                <w:rFonts w:ascii="Arial" w:eastAsia="Arial" w:hAnsi="Arial" w:cs="Arial"/>
                <w:color w:val="1A1A2E"/>
                <w:sz w:val="18"/>
              </w:rPr>
              <w:t>Front-load 35% of annual budget into Q4</w:t>
            </w:r>
          </w:p>
          <w:p w:rsidR="00920539" w:rsidRDefault="0019433D">
            <w:pPr>
              <w:numPr>
                <w:ilvl w:val="0"/>
                <w:numId w:val="4"/>
              </w:numPr>
              <w:spacing w:after="56"/>
              <w:ind w:hanging="113"/>
            </w:pPr>
            <w:r>
              <w:rPr>
                <w:rFonts w:ascii="Arial" w:eastAsia="Arial" w:hAnsi="Arial" w:cs="Arial"/>
                <w:color w:val="1A1A2E"/>
                <w:sz w:val="18"/>
              </w:rPr>
              <w:t>Lock all Q4 placements by October 1st</w:t>
            </w:r>
          </w:p>
          <w:p w:rsidR="00920539" w:rsidRDefault="0019433D">
            <w:pPr>
              <w:numPr>
                <w:ilvl w:val="0"/>
                <w:numId w:val="4"/>
              </w:numPr>
              <w:ind w:hanging="113"/>
            </w:pPr>
            <w:r>
              <w:rPr>
                <w:rFonts w:ascii="Arial" w:eastAsia="Arial" w:hAnsi="Arial" w:cs="Arial"/>
                <w:color w:val="1A1A2E"/>
                <w:sz w:val="18"/>
              </w:rPr>
              <w:t>Pre-build creatives in September, avoid reactive Q4 production</w:t>
            </w:r>
          </w:p>
        </w:tc>
      </w:tr>
    </w:tbl>
    <w:p w:rsidR="00920539" w:rsidRDefault="0019433D">
      <w:pPr>
        <w:pStyle w:val="Heading1"/>
        <w:ind w:left="409" w:hanging="289"/>
      </w:pPr>
      <w:r>
        <w:t>METHODOLOGY NOTES</w:t>
      </w:r>
    </w:p>
    <w:p w:rsidR="00920539" w:rsidRDefault="0019433D">
      <w:pPr>
        <w:spacing w:after="241"/>
        <w:ind w:left="135"/>
      </w:pPr>
      <w:r>
        <w:rPr>
          <w:noProof/>
        </w:rPr>
        <mc:AlternateContent>
          <mc:Choice Requires="wpg">
            <w:drawing>
              <wp:inline distT="0" distB="0" distL="0" distR="0">
                <wp:extent cx="5823601" cy="25400"/>
                <wp:effectExtent l="0" t="0" r="0" b="0"/>
                <wp:docPr id="4928" name="Group 4928"/>
                <wp:cNvGraphicFramePr/>
                <a:graphic xmlns:a="http://schemas.openxmlformats.org/drawingml/2006/main">
                  <a:graphicData uri="http://schemas.microsoft.com/office/word/2010/wordprocessingGroup">
                    <wpg:wgp>
                      <wpg:cNvGrpSpPr/>
                      <wpg:grpSpPr>
                        <a:xfrm>
                          <a:off x="0" y="0"/>
                          <a:ext cx="5823601" cy="25400"/>
                          <a:chOff x="0" y="0"/>
                          <a:chExt cx="5823601" cy="25400"/>
                        </a:xfrm>
                      </wpg:grpSpPr>
                      <wps:wsp>
                        <wps:cNvPr id="353" name="Shape 353"/>
                        <wps:cNvSpPr/>
                        <wps:spPr>
                          <a:xfrm>
                            <a:off x="0" y="0"/>
                            <a:ext cx="5823601" cy="0"/>
                          </a:xfrm>
                          <a:custGeom>
                            <a:avLst/>
                            <a:gdLst/>
                            <a:ahLst/>
                            <a:cxnLst/>
                            <a:rect l="0" t="0" r="0" b="0"/>
                            <a:pathLst>
                              <a:path w="5823601">
                                <a:moveTo>
                                  <a:pt x="0" y="0"/>
                                </a:moveTo>
                                <a:lnTo>
                                  <a:pt x="5823601" y="0"/>
                                </a:lnTo>
                              </a:path>
                            </a:pathLst>
                          </a:custGeom>
                          <a:ln w="2540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28" style="width:458.551pt;height:2pt;mso-position-horizontal-relative:char;mso-position-vertical-relative:line" coordsize="58236,254">
                <v:shape id="Shape 353" style="position:absolute;width:58236;height:0;left:0;top:0;" coordsize="5823601,0" path="m0,0l5823601,0">
                  <v:stroke weight="2pt" endcap="round" joinstyle="miter" miterlimit="10" on="true" color="#1a1a2e"/>
                  <v:fill on="false" color="#000000" opacity="0"/>
                </v:shape>
              </v:group>
            </w:pict>
          </mc:Fallback>
        </mc:AlternateContent>
      </w:r>
    </w:p>
    <w:p w:rsidR="00920539" w:rsidRDefault="0019433D">
      <w:pPr>
        <w:numPr>
          <w:ilvl w:val="0"/>
          <w:numId w:val="1"/>
        </w:numPr>
        <w:spacing w:after="128" w:line="265" w:lineRule="auto"/>
        <w:ind w:hanging="113"/>
      </w:pPr>
      <w:r>
        <w:rPr>
          <w:rFonts w:ascii="Arial" w:eastAsia="Arial" w:hAnsi="Arial" w:cs="Arial"/>
          <w:color w:val="1A1A2E"/>
          <w:sz w:val="18"/>
        </w:rPr>
        <w:t>Attribution model: Last-click single-touch (platform-reported)</w:t>
      </w:r>
    </w:p>
    <w:p w:rsidR="00920539" w:rsidRDefault="0019433D">
      <w:pPr>
        <w:numPr>
          <w:ilvl w:val="0"/>
          <w:numId w:val="1"/>
        </w:numPr>
        <w:spacing w:after="128" w:line="265" w:lineRule="auto"/>
        <w:ind w:hanging="113"/>
      </w:pPr>
      <w:r>
        <w:rPr>
          <w:rFonts w:ascii="Arial" w:eastAsia="Arial" w:hAnsi="Arial" w:cs="Arial"/>
          <w:color w:val="1A1A2E"/>
          <w:sz w:val="18"/>
        </w:rPr>
        <w:t>FX conversion: Meta USD spend × 0.79 GBP/USD (FY2024 average spot rate)</w:t>
      </w:r>
    </w:p>
    <w:p w:rsidR="00920539" w:rsidRDefault="0019433D">
      <w:pPr>
        <w:numPr>
          <w:ilvl w:val="0"/>
          <w:numId w:val="1"/>
        </w:numPr>
        <w:spacing w:after="128" w:line="265" w:lineRule="auto"/>
        <w:ind w:hanging="113"/>
      </w:pPr>
      <w:r>
        <w:rPr>
          <w:rFonts w:ascii="Arial" w:eastAsia="Arial" w:hAnsi="Arial" w:cs="Arial"/>
          <w:color w:val="1A1A2E"/>
          <w:sz w:val="18"/>
        </w:rPr>
        <w:t>Anomaly threshold: CTR&gt;50% | revenue&gt;£500K per row | conversions &gt; clicks</w:t>
      </w:r>
    </w:p>
    <w:p w:rsidR="00920539" w:rsidRDefault="0019433D">
      <w:pPr>
        <w:numPr>
          <w:ilvl w:val="0"/>
          <w:numId w:val="1"/>
        </w:numPr>
        <w:spacing w:after="128" w:line="265" w:lineRule="auto"/>
        <w:ind w:hanging="113"/>
      </w:pPr>
      <w:r>
        <w:rPr>
          <w:rFonts w:ascii="Arial" w:eastAsia="Arial" w:hAnsi="Arial" w:cs="Arial"/>
          <w:color w:val="1A1A2E"/>
          <w:sz w:val="18"/>
        </w:rPr>
        <w:t>Deduplication key: date + campaign + device + region per source</w:t>
      </w:r>
    </w:p>
    <w:p w:rsidR="00920539" w:rsidRDefault="0019433D">
      <w:pPr>
        <w:numPr>
          <w:ilvl w:val="0"/>
          <w:numId w:val="1"/>
        </w:numPr>
        <w:spacing w:after="258" w:line="265" w:lineRule="auto"/>
        <w:ind w:hanging="113"/>
      </w:pPr>
      <w:r>
        <w:rPr>
          <w:rFonts w:ascii="Arial" w:eastAsia="Arial" w:hAnsi="Arial" w:cs="Arial"/>
          <w:color w:val="1A1A2E"/>
          <w:sz w:val="18"/>
        </w:rPr>
        <w:t>Quarantine file retained: 217 rows preserved for audit, not destroyed</w:t>
      </w:r>
    </w:p>
    <w:p w:rsidR="00920539" w:rsidRDefault="0019433D">
      <w:pPr>
        <w:spacing w:after="71"/>
        <w:ind w:left="135"/>
      </w:pPr>
      <w:r>
        <w:rPr>
          <w:noProof/>
        </w:rPr>
        <mc:AlternateContent>
          <mc:Choice Requires="wpg">
            <w:drawing>
              <wp:inline distT="0" distB="0" distL="0" distR="0">
                <wp:extent cx="5823601" cy="25400"/>
                <wp:effectExtent l="0" t="0" r="0" b="0"/>
                <wp:docPr id="4929" name="Group 4929"/>
                <wp:cNvGraphicFramePr/>
                <a:graphic xmlns:a="http://schemas.openxmlformats.org/drawingml/2006/main">
                  <a:graphicData uri="http://schemas.microsoft.com/office/word/2010/wordprocessingGroup">
                    <wpg:wgp>
                      <wpg:cNvGrpSpPr/>
                      <wpg:grpSpPr>
                        <a:xfrm>
                          <a:off x="0" y="0"/>
                          <a:ext cx="5823601" cy="25400"/>
                          <a:chOff x="0" y="0"/>
                          <a:chExt cx="5823601" cy="25400"/>
                        </a:xfrm>
                      </wpg:grpSpPr>
                      <wps:wsp>
                        <wps:cNvPr id="359" name="Shape 359"/>
                        <wps:cNvSpPr/>
                        <wps:spPr>
                          <a:xfrm>
                            <a:off x="0" y="0"/>
                            <a:ext cx="5823601" cy="0"/>
                          </a:xfrm>
                          <a:custGeom>
                            <a:avLst/>
                            <a:gdLst/>
                            <a:ahLst/>
                            <a:cxnLst/>
                            <a:rect l="0" t="0" r="0" b="0"/>
                            <a:pathLst>
                              <a:path w="5823601">
                                <a:moveTo>
                                  <a:pt x="0" y="0"/>
                                </a:moveTo>
                                <a:lnTo>
                                  <a:pt x="5823601" y="0"/>
                                </a:lnTo>
                              </a:path>
                            </a:pathLst>
                          </a:custGeom>
                          <a:ln w="25400" cap="rnd">
                            <a:miter lim="127000"/>
                          </a:ln>
                        </wps:spPr>
                        <wps:style>
                          <a:lnRef idx="1">
                            <a:srgbClr val="6B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29" style="width:458.551pt;height:2pt;mso-position-horizontal-relative:char;mso-position-vertical-relative:line" coordsize="58236,254">
                <v:shape id="Shape 359" style="position:absolute;width:58236;height:0;left:0;top:0;" coordsize="5823601,0" path="m0,0l5823601,0">
                  <v:stroke weight="2pt" endcap="round" joinstyle="miter" miterlimit="10" on="true" color="#6b0000"/>
                  <v:fill on="false" color="#000000" opacity="0"/>
                </v:shape>
              </v:group>
            </w:pict>
          </mc:Fallback>
        </mc:AlternateContent>
      </w:r>
    </w:p>
    <w:p w:rsidR="00920539" w:rsidRDefault="00920539">
      <w:pPr>
        <w:spacing w:after="0"/>
        <w:ind w:right="3390"/>
        <w:jc w:val="right"/>
      </w:pPr>
    </w:p>
    <w:sectPr w:rsidR="00920539" w:rsidSect="00116776">
      <w:pgSz w:w="11906" w:h="16838"/>
      <w:pgMar w:top="1254" w:right="0" w:bottom="1625" w:left="2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8A4D49"/>
    <w:multiLevelType w:val="hybridMultilevel"/>
    <w:tmpl w:val="43687DCA"/>
    <w:lvl w:ilvl="0" w:tplc="1BB4202E">
      <w:start w:val="1"/>
      <w:numFmt w:val="decimal"/>
      <w:pStyle w:val="Heading1"/>
      <w:lvlText w:val="%1."/>
      <w:lvlJc w:val="left"/>
      <w:pPr>
        <w:ind w:left="0"/>
      </w:pPr>
      <w:rPr>
        <w:rFonts w:ascii="Arial" w:eastAsia="Arial" w:hAnsi="Arial" w:cs="Arial"/>
        <w:b/>
        <w:bCs/>
        <w:i w:val="0"/>
        <w:strike w:val="0"/>
        <w:dstrike w:val="0"/>
        <w:color w:val="1A1A2E"/>
        <w:sz w:val="26"/>
        <w:szCs w:val="26"/>
        <w:u w:val="none" w:color="000000"/>
        <w:bdr w:val="none" w:sz="0" w:space="0" w:color="auto"/>
        <w:shd w:val="clear" w:color="auto" w:fill="auto"/>
        <w:vertAlign w:val="baseline"/>
      </w:rPr>
    </w:lvl>
    <w:lvl w:ilvl="1" w:tplc="FF7A73FE">
      <w:start w:val="1"/>
      <w:numFmt w:val="lowerLetter"/>
      <w:lvlText w:val="%2"/>
      <w:lvlJc w:val="left"/>
      <w:pPr>
        <w:ind w:left="1080"/>
      </w:pPr>
      <w:rPr>
        <w:rFonts w:ascii="Arial" w:eastAsia="Arial" w:hAnsi="Arial" w:cs="Arial"/>
        <w:b/>
        <w:bCs/>
        <w:i w:val="0"/>
        <w:strike w:val="0"/>
        <w:dstrike w:val="0"/>
        <w:color w:val="1A1A2E"/>
        <w:sz w:val="26"/>
        <w:szCs w:val="26"/>
        <w:u w:val="none" w:color="000000"/>
        <w:bdr w:val="none" w:sz="0" w:space="0" w:color="auto"/>
        <w:shd w:val="clear" w:color="auto" w:fill="auto"/>
        <w:vertAlign w:val="baseline"/>
      </w:rPr>
    </w:lvl>
    <w:lvl w:ilvl="2" w:tplc="6256F8F2">
      <w:start w:val="1"/>
      <w:numFmt w:val="lowerRoman"/>
      <w:lvlText w:val="%3"/>
      <w:lvlJc w:val="left"/>
      <w:pPr>
        <w:ind w:left="1800"/>
      </w:pPr>
      <w:rPr>
        <w:rFonts w:ascii="Arial" w:eastAsia="Arial" w:hAnsi="Arial" w:cs="Arial"/>
        <w:b/>
        <w:bCs/>
        <w:i w:val="0"/>
        <w:strike w:val="0"/>
        <w:dstrike w:val="0"/>
        <w:color w:val="1A1A2E"/>
        <w:sz w:val="26"/>
        <w:szCs w:val="26"/>
        <w:u w:val="none" w:color="000000"/>
        <w:bdr w:val="none" w:sz="0" w:space="0" w:color="auto"/>
        <w:shd w:val="clear" w:color="auto" w:fill="auto"/>
        <w:vertAlign w:val="baseline"/>
      </w:rPr>
    </w:lvl>
    <w:lvl w:ilvl="3" w:tplc="0C9C0CB0">
      <w:start w:val="1"/>
      <w:numFmt w:val="decimal"/>
      <w:lvlText w:val="%4"/>
      <w:lvlJc w:val="left"/>
      <w:pPr>
        <w:ind w:left="2520"/>
      </w:pPr>
      <w:rPr>
        <w:rFonts w:ascii="Arial" w:eastAsia="Arial" w:hAnsi="Arial" w:cs="Arial"/>
        <w:b/>
        <w:bCs/>
        <w:i w:val="0"/>
        <w:strike w:val="0"/>
        <w:dstrike w:val="0"/>
        <w:color w:val="1A1A2E"/>
        <w:sz w:val="26"/>
        <w:szCs w:val="26"/>
        <w:u w:val="none" w:color="000000"/>
        <w:bdr w:val="none" w:sz="0" w:space="0" w:color="auto"/>
        <w:shd w:val="clear" w:color="auto" w:fill="auto"/>
        <w:vertAlign w:val="baseline"/>
      </w:rPr>
    </w:lvl>
    <w:lvl w:ilvl="4" w:tplc="0248C388">
      <w:start w:val="1"/>
      <w:numFmt w:val="lowerLetter"/>
      <w:lvlText w:val="%5"/>
      <w:lvlJc w:val="left"/>
      <w:pPr>
        <w:ind w:left="3240"/>
      </w:pPr>
      <w:rPr>
        <w:rFonts w:ascii="Arial" w:eastAsia="Arial" w:hAnsi="Arial" w:cs="Arial"/>
        <w:b/>
        <w:bCs/>
        <w:i w:val="0"/>
        <w:strike w:val="0"/>
        <w:dstrike w:val="0"/>
        <w:color w:val="1A1A2E"/>
        <w:sz w:val="26"/>
        <w:szCs w:val="26"/>
        <w:u w:val="none" w:color="000000"/>
        <w:bdr w:val="none" w:sz="0" w:space="0" w:color="auto"/>
        <w:shd w:val="clear" w:color="auto" w:fill="auto"/>
        <w:vertAlign w:val="baseline"/>
      </w:rPr>
    </w:lvl>
    <w:lvl w:ilvl="5" w:tplc="EFC29DE6">
      <w:start w:val="1"/>
      <w:numFmt w:val="lowerRoman"/>
      <w:lvlText w:val="%6"/>
      <w:lvlJc w:val="left"/>
      <w:pPr>
        <w:ind w:left="3960"/>
      </w:pPr>
      <w:rPr>
        <w:rFonts w:ascii="Arial" w:eastAsia="Arial" w:hAnsi="Arial" w:cs="Arial"/>
        <w:b/>
        <w:bCs/>
        <w:i w:val="0"/>
        <w:strike w:val="0"/>
        <w:dstrike w:val="0"/>
        <w:color w:val="1A1A2E"/>
        <w:sz w:val="26"/>
        <w:szCs w:val="26"/>
        <w:u w:val="none" w:color="000000"/>
        <w:bdr w:val="none" w:sz="0" w:space="0" w:color="auto"/>
        <w:shd w:val="clear" w:color="auto" w:fill="auto"/>
        <w:vertAlign w:val="baseline"/>
      </w:rPr>
    </w:lvl>
    <w:lvl w:ilvl="6" w:tplc="155CC924">
      <w:start w:val="1"/>
      <w:numFmt w:val="decimal"/>
      <w:lvlText w:val="%7"/>
      <w:lvlJc w:val="left"/>
      <w:pPr>
        <w:ind w:left="4680"/>
      </w:pPr>
      <w:rPr>
        <w:rFonts w:ascii="Arial" w:eastAsia="Arial" w:hAnsi="Arial" w:cs="Arial"/>
        <w:b/>
        <w:bCs/>
        <w:i w:val="0"/>
        <w:strike w:val="0"/>
        <w:dstrike w:val="0"/>
        <w:color w:val="1A1A2E"/>
        <w:sz w:val="26"/>
        <w:szCs w:val="26"/>
        <w:u w:val="none" w:color="000000"/>
        <w:bdr w:val="none" w:sz="0" w:space="0" w:color="auto"/>
        <w:shd w:val="clear" w:color="auto" w:fill="auto"/>
        <w:vertAlign w:val="baseline"/>
      </w:rPr>
    </w:lvl>
    <w:lvl w:ilvl="7" w:tplc="215C19D8">
      <w:start w:val="1"/>
      <w:numFmt w:val="lowerLetter"/>
      <w:lvlText w:val="%8"/>
      <w:lvlJc w:val="left"/>
      <w:pPr>
        <w:ind w:left="5400"/>
      </w:pPr>
      <w:rPr>
        <w:rFonts w:ascii="Arial" w:eastAsia="Arial" w:hAnsi="Arial" w:cs="Arial"/>
        <w:b/>
        <w:bCs/>
        <w:i w:val="0"/>
        <w:strike w:val="0"/>
        <w:dstrike w:val="0"/>
        <w:color w:val="1A1A2E"/>
        <w:sz w:val="26"/>
        <w:szCs w:val="26"/>
        <w:u w:val="none" w:color="000000"/>
        <w:bdr w:val="none" w:sz="0" w:space="0" w:color="auto"/>
        <w:shd w:val="clear" w:color="auto" w:fill="auto"/>
        <w:vertAlign w:val="baseline"/>
      </w:rPr>
    </w:lvl>
    <w:lvl w:ilvl="8" w:tplc="EC5C212A">
      <w:start w:val="1"/>
      <w:numFmt w:val="lowerRoman"/>
      <w:lvlText w:val="%9"/>
      <w:lvlJc w:val="left"/>
      <w:pPr>
        <w:ind w:left="6120"/>
      </w:pPr>
      <w:rPr>
        <w:rFonts w:ascii="Arial" w:eastAsia="Arial" w:hAnsi="Arial" w:cs="Arial"/>
        <w:b/>
        <w:bCs/>
        <w:i w:val="0"/>
        <w:strike w:val="0"/>
        <w:dstrike w:val="0"/>
        <w:color w:val="1A1A2E"/>
        <w:sz w:val="26"/>
        <w:szCs w:val="26"/>
        <w:u w:val="none" w:color="000000"/>
        <w:bdr w:val="none" w:sz="0" w:space="0" w:color="auto"/>
        <w:shd w:val="clear" w:color="auto" w:fill="auto"/>
        <w:vertAlign w:val="baseline"/>
      </w:rPr>
    </w:lvl>
  </w:abstractNum>
  <w:abstractNum w:abstractNumId="1" w15:restartNumberingAfterBreak="0">
    <w:nsid w:val="34C81C81"/>
    <w:multiLevelType w:val="hybridMultilevel"/>
    <w:tmpl w:val="743ECB34"/>
    <w:lvl w:ilvl="0" w:tplc="02FCB4DE">
      <w:start w:val="1"/>
      <w:numFmt w:val="bullet"/>
      <w:lvlText w:val="•"/>
      <w:lvlJc w:val="left"/>
      <w:pPr>
        <w:ind w:left="113"/>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1" w:tplc="38EE81BE">
      <w:start w:val="1"/>
      <w:numFmt w:val="bullet"/>
      <w:lvlText w:val="o"/>
      <w:lvlJc w:val="left"/>
      <w:pPr>
        <w:ind w:left="120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2" w:tplc="B9F469BA">
      <w:start w:val="1"/>
      <w:numFmt w:val="bullet"/>
      <w:lvlText w:val="▪"/>
      <w:lvlJc w:val="left"/>
      <w:pPr>
        <w:ind w:left="192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3" w:tplc="A054273A">
      <w:start w:val="1"/>
      <w:numFmt w:val="bullet"/>
      <w:lvlText w:val="•"/>
      <w:lvlJc w:val="left"/>
      <w:pPr>
        <w:ind w:left="264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4" w:tplc="26C23B9E">
      <w:start w:val="1"/>
      <w:numFmt w:val="bullet"/>
      <w:lvlText w:val="o"/>
      <w:lvlJc w:val="left"/>
      <w:pPr>
        <w:ind w:left="336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5" w:tplc="AB40464E">
      <w:start w:val="1"/>
      <w:numFmt w:val="bullet"/>
      <w:lvlText w:val="▪"/>
      <w:lvlJc w:val="left"/>
      <w:pPr>
        <w:ind w:left="408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6" w:tplc="73B2FA46">
      <w:start w:val="1"/>
      <w:numFmt w:val="bullet"/>
      <w:lvlText w:val="•"/>
      <w:lvlJc w:val="left"/>
      <w:pPr>
        <w:ind w:left="480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7" w:tplc="1C9E4F5A">
      <w:start w:val="1"/>
      <w:numFmt w:val="bullet"/>
      <w:lvlText w:val="o"/>
      <w:lvlJc w:val="left"/>
      <w:pPr>
        <w:ind w:left="552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8" w:tplc="A1862492">
      <w:start w:val="1"/>
      <w:numFmt w:val="bullet"/>
      <w:lvlText w:val="▪"/>
      <w:lvlJc w:val="left"/>
      <w:pPr>
        <w:ind w:left="624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abstractNum>
  <w:abstractNum w:abstractNumId="2" w15:restartNumberingAfterBreak="0">
    <w:nsid w:val="621C147B"/>
    <w:multiLevelType w:val="hybridMultilevel"/>
    <w:tmpl w:val="D7267704"/>
    <w:lvl w:ilvl="0" w:tplc="4D809654">
      <w:start w:val="1"/>
      <w:numFmt w:val="bullet"/>
      <w:lvlText w:val="•"/>
      <w:lvlJc w:val="left"/>
      <w:pPr>
        <w:ind w:left="113"/>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1" w:tplc="86ACF24C">
      <w:start w:val="1"/>
      <w:numFmt w:val="bullet"/>
      <w:lvlText w:val="o"/>
      <w:lvlJc w:val="left"/>
      <w:pPr>
        <w:ind w:left="120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2" w:tplc="F8965E00">
      <w:start w:val="1"/>
      <w:numFmt w:val="bullet"/>
      <w:lvlText w:val="▪"/>
      <w:lvlJc w:val="left"/>
      <w:pPr>
        <w:ind w:left="192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3" w:tplc="C49ABD8E">
      <w:start w:val="1"/>
      <w:numFmt w:val="bullet"/>
      <w:lvlText w:val="•"/>
      <w:lvlJc w:val="left"/>
      <w:pPr>
        <w:ind w:left="264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4" w:tplc="882CA3B4">
      <w:start w:val="1"/>
      <w:numFmt w:val="bullet"/>
      <w:lvlText w:val="o"/>
      <w:lvlJc w:val="left"/>
      <w:pPr>
        <w:ind w:left="336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5" w:tplc="ADA29E9C">
      <w:start w:val="1"/>
      <w:numFmt w:val="bullet"/>
      <w:lvlText w:val="▪"/>
      <w:lvlJc w:val="left"/>
      <w:pPr>
        <w:ind w:left="408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6" w:tplc="74D4815C">
      <w:start w:val="1"/>
      <w:numFmt w:val="bullet"/>
      <w:lvlText w:val="•"/>
      <w:lvlJc w:val="left"/>
      <w:pPr>
        <w:ind w:left="480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7" w:tplc="3EEEAA4C">
      <w:start w:val="1"/>
      <w:numFmt w:val="bullet"/>
      <w:lvlText w:val="o"/>
      <w:lvlJc w:val="left"/>
      <w:pPr>
        <w:ind w:left="552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8" w:tplc="CB1A4250">
      <w:start w:val="1"/>
      <w:numFmt w:val="bullet"/>
      <w:lvlText w:val="▪"/>
      <w:lvlJc w:val="left"/>
      <w:pPr>
        <w:ind w:left="624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abstractNum>
  <w:abstractNum w:abstractNumId="3" w15:restartNumberingAfterBreak="0">
    <w:nsid w:val="6FF2675A"/>
    <w:multiLevelType w:val="hybridMultilevel"/>
    <w:tmpl w:val="64A6CDB6"/>
    <w:lvl w:ilvl="0" w:tplc="55921A32">
      <w:start w:val="1"/>
      <w:numFmt w:val="bullet"/>
      <w:lvlText w:val="•"/>
      <w:lvlJc w:val="left"/>
      <w:pPr>
        <w:ind w:left="513"/>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1" w:tplc="44AE589A">
      <w:start w:val="1"/>
      <w:numFmt w:val="bullet"/>
      <w:lvlText w:val="o"/>
      <w:lvlJc w:val="left"/>
      <w:pPr>
        <w:ind w:left="136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2" w:tplc="A2AAC7EC">
      <w:start w:val="1"/>
      <w:numFmt w:val="bullet"/>
      <w:lvlText w:val="▪"/>
      <w:lvlJc w:val="left"/>
      <w:pPr>
        <w:ind w:left="208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3" w:tplc="583EC17E">
      <w:start w:val="1"/>
      <w:numFmt w:val="bullet"/>
      <w:lvlText w:val="•"/>
      <w:lvlJc w:val="left"/>
      <w:pPr>
        <w:ind w:left="280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4" w:tplc="A870429E">
      <w:start w:val="1"/>
      <w:numFmt w:val="bullet"/>
      <w:lvlText w:val="o"/>
      <w:lvlJc w:val="left"/>
      <w:pPr>
        <w:ind w:left="352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5" w:tplc="0B16BDB6">
      <w:start w:val="1"/>
      <w:numFmt w:val="bullet"/>
      <w:lvlText w:val="▪"/>
      <w:lvlJc w:val="left"/>
      <w:pPr>
        <w:ind w:left="424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6" w:tplc="77080F64">
      <w:start w:val="1"/>
      <w:numFmt w:val="bullet"/>
      <w:lvlText w:val="•"/>
      <w:lvlJc w:val="left"/>
      <w:pPr>
        <w:ind w:left="496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7" w:tplc="BE4C1C34">
      <w:start w:val="1"/>
      <w:numFmt w:val="bullet"/>
      <w:lvlText w:val="o"/>
      <w:lvlJc w:val="left"/>
      <w:pPr>
        <w:ind w:left="568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8" w:tplc="50FC6526">
      <w:start w:val="1"/>
      <w:numFmt w:val="bullet"/>
      <w:lvlText w:val="▪"/>
      <w:lvlJc w:val="left"/>
      <w:pPr>
        <w:ind w:left="640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abstractNum>
  <w:abstractNum w:abstractNumId="4" w15:restartNumberingAfterBreak="0">
    <w:nsid w:val="78552F78"/>
    <w:multiLevelType w:val="hybridMultilevel"/>
    <w:tmpl w:val="850EF2F6"/>
    <w:lvl w:ilvl="0" w:tplc="7CDC8308">
      <w:start w:val="1"/>
      <w:numFmt w:val="bullet"/>
      <w:lvlText w:val="•"/>
      <w:lvlJc w:val="left"/>
      <w:pPr>
        <w:ind w:left="113"/>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1" w:tplc="578C162C">
      <w:start w:val="1"/>
      <w:numFmt w:val="bullet"/>
      <w:lvlText w:val="o"/>
      <w:lvlJc w:val="left"/>
      <w:pPr>
        <w:ind w:left="120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2" w:tplc="F592ADBC">
      <w:start w:val="1"/>
      <w:numFmt w:val="bullet"/>
      <w:lvlText w:val="▪"/>
      <w:lvlJc w:val="left"/>
      <w:pPr>
        <w:ind w:left="192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3" w:tplc="A2006BE8">
      <w:start w:val="1"/>
      <w:numFmt w:val="bullet"/>
      <w:lvlText w:val="•"/>
      <w:lvlJc w:val="left"/>
      <w:pPr>
        <w:ind w:left="264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4" w:tplc="16D8B3E2">
      <w:start w:val="1"/>
      <w:numFmt w:val="bullet"/>
      <w:lvlText w:val="o"/>
      <w:lvlJc w:val="left"/>
      <w:pPr>
        <w:ind w:left="336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5" w:tplc="64B83EB4">
      <w:start w:val="1"/>
      <w:numFmt w:val="bullet"/>
      <w:lvlText w:val="▪"/>
      <w:lvlJc w:val="left"/>
      <w:pPr>
        <w:ind w:left="408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6" w:tplc="DAE2C28C">
      <w:start w:val="1"/>
      <w:numFmt w:val="bullet"/>
      <w:lvlText w:val="•"/>
      <w:lvlJc w:val="left"/>
      <w:pPr>
        <w:ind w:left="480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7" w:tplc="072EB6E0">
      <w:start w:val="1"/>
      <w:numFmt w:val="bullet"/>
      <w:lvlText w:val="o"/>
      <w:lvlJc w:val="left"/>
      <w:pPr>
        <w:ind w:left="552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8" w:tplc="385A21CA">
      <w:start w:val="1"/>
      <w:numFmt w:val="bullet"/>
      <w:lvlText w:val="▪"/>
      <w:lvlJc w:val="left"/>
      <w:pPr>
        <w:ind w:left="624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539"/>
    <w:rsid w:val="00116776"/>
    <w:rsid w:val="0019433D"/>
    <w:rsid w:val="007F6813"/>
    <w:rsid w:val="00920539"/>
    <w:rsid w:val="00BD5C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AE4A6"/>
  <w15:docId w15:val="{5C4A303A-80BF-4D33-94DE-07D7BCE32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5"/>
      </w:numPr>
      <w:spacing w:after="0"/>
      <w:ind w:left="145" w:hanging="10"/>
      <w:outlineLvl w:val="0"/>
    </w:pPr>
    <w:rPr>
      <w:rFonts w:ascii="Arial" w:eastAsia="Arial" w:hAnsi="Arial" w:cs="Arial"/>
      <w:b/>
      <w:color w:val="1A1A2E"/>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A1A2E"/>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7F68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74678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(anonymous)</vt:lpstr>
    </vt:vector>
  </TitlesOfParts>
  <Company>HP</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Himank Dhamaniya</cp:lastModifiedBy>
  <cp:revision>4</cp:revision>
  <dcterms:created xsi:type="dcterms:W3CDTF">2026-03-26T16:48:00Z</dcterms:created>
  <dcterms:modified xsi:type="dcterms:W3CDTF">2026-03-26T16:52:00Z</dcterms:modified>
</cp:coreProperties>
</file>