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Summary using SANS template: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March 16, 2026, a high-severity vulnerability (CVE-2011-2523) was exploited against the internal VSFTPD service on host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10.0.2.3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attack utilized a known backdoor in version 2.3.4 to attempt unauthorized command execution. The SOC detected the activity via Wazuh, and the threat was neutralized through IP-based containment.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11:50:32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10.0.2.15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Escalated privileges 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15:02:10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10.0.2.15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VSFTPD Backdoor Exploit Initiated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 Triggered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15:05:00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CrowdSec Isolation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Attacker Blocked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 Cause &amp; Technical Analysis: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attacker used Metasploit’s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exploit/unix/ftp/vsftpd_234_backdoor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Initial attempts failed to spawn a new shell because the backdoor listener on port 6200/TCP was already occupied, indicating a persistent threat or a previous successful exploit. Wazuh logs confirmed unauthorized root-level access attempts (Rule 5402) and suspicious PAM sessions.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Remediations: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Patching: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Immediately upgrade VSFTPD to a version higher than 2.3.4.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Hardening: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a "Deny-All" ingress policy, only allowing port 21/22 from authorized administrative IPs.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Enabled automated active response in Wazuh to drop connections upon detection of T1190 techniques.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Briefing (Non-Technical):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security monitoring system which was supposed to be an act of security camera of the system (Wazuh) flagged an unauthorized attempt to access our file server this afternoon. A known weakness in our older file-transfer software was targeted to gain administrative control.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Taken: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SOC analyst identified the breach attempt within seconds.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Our defense tools (CrowdSec) automatically blocked the attacker’s IP address, preventing further data access.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have verified that the attacker is no longer able to communicate with our systems.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