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center"/>
        <w:rPr>
          <w:b w:val="1"/>
          <w:bCs w:val="1"/>
          <w:sz w:val="42"/>
          <w:szCs w:val="42"/>
        </w:rPr>
      </w:pPr>
      <w:r w:rsidDel="00000000" w:rsidR="00000000" w:rsidRPr="00000000">
        <w:rPr>
          <w:b w:val="1"/>
          <w:bCs w:val="1"/>
          <w:sz w:val="58"/>
          <w:szCs w:val="58"/>
          <w:u w:val="single"/>
          <w:rtl w:val="0"/>
        </w:rPr>
        <w:t xml:space="preserve">PROJECT REPORT:</w:t>
      </w:r>
      <w:r w:rsidDel="00000000" w:rsidR="00000000" w:rsidRPr="00000000">
        <w:rPr>
          <w:b w:val="1"/>
          <w:bCs w:val="1"/>
          <w:sz w:val="42"/>
          <w:szCs w:val="42"/>
          <w:rtl w:val="0"/>
        </w:rPr>
        <w:t xml:space="preserve"> </w:t>
      </w:r>
    </w:p>
    <w:p w:rsidR="00000000" w:rsidDel="00000000" w:rsidP="00000000" w:rsidRDefault="00000000" w:rsidRPr="00000000" w14:paraId="00000002">
      <w:pPr>
        <w:spacing w:after="240" w:before="240" w:lineRule="auto"/>
        <w:ind w:left="0" w:firstLine="0"/>
        <w:rPr>
          <w:sz w:val="36"/>
          <w:szCs w:val="36"/>
        </w:rPr>
      </w:pPr>
      <w:r w:rsidDel="00000000" w:rsidR="00000000" w:rsidRPr="00000000">
        <w:rPr>
          <w:rtl w:val="0"/>
        </w:rPr>
      </w:r>
    </w:p>
    <w:p w:rsidR="00000000" w:rsidDel="00000000" w:rsidP="00000000" w:rsidRDefault="00000000" w:rsidRPr="00000000" w14:paraId="00000003">
      <w:pPr>
        <w:spacing w:after="240" w:before="240" w:lineRule="auto"/>
        <w:ind w:left="0" w:firstLine="0"/>
        <w:rPr>
          <w:i w:val="1"/>
          <w:iCs w:val="1"/>
          <w:sz w:val="46"/>
          <w:szCs w:val="46"/>
        </w:rPr>
      </w:pPr>
      <w:r w:rsidDel="00000000" w:rsidR="00000000" w:rsidRPr="00000000">
        <w:rPr>
          <w:i w:val="1"/>
          <w:iCs w:val="1"/>
          <w:sz w:val="46"/>
          <w:szCs w:val="46"/>
          <w:rtl w:val="0"/>
        </w:rPr>
        <w:t xml:space="preserve">Poor digital communication can often lead to misunderstandings and serious consequences. For example, a student once sent a casual and unclear email to a professor regarding an assignment deadline without proper subject, greeting, or explanation. The professor misunderstood the message and assumed the student was being careless, which affected the student’s evaluation. This situation could have been avoided by using proper email etiquette, including a clear subject line, polite tone, and complete information. Being respectful and precise in digital communication is very important, especially in academic and professional settings. Clear communication helps avoid confusion, builds a positive impression, and ensures that the message is understood correctly. Therefore, students should always communicate thoughtfully and professionally in digital platforms. </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