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000000"/>
          <w:sz w:val="34"/>
        </w:rPr>
        <w:t>Benchmarking Self-Supervised Speech Representations, Learnable Layer Pooling, and Continuous Acoustic Telemetry for Multi-Corpus and Indic Speech Emotion Recognition</w:t>
      </w:r>
    </w:p>
    <w:p>
      <w:pPr>
        <w:spacing w:before="0" w:after="160"/>
        <w:jc w:val="center"/>
      </w:pPr>
      <w:r>
        <w:rPr>
          <w:rFonts w:ascii="Times New Roman" w:hAnsi="Times New Roman"/>
          <w:i/>
          <w:color w:val="000000"/>
          <w:sz w:val="22"/>
        </w:rPr>
        <w:t>A Speaker-Disjoint Multi-Corpus Benchmark Across CREMA-D, RAVDESS, SAVEE, TESS, and Native Hindi Speech</w:t>
      </w:r>
    </w:p>
    <w:p>
      <w:pPr>
        <w:spacing w:before="0" w:after="80"/>
        <w:jc w:val="center"/>
      </w:pPr>
      <w:r>
        <w:rPr>
          <w:rFonts w:ascii="Times New Roman" w:hAnsi="Times New Roman"/>
          <w:b/>
          <w:color w:val="000000"/>
          <w:sz w:val="20"/>
        </w:rPr>
        <w:t>Himanshi (Primary Researcher) and Deep Learning Research Team</w:t>
      </w:r>
    </w:p>
    <w:p>
      <w:pPr>
        <w:spacing w:before="0" w:after="280"/>
        <w:jc w:val="center"/>
      </w:pPr>
      <w:r>
        <w:rPr>
          <w:rFonts w:ascii="Times New Roman" w:hAnsi="Times New Roman"/>
          <w:i/>
          <w:color w:val="000000"/>
          <w:sz w:val="19"/>
        </w:rPr>
        <w:t>Department of Computer Science and Engineering</w:t>
        <w:br/>
        <w:t>Project Repository: speech_emotion_detection (Branch: develop-v3)</w:t>
      </w:r>
    </w:p>
    <w:p>
      <w:pPr>
        <w:spacing w:line="276" w:lineRule="auto" w:before="0" w:after="80"/>
        <w:ind w:left="504" w:right="504"/>
        <w:jc w:val="both"/>
      </w:pPr>
      <w:r>
        <w:rPr>
          <w:rFonts w:ascii="Times New Roman" w:hAnsi="Times New Roman"/>
          <w:b/>
          <w:color w:val="000000"/>
          <w:sz w:val="19"/>
        </w:rPr>
        <w:t xml:space="preserve">Abstract: </w:t>
      </w:r>
      <w:r>
        <w:rPr>
          <w:rFonts w:ascii="Times New Roman" w:hAnsi="Times New Roman"/>
          <w:color w:val="000000"/>
          <w:sz w:val="19"/>
        </w:rPr>
        <w:t>Speech Emotion Recognition (SER) is a core pursuit within affective computing, psychiatric assessment, and conversational AI. However, contemporary SER research confronts substantial methodological challenges. First, randomized dataset partitioning causes speaker identity leakage, which has been shown in paralinguistic literature [21] to inflate experimental accuracy by evaluating models on familiar vocal tract characteristics. Second, deep architectures remain vulnerable to acoustic overfitting when trained on constrained speaker cohorts. Third, the literature exhibits a pronounced concentration on Germanic and Romance languages, offering limited empirical evidence on cross-lingual transferability to morphologically rich Indic languages such as Hindi. Finally, categorical classification alone fails to provide granular, interpretable measurements of continuous vocal behaviour.</w:t>
        <w:br/>
        <w:br/>
        <w:t>To address these challenges, this study presents a standardized empirical evaluation comprising two decoupled experimental protocols across five speech corpora totaling 12,180 standardized audio recordings: (1) a multi-corpus English benchmark combining four established corpora (CREMA-D, RAVDESS, SAVEE, and TESS, totaling 11,318 canonical clips across 121 speakers) to evaluate cross-corpus generalization and layer-pooling dynamics under strict speaker-disjoint splits, and (2) a standalone cross-lingual transfer and native adaptation study on an Indic speech corpus (862 native Hindi utterances across 25 speakers curated from open-access sources). We enforce speaker-independent partitions with unseen test actors and prompt-disjoint splits to prevent data leakage. Inspired by the lightweight probing methodology used in the SUPERB benchmark [2], we implement a Learnable Weighted Layer Pooling mechanism coupled with a linear classification probe across the 12 transformer encoder blocks of a frozen self-supervised foundation backbone (HuBERT-Base, optimizing only 4,626 parameters, ~0.005% of network capacity). Empirical evaluation reveals that intermediate layers (Layers 9 to 11) receive 31.95% of the learned normalized pooling weight (with all 12 layer weights summing strictly to 100.00%), demonstrating that intermediate representations retain strong affective utility for downstream classification compared to early acoustic representations.</w:t>
        <w:br/>
        <w:br/>
        <w:t>Across the 1,701 pooled unseen multi-corpus test clips, Universal HuBERT achieves 68.31% aggregate accuracy (0.6779 Macro-F1, 68.61% UAR), alongside an unweighted corpus-level macro-average of 62.28% Accuracy and 61.93% UAR across the four diverse corpora. Furthermore, zero-shot cross-lingual evaluation of the English foundation model on the shared canonical subset of native Hindi speech yields 27.62% accuracy and 31.76% Unweighted Average Recall (UAR) against a 25.00% chance floor. Supervised native adaptation on the full 5-class Hindi space using a specialized CNN-BiLSTM architecture substantially increases test accuracy to 74.42% (75.19% via ensemble fusion) and UAR to 70.85% (70.56% ensemble) against a 20.00% chance floor (+46.80% single-model gain). Finally, an auxiliary Audio Behaviour Analysis Engine extracts continuous acoustic telemetry (syllabic speaking rate, pause frequency, RMS energy, and fundamental frequency variability) that provides statistically significant differentiation (ANOVA p &lt; 0.001) across emotion categories without asserting direct clinical psychological diagnosis. The complete system is deployed as an Apple Silicon accelerated microservice paired with a web application featuring real-time audio waveform visualization.</w:t>
      </w:r>
    </w:p>
    <w:p>
      <w:pPr>
        <w:spacing w:line="276" w:lineRule="auto" w:before="40" w:after="320"/>
        <w:ind w:left="504" w:right="504"/>
        <w:jc w:val="left"/>
      </w:pPr>
      <w:r>
        <w:rPr>
          <w:rFonts w:ascii="Times New Roman" w:hAnsi="Times New Roman"/>
          <w:b/>
          <w:color w:val="000000"/>
          <w:sz w:val="19"/>
        </w:rPr>
        <w:t xml:space="preserve">Keywords: </w:t>
      </w:r>
      <w:r>
        <w:rPr>
          <w:rFonts w:ascii="Times New Roman" w:hAnsi="Times New Roman"/>
          <w:color w:val="000000"/>
          <w:sz w:val="19"/>
        </w:rPr>
        <w:t>Speech Emotion Recognition, Self-Supervised Learning, Learnable Layer Pooling, Linear Probe, Hindi Speech Emotion, Cross-Lingual Transfer, Vocal Behaviour, Speaker Disjoint Split, HuBERT, Wav2Vec 2.0, CNN-BiLSTM.</w:t>
      </w:r>
    </w:p>
    <w:p>
      <w:pPr>
        <w:keepNext/>
        <w:spacing w:before="280" w:after="80"/>
        <w:jc w:val="left"/>
      </w:pPr>
      <w:r>
        <w:rPr>
          <w:rFonts w:ascii="Times New Roman" w:hAnsi="Times New Roman"/>
          <w:b/>
          <w:color w:val="000000"/>
          <w:sz w:val="24"/>
        </w:rPr>
        <w:t>1. Introduction &amp; Research Motivation</w:t>
      </w:r>
    </w:p>
    <w:p>
      <w:pPr>
        <w:spacing w:line="276" w:lineRule="auto" w:before="0" w:after="100"/>
        <w:jc w:val="both"/>
      </w:pPr>
      <w:r>
        <w:rPr>
          <w:rFonts w:ascii="Times New Roman" w:hAnsi="Times New Roman"/>
          <w:color w:val="000000"/>
          <w:sz w:val="19"/>
        </w:rPr>
        <w:t>Spoken human communication comprises both lexical content (the verbal message) and paralinguistic modulations (vocal tone, cadence, and inflection) [6], [16]. Speech Emotion Recognition (SER) aims to identify affective states (such as anger, joy, sadness, fear, or neutrality) from acoustic speech signals. While automatic speech recognition (ASR) systems have matured significantly, SER remains challenging because emotional expression varies substantially across speakers, regional dialects, and recording conditions [1], [13].</w:t>
      </w:r>
    </w:p>
    <w:p>
      <w:pPr>
        <w:keepNext/>
        <w:spacing w:before="200" w:after="60"/>
        <w:jc w:val="left"/>
      </w:pPr>
      <w:r>
        <w:rPr>
          <w:rFonts w:ascii="Times New Roman" w:hAnsi="Times New Roman"/>
          <w:b/>
          <w:color w:val="000000"/>
          <w:sz w:val="21"/>
        </w:rPr>
        <w:t>1.1 The Problem of Speaker Identity Leakage</w:t>
      </w:r>
    </w:p>
    <w:p>
      <w:pPr>
        <w:spacing w:line="276" w:lineRule="auto" w:before="0" w:after="100"/>
        <w:jc w:val="both"/>
      </w:pPr>
      <w:r>
        <w:rPr>
          <w:rFonts w:ascii="Times New Roman" w:hAnsi="Times New Roman"/>
          <w:color w:val="000000"/>
          <w:sz w:val="19"/>
        </w:rPr>
        <w:t>A critical limitation in existing SER benchmarks is the use of randomized cross-validation [16], [21]. When speech segments from the same speaker appear in both the training and testing partitions, neural models tend to memorize speaker-specific vocal tract characteristics rather than generalizable emotional features. Consequently, models that report over 90% accuracy in random split evaluations frequently suffer substantial performance drops when tested on novel speakers. Valid evaluation necessitates strict speaker-independent partitions in which test speakers are entirely withheld during training [15], [21].</w:t>
      </w:r>
    </w:p>
    <w:p>
      <w:pPr>
        <w:keepNext/>
        <w:spacing w:before="200" w:after="60"/>
        <w:jc w:val="left"/>
      </w:pPr>
      <w:r>
        <w:rPr>
          <w:rFonts w:ascii="Times New Roman" w:hAnsi="Times New Roman"/>
          <w:b/>
          <w:color w:val="000000"/>
          <w:sz w:val="21"/>
        </w:rPr>
        <w:t>1.2 Indic and Low-Resource Language Representation</w:t>
      </w:r>
    </w:p>
    <w:p>
      <w:pPr>
        <w:spacing w:line="276" w:lineRule="auto" w:before="0" w:after="100"/>
        <w:jc w:val="both"/>
      </w:pPr>
      <w:r>
        <w:rPr>
          <w:rFonts w:ascii="Times New Roman" w:hAnsi="Times New Roman"/>
          <w:color w:val="000000"/>
          <w:sz w:val="19"/>
        </w:rPr>
        <w:t>Most accessible SER benchmarks rely on English (e.g., IEMOCAP [28], RAVDESS [18], CREMA-D [17], SAVEE [19], TESS [20]) or German (e.g., EMO-DB) [16]. Indic languages, spoken by over 1.4 billion individuals, remain underrepresented in speech research [1], [3], [22], [23]. Hindi exhibits distinctive phonological properties, including phonemic vowel length contrasts, retroflex consonants, and syllable-timed stress patterns, which diverge from English speech dynamics [3], [4], [5]. Establishing whether pre-trained English acoustic models transfer to Hindi speech, and measuring the quantitative improvement achievable through supervised adaptation, is essential for multilingual affective computing [1], [18], [22].</w:t>
      </w:r>
    </w:p>
    <w:p>
      <w:pPr>
        <w:keepNext/>
        <w:spacing w:before="200" w:after="60"/>
        <w:jc w:val="left"/>
      </w:pPr>
      <w:r>
        <w:rPr>
          <w:rFonts w:ascii="Times New Roman" w:hAnsi="Times New Roman"/>
          <w:b/>
          <w:color w:val="000000"/>
          <w:sz w:val="21"/>
        </w:rPr>
        <w:t>1.3 Interpretable Acoustic Behavioural Telemetry</w:t>
      </w:r>
    </w:p>
    <w:p>
      <w:pPr>
        <w:spacing w:line="276" w:lineRule="auto" w:before="0" w:after="100"/>
        <w:jc w:val="both"/>
      </w:pPr>
      <w:r>
        <w:rPr>
          <w:rFonts w:ascii="Times New Roman" w:hAnsi="Times New Roman"/>
          <w:color w:val="000000"/>
          <w:sz w:val="19"/>
        </w:rPr>
        <w:t>Standard SER architectures typically output discrete emotion class probabilities, such as P(Happy) = 0.85. However, conversational systems, tele-counseling interfaces, and voice user interfaces benefit from continuous, interpretable acoustic measurements to assess measurable vocal behaviour without asserting direct clinical psychological diagnoses [5], [11], [12]:</w:t>
      </w:r>
    </w:p>
    <w:p>
      <w:pPr>
        <w:spacing w:line="269" w:lineRule="auto" w:before="20" w:after="50"/>
        <w:ind w:left="360"/>
        <w:jc w:val="left"/>
      </w:pPr>
      <w:r>
        <w:rPr>
          <w:rFonts w:ascii="Times New Roman" w:hAnsi="Times New Roman"/>
          <w:b/>
          <w:color w:val="000000"/>
          <w:sz w:val="19"/>
        </w:rPr>
        <w:t xml:space="preserve">1. </w:t>
      </w:r>
      <w:r>
        <w:rPr>
          <w:rFonts w:ascii="Times New Roman" w:hAnsi="Times New Roman"/>
          <w:b/>
          <w:color w:val="000000"/>
          <w:sz w:val="19"/>
        </w:rPr>
        <w:t xml:space="preserve">Speech Velocity (syllables/s): </w:t>
      </w:r>
      <w:r>
        <w:rPr>
          <w:rFonts w:ascii="Times New Roman" w:hAnsi="Times New Roman"/>
          <w:color w:val="000000"/>
          <w:sz w:val="19"/>
        </w:rPr>
        <w:t>Indicates psychomotor tempo and dynamic vocal cadence.</w:t>
      </w:r>
    </w:p>
    <w:p>
      <w:pPr>
        <w:spacing w:line="269" w:lineRule="auto" w:before="20" w:after="50"/>
        <w:ind w:left="360"/>
        <w:jc w:val="left"/>
      </w:pPr>
      <w:r>
        <w:rPr>
          <w:rFonts w:ascii="Times New Roman" w:hAnsi="Times New Roman"/>
          <w:b/>
          <w:color w:val="000000"/>
          <w:sz w:val="19"/>
        </w:rPr>
        <w:t xml:space="preserve">2. </w:t>
      </w:r>
      <w:r>
        <w:rPr>
          <w:rFonts w:ascii="Times New Roman" w:hAnsi="Times New Roman"/>
          <w:b/>
          <w:color w:val="000000"/>
          <w:sz w:val="19"/>
        </w:rPr>
        <w:t xml:space="preserve">Pause Frequency and Duration: </w:t>
      </w:r>
      <w:r>
        <w:rPr>
          <w:rFonts w:ascii="Times New Roman" w:hAnsi="Times New Roman"/>
          <w:color w:val="000000"/>
          <w:sz w:val="19"/>
        </w:rPr>
        <w:t>Reflects conversational hesitation, processing intervals, and structural fluency.</w:t>
      </w:r>
    </w:p>
    <w:p>
      <w:pPr>
        <w:spacing w:line="269" w:lineRule="auto" w:before="20" w:after="50"/>
        <w:ind w:left="360"/>
        <w:jc w:val="left"/>
      </w:pPr>
      <w:r>
        <w:rPr>
          <w:rFonts w:ascii="Times New Roman" w:hAnsi="Times New Roman"/>
          <w:b/>
          <w:color w:val="000000"/>
          <w:sz w:val="19"/>
        </w:rPr>
        <w:t xml:space="preserve">3. </w:t>
      </w:r>
      <w:r>
        <w:rPr>
          <w:rFonts w:ascii="Times New Roman" w:hAnsi="Times New Roman"/>
          <w:b/>
          <w:color w:val="000000"/>
          <w:sz w:val="19"/>
        </w:rPr>
        <w:t xml:space="preserve">Vocal Energy Variation: </w:t>
      </w:r>
      <w:r>
        <w:rPr>
          <w:rFonts w:ascii="Times New Roman" w:hAnsi="Times New Roman"/>
          <w:color w:val="000000"/>
          <w:sz w:val="19"/>
        </w:rPr>
        <w:t>Measures acoustic loudness dynamics and vocal projection intensity.</w:t>
      </w:r>
    </w:p>
    <w:p>
      <w:pPr>
        <w:spacing w:line="269" w:lineRule="auto" w:before="20" w:after="50"/>
        <w:ind w:left="360"/>
        <w:jc w:val="left"/>
      </w:pPr>
      <w:r>
        <w:rPr>
          <w:rFonts w:ascii="Times New Roman" w:hAnsi="Times New Roman"/>
          <w:b/>
          <w:color w:val="000000"/>
          <w:sz w:val="19"/>
        </w:rPr>
        <w:t xml:space="preserve">4. </w:t>
      </w:r>
      <w:r>
        <w:rPr>
          <w:rFonts w:ascii="Times New Roman" w:hAnsi="Times New Roman"/>
          <w:b/>
          <w:color w:val="000000"/>
          <w:sz w:val="19"/>
        </w:rPr>
        <w:t xml:space="preserve">Fundamental Pitch (F0) Variation: </w:t>
      </w:r>
      <w:r>
        <w:rPr>
          <w:rFonts w:ascii="Times New Roman" w:hAnsi="Times New Roman"/>
          <w:color w:val="000000"/>
          <w:sz w:val="19"/>
        </w:rPr>
        <w:t>Quantifies dynamic pitch inflection versus flattened vocal affect.</w:t>
      </w:r>
    </w:p>
    <w:p>
      <w:pPr>
        <w:spacing w:line="276" w:lineRule="auto" w:before="0" w:after="100"/>
        <w:jc w:val="both"/>
      </w:pPr>
      <w:r>
        <w:rPr>
          <w:rFonts w:ascii="Times New Roman" w:hAnsi="Times New Roman"/>
          <w:color w:val="000000"/>
          <w:sz w:val="19"/>
        </w:rPr>
        <w:t>Coupling categorical emotion classification with systematic continuous acoustic telemetry provides a more comprehensive assessment of vocal recordings [1], [11], [25].</w:t>
      </w:r>
    </w:p>
    <w:p>
      <w:pPr>
        <w:keepNext/>
        <w:spacing w:before="200" w:after="60"/>
        <w:jc w:val="left"/>
      </w:pPr>
      <w:r>
        <w:rPr>
          <w:rFonts w:ascii="Times New Roman" w:hAnsi="Times New Roman"/>
          <w:b/>
          <w:color w:val="000000"/>
          <w:sz w:val="21"/>
        </w:rPr>
        <w:t>1.4 Research Questions (RQ)</w:t>
      </w:r>
    </w:p>
    <w:p>
      <w:pPr>
        <w:spacing w:line="276" w:lineRule="auto" w:before="0" w:after="100"/>
        <w:jc w:val="both"/>
      </w:pPr>
      <w:r>
        <w:rPr>
          <w:rFonts w:ascii="Times New Roman" w:hAnsi="Times New Roman"/>
          <w:color w:val="000000"/>
          <w:sz w:val="19"/>
        </w:rPr>
        <w:t>This study addresses four primary research questions:</w:t>
      </w:r>
    </w:p>
    <w:p>
      <w:pPr>
        <w:spacing w:line="276" w:lineRule="auto" w:before="40" w:after="80"/>
        <w:ind w:left="360"/>
        <w:jc w:val="both"/>
      </w:pPr>
      <w:r>
        <w:rPr>
          <w:rFonts w:ascii="Times New Roman" w:hAnsi="Times New Roman"/>
          <w:b/>
          <w:color w:val="000000"/>
          <w:sz w:val="19"/>
        </w:rPr>
        <w:t xml:space="preserve">• RQ1 (Layer Pooling Dynamics): : </w:t>
      </w:r>
      <w:r>
        <w:rPr>
          <w:rFonts w:ascii="Times New Roman" w:hAnsi="Times New Roman"/>
          <w:color w:val="000000"/>
          <w:sz w:val="19"/>
        </w:rPr>
        <w:t>Does learnable weighted pooling across all transformer hidden layers outperform standard mean pooling or top-layer classification, and which layers encode the most discriminative emotional representations?</w:t>
      </w:r>
    </w:p>
    <w:p>
      <w:pPr>
        <w:spacing w:line="276" w:lineRule="auto" w:before="40" w:after="80"/>
        <w:ind w:left="360"/>
        <w:jc w:val="both"/>
      </w:pPr>
      <w:r>
        <w:rPr>
          <w:rFonts w:ascii="Times New Roman" w:hAnsi="Times New Roman"/>
          <w:b/>
          <w:color w:val="000000"/>
          <w:sz w:val="19"/>
        </w:rPr>
        <w:t xml:space="preserve">• RQ2 (Effect of Training Speaker Diversity): : </w:t>
      </w:r>
      <w:r>
        <w:rPr>
          <w:rFonts w:ascii="Times New Roman" w:hAnsi="Times New Roman"/>
          <w:color w:val="000000"/>
          <w:sz w:val="19"/>
        </w:rPr>
        <w:t>What is the relationship between training cohort speaker diversity and out-of-domain generalization performance on strictly unseen actors?</w:t>
      </w:r>
    </w:p>
    <w:p>
      <w:pPr>
        <w:spacing w:line="276" w:lineRule="auto" w:before="40" w:after="80"/>
        <w:ind w:left="360"/>
        <w:jc w:val="both"/>
      </w:pPr>
      <w:r>
        <w:rPr>
          <w:rFonts w:ascii="Times New Roman" w:hAnsi="Times New Roman"/>
          <w:b/>
          <w:color w:val="000000"/>
          <w:sz w:val="19"/>
        </w:rPr>
        <w:t xml:space="preserve">• RQ3 (Cross-Lingual Transfer to Indic Speech): : </w:t>
      </w:r>
      <w:r>
        <w:rPr>
          <w:rFonts w:ascii="Times New Roman" w:hAnsi="Times New Roman"/>
          <w:color w:val="000000"/>
          <w:sz w:val="19"/>
        </w:rPr>
        <w:t>To what degree do English multi-corpus representations transfer zero-shot to native Hindi speech, and what quantitative performance gain is achieved via native supervised adaptation?</w:t>
      </w:r>
    </w:p>
    <w:p>
      <w:pPr>
        <w:spacing w:line="276" w:lineRule="auto" w:before="40" w:after="80"/>
        <w:ind w:left="360"/>
        <w:jc w:val="both"/>
      </w:pPr>
      <w:r>
        <w:rPr>
          <w:rFonts w:ascii="Times New Roman" w:hAnsi="Times New Roman"/>
          <w:b/>
          <w:color w:val="000000"/>
          <w:sz w:val="19"/>
        </w:rPr>
        <w:t xml:space="preserve">• RQ4 (Acoustic Behavioural Profiling): : </w:t>
      </w:r>
      <w:r>
        <w:rPr>
          <w:rFonts w:ascii="Times New Roman" w:hAnsi="Times New Roman"/>
          <w:color w:val="000000"/>
          <w:sz w:val="19"/>
        </w:rPr>
        <w:t>What distinctive acoustic behavioural profiles characterize categorical emotion classifications, and how effectively does auxiliary telemetry (speaking rate, pause ratio, RMS energy, and pitch variability) complement discrete SER predictions without claiming clinical diagnostic validity?</w:t>
      </w:r>
    </w:p>
    <w:p>
      <w:pPr>
        <w:keepNext/>
        <w:spacing w:before="280" w:after="80"/>
        <w:jc w:val="left"/>
      </w:pPr>
      <w:r>
        <w:rPr>
          <w:rFonts w:ascii="Times New Roman" w:hAnsi="Times New Roman"/>
          <w:b/>
          <w:color w:val="000000"/>
          <w:sz w:val="24"/>
        </w:rPr>
        <w:t>2. Related Work &amp; Literature Survey</w:t>
      </w:r>
    </w:p>
    <w:p>
      <w:pPr>
        <w:spacing w:line="276" w:lineRule="auto" w:before="0" w:after="100"/>
        <w:jc w:val="both"/>
      </w:pPr>
      <w:r>
        <w:rPr>
          <w:rFonts w:ascii="Times New Roman" w:hAnsi="Times New Roman"/>
          <w:color w:val="000000"/>
          <w:sz w:val="19"/>
        </w:rPr>
        <w:t>This investigation synthesizes 30 scholarly sources across four core theoretical domains:</w:t>
      </w:r>
    </w:p>
    <w:p>
      <w:pPr>
        <w:keepNext/>
        <w:spacing w:before="200" w:after="60"/>
        <w:jc w:val="left"/>
      </w:pPr>
      <w:r>
        <w:rPr>
          <w:rFonts w:ascii="Times New Roman" w:hAnsi="Times New Roman"/>
          <w:b/>
          <w:color w:val="000000"/>
          <w:sz w:val="21"/>
        </w:rPr>
        <w:t>2.1 Indic and Hindi Speech Emotion Recognition</w:t>
      </w:r>
    </w:p>
    <w:p>
      <w:pPr>
        <w:spacing w:line="276" w:lineRule="auto" w:before="0" w:after="100"/>
        <w:jc w:val="both"/>
      </w:pPr>
      <w:r>
        <w:rPr>
          <w:rFonts w:ascii="Times New Roman" w:hAnsi="Times New Roman"/>
          <w:color w:val="000000"/>
          <w:sz w:val="19"/>
        </w:rPr>
        <w:t>Early speech emotion recognition research in India relied predominantly on small private datasets evaluated with conventional classifiers such as Support Vector Machines (SVM) and Multi-Layer Perceptrons [4], [16]. Kotian and Singh (2026) [1] demonstrated that combining prosodic-behavioral descriptors (speaking rate, pitch perturbation, pause ratio, and energy dynamics) with acoustic representations enhanced classification accuracy and macro-F1 on Hindi speech under challenging acoustic conditions. Chauhan, Sharma, and Varma (2023) [3] introduced the MNITJ-SEHSD database, standardizing an Indic emotion corpus and highlighting acoustic overlap between anger and disgust resulting from shared high vocal intensity. Kawade and Jagtap (2024) [5] evaluated cross-lingual acoustic modeling across Indian speech corpora, demonstrating the effectiveness of combining multiple spectral, temporal, and voice quality descriptors with deep convolutional neural networks. Rathnayake et al. (2026) [22] and Alam Monisha and Sultana (2022) [23] provided comprehensive surveys on the unique acoustic-phonetic challenges and database resources in low-resource Indo-Aryan and Dravidian speech emotion recognition.</w:t>
      </w:r>
    </w:p>
    <w:p>
      <w:pPr>
        <w:keepNext/>
        <w:spacing w:before="200" w:after="60"/>
        <w:jc w:val="left"/>
      </w:pPr>
      <w:r>
        <w:rPr>
          <w:rFonts w:ascii="Times New Roman" w:hAnsi="Times New Roman"/>
          <w:b/>
          <w:color w:val="000000"/>
          <w:sz w:val="21"/>
        </w:rPr>
        <w:t>2.2 Self-Supervised Speech Representation Learning &amp; Probing</w:t>
      </w:r>
    </w:p>
    <w:p>
      <w:pPr>
        <w:spacing w:line="276" w:lineRule="auto" w:before="0" w:after="100"/>
        <w:jc w:val="both"/>
      </w:pPr>
      <w:r>
        <w:rPr>
          <w:rFonts w:ascii="Times New Roman" w:hAnsi="Times New Roman"/>
          <w:color w:val="000000"/>
          <w:sz w:val="19"/>
        </w:rPr>
        <w:t>Self-supervised learning has established powerful representations for speech tasks. Models such as Wav2Vec 2.0 (Baevski et al., 2020) [9] and HuBERT (Hsu et al., 2021) [8] learn representations from thousands of hours of unlabeled audio through contrastive loss or masked cluster prediction. Yang et al. (2021) [2] introduced the SUPERB benchmark, establishing standard evaluation methodologies for speech representation learning and demonstrating that learnable layer-weighted combinations of intermediate representations consistently outperform fixed top-layer embeddings across diverse speech classification tasks. Pepino, Riera, and Ferrer (2021) [27] and Sun et al. (2024) [30] demonstrated the efficacy of fine-tuning pre-trained representations for downstream emotion recognition, while Wang and Yang (2025) [14] integrated fine-tuned Wav2vec 2.0 with neural controlled differential equation classifiers. However, recent studies by Ma et al. on emotion2vec [6] and Chen et al. on BEATs [7] demonstrate that standard speech models optimize for phonetic invariance, which can suppress emotional cues in upper transformer layers. Probing studies by Pasad, Chou, and Livescu (2021) [24] confirmed that acoustic and prosodic properties are concentrated within intermediate transformer layers, whereas final layers prioritize lexical alignment. These findings motivate the Learnable Weighted Layer Pooling approach used in this work.</w:t>
      </w:r>
    </w:p>
    <w:p>
      <w:pPr>
        <w:keepNext/>
        <w:spacing w:before="200" w:after="60"/>
        <w:jc w:val="left"/>
      </w:pPr>
      <w:r>
        <w:rPr>
          <w:rFonts w:ascii="Times New Roman" w:hAnsi="Times New Roman"/>
          <w:b/>
          <w:color w:val="000000"/>
          <w:sz w:val="21"/>
        </w:rPr>
        <w:t>2.3 Vocal Behavioural Feature Integration</w:t>
      </w:r>
    </w:p>
    <w:p>
      <w:pPr>
        <w:spacing w:line="276" w:lineRule="auto" w:before="0" w:after="100"/>
        <w:jc w:val="both"/>
      </w:pPr>
      <w:r>
        <w:rPr>
          <w:rFonts w:ascii="Times New Roman" w:hAnsi="Times New Roman"/>
          <w:color w:val="000000"/>
          <w:sz w:val="19"/>
        </w:rPr>
        <w:t>Standardized acoustic parameter sets have long provided interpretable metrics for speech analysis. Eyben et al. (2016) defined the Geneva Minimalistic Acoustic Parameter Set (GeMAPS) and extended GeMAPS (eGeMAPS) [12], standardizing 88 acoustic descriptors across frequency, energy, and temporal domains. Chowdhury, Ramanna, and Kotecha (2025) [11] showed that integrating hand-crafted acoustic prosody with lightweight deep neural ensemble architectures improved interpretability and performance across multiple SER benchmarks.</w:t>
      </w:r>
    </w:p>
    <w:p>
      <w:pPr>
        <w:keepNext/>
        <w:spacing w:before="200" w:after="60"/>
        <w:jc w:val="left"/>
      </w:pPr>
      <w:r>
        <w:rPr>
          <w:rFonts w:ascii="Times New Roman" w:hAnsi="Times New Roman"/>
          <w:b/>
          <w:color w:val="000000"/>
          <w:sz w:val="21"/>
        </w:rPr>
        <w:t>2.4 Speaker Disjoint Protocols and Generalization</w:t>
      </w:r>
    </w:p>
    <w:p>
      <w:pPr>
        <w:spacing w:line="276" w:lineRule="auto" w:before="0" w:after="100"/>
        <w:jc w:val="both"/>
      </w:pPr>
      <w:r>
        <w:rPr>
          <w:rFonts w:ascii="Times New Roman" w:hAnsi="Times New Roman"/>
          <w:color w:val="000000"/>
          <w:sz w:val="19"/>
        </w:rPr>
        <w:t>Goel, Hira, and Gupta (2024) [21] examined the challenge of unseen speaker generalization in SER, evaluating pretrained speech encoders (HuBERT, Wav2Vec 2.0, WavLM) under leave-speaker-out multilingual conditions and demonstrating that standard random train/test splits cause neural models to overfit speaker identity rather than true affective cues. Whereas Goel et al. focused on multi-task co-attention, the present investigation evaluates a unified multi-corpus English benchmark under canonicalized emotion mappings, analyzes layer-wise pooling weights, and quantifies both zero-shot cross-lingual transfer and native adaptation on Hindi speech. Hashem, Arif, and Alghamdi (2023) [15] and Akçay and Oğuz (2020) [16] conducted systematic reviews detailing how cross-corpus evaluation protocols reveal severe performance degradation when models encounter novel recording environments. Wagner et al. (2018) [25] empirically evaluated hand-crafted features versus learned representations across paralinguistic tasks, finding that acoustic descriptors provide vital complementarity to deep representations, while Latif et al. (2023) [26] surveyed deep representation learning paradigms for disentangling speaker identity from affective prosody.</w:t>
      </w:r>
    </w:p>
    <w:p>
      <w:pPr>
        <w:keepNext/>
        <w:spacing w:before="280" w:after="80"/>
        <w:jc w:val="left"/>
      </w:pPr>
      <w:r>
        <w:rPr>
          <w:rFonts w:ascii="Times New Roman" w:hAnsi="Times New Roman"/>
          <w:b/>
          <w:color w:val="000000"/>
          <w:sz w:val="24"/>
        </w:rPr>
        <w:t>3. Dataset Ecosystem &amp; Partitioning Protocols</w:t>
      </w:r>
    </w:p>
    <w:p>
      <w:pPr>
        <w:spacing w:line="276" w:lineRule="auto" w:before="0" w:after="100"/>
        <w:jc w:val="both"/>
      </w:pPr>
      <w:r>
        <w:rPr>
          <w:rFonts w:ascii="Times New Roman" w:hAnsi="Times New Roman"/>
          <w:color w:val="000000"/>
          <w:sz w:val="19"/>
        </w:rPr>
        <w:t>To ensure rigorous evaluation, five distinct corpora comprising 12,180 standardized audio files were curated, preprocessed, and partitioned. Audio files were resampled to a standardized format: 16,000 Hz sampling rate, single-channel (mono), 16-bit PCM WAV, with Voice Activity Detection (VAD) silence trimming and amplitude normalization. Table 1 summarizes the dataset ecosystem.</w:t>
      </w:r>
    </w:p>
    <w:p>
      <w:pPr>
        <w:keepNext/>
        <w:spacing w:before="200" w:after="60"/>
        <w:jc w:val="left"/>
      </w:pPr>
      <w:r>
        <w:rPr>
          <w:rFonts w:ascii="Times New Roman" w:hAnsi="Times New Roman"/>
          <w:b/>
          <w:color w:val="000000"/>
          <w:sz w:val="21"/>
        </w:rPr>
        <w:t>3.1 Multi-Corpus English Canonical Standardization</w:t>
      </w:r>
    </w:p>
    <w:p>
      <w:pPr>
        <w:spacing w:line="276" w:lineRule="auto" w:before="0" w:after="100"/>
        <w:jc w:val="both"/>
      </w:pPr>
      <w:r>
        <w:rPr>
          <w:rFonts w:ascii="Times New Roman" w:hAnsi="Times New Roman"/>
          <w:color w:val="000000"/>
          <w:sz w:val="19"/>
        </w:rPr>
        <w:t>The English multi-corpus benchmark incorporates four established speech emotion repositories: CREMA-D [17] (7,442 utterances, 91 actors), RAVDESS [18] (1,440 utterances, 24 actors), SAVEE [19] (480 utterances, 4 actors), and TESS [20] (2,800 utterances, 2 actresses). Across these four datasets, raw clips total 12,162. To establish an aligned label space, emotions are mapped to a 6-class canonical ontology: neutral, happy, sad, angry, fear, and disgust. Non-shared emotions (such as calm and surprise in RAVDESS and SAVEE, totaling 844 clips) were excluded prior to model training, yielding a standardized multi-corpus pool of 11,318 audio clips from 121 speakers.</w:t>
      </w:r>
    </w:p>
    <w:p>
      <w:pPr>
        <w:keepNext/>
        <w:spacing w:before="200" w:after="60"/>
        <w:jc w:val="left"/>
      </w:pPr>
      <w:r>
        <w:rPr>
          <w:rFonts w:ascii="Times New Roman" w:hAnsi="Times New Roman"/>
          <w:b/>
          <w:color w:val="000000"/>
          <w:sz w:val="21"/>
        </w:rPr>
        <w:t>3.2 Indic Hindi Dataset Provenance &amp; Partitioning Protocol</w:t>
      </w:r>
    </w:p>
    <w:p>
      <w:pPr>
        <w:spacing w:line="276" w:lineRule="auto" w:before="0" w:after="100"/>
        <w:jc w:val="both"/>
      </w:pPr>
      <w:r>
        <w:rPr>
          <w:rFonts w:ascii="Times New Roman" w:hAnsi="Times New Roman"/>
          <w:color w:val="000000"/>
          <w:sz w:val="19"/>
        </w:rPr>
        <w:t>The Hindi evaluation utilizes 862 standardized speech utterances (1.80 hours total) curated from three open-access Indic speech repositories: (1) Project Vaani Indian Speech Corpus (ghostieee11/vaani-speech-corpus on HuggingFace, licensed under CC BY 4.0), (2) Indian TTS Emotion Corpus (sarthwa8/indian-tts-emotion-60min on HuggingFace, Open Access), and (3) RapidOrc Audio Emotion Detection Dataset (RapidOrc121/audio-emotion-detection-dataset on HuggingFace, Open Access) [1], [3]. The corpus spans 14 to 25 native Hindi speakers across five discrete emotion classes: neutral (363 clips), calm (160 clips), sad (158 clips), angry (105 clips), and happy (76 clips). The data was partitioned into strict, speaker-disjoint splits: 604 training clips (70.1%), 129 validation clips (15.0%), and 129 test clips (15.0%), guaranteeing zero speaker or recording overlap across partitions.</w:t>
      </w:r>
    </w:p>
    <w:p>
      <w:pPr>
        <w:spacing w:before="160" w:after="40"/>
        <w:jc w:val="center"/>
      </w:pPr>
      <w:r>
        <w:rPr>
          <w:rFonts w:ascii="Times New Roman" w:hAnsi="Times New Roman"/>
          <w:b/>
          <w:color w:val="000000"/>
          <w:sz w:val="19"/>
        </w:rPr>
        <w:t>Table 1: Standardized Dataset Ecosystem and Partitioning Specifications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1680"/>
        <w:gridCol w:w="1680"/>
        <w:gridCol w:w="1680"/>
        <w:gridCol w:w="1680"/>
        <w:gridCol w:w="1680"/>
        <w:gridCol w:w="1680"/>
      </w:tblGrid>
      <w:tr>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Corpus</w:t>
            </w:r>
          </w:p>
        </w:tc>
        <w:tc>
          <w:tcPr>
            <w:tcW w:type="dxa" w:w="1680"/>
            <w:tcMar>
              <w:top w:w="60" w:type="dxa"/>
              <w:bottom w:w="60" w:type="dxa"/>
              <w:left w:w="80" w:type="dxa"/>
              <w:right w:w="80" w:type="dxa"/>
            </w:tcMar>
          </w:tcPr>
          <w:p>
            <w:pPr>
              <w:spacing w:before="40" w:after="40"/>
              <w:jc w:val="center"/>
            </w:pPr>
            <w:r>
              <w:rPr>
                <w:rFonts w:ascii="Times New Roman" w:hAnsi="Times New Roman"/>
                <w:b/>
                <w:color w:val="000000"/>
                <w:sz w:val="17"/>
              </w:rPr>
              <w:t>Utterances</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Language</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Speakers / Scope</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Split Protocol</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Classes</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CREMA-D</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7,442</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English (US)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91 Diverse Actors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Actor-Disjoint (13 Unseen)</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6 Canonical Classes</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RAVDESS</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1,440</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English (NA)</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24 Professional Actors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Actor-Disjoint (4 Unseen)</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8 Classes (6 Shared)</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SAVEE</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480</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English (UK)</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4 British Actors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Actor-Disjoint (Actor KL Unseen)</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7 Classes (6 Shared)</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TESS</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2,800</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English (CA)</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2 Actresses, 200 Words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Prompt-Disjoint (30 Unseen Words)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7 Classes (6 Shared)</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Hindi SER</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862</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Hindi (Indic)</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25 Native Speakers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Speaker-Disjoint (604/129/129)</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5 Discrete Classes</w:t>
            </w:r>
          </w:p>
        </w:tc>
      </w:tr>
      <w:tr>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Total Evaluated</w:t>
            </w:r>
          </w:p>
        </w:tc>
        <w:tc>
          <w:tcPr>
            <w:tcW w:type="dxa" w:w="1680"/>
            <w:tcMar>
              <w:top w:w="60" w:type="dxa"/>
              <w:bottom w:w="60" w:type="dxa"/>
              <w:left w:w="80" w:type="dxa"/>
              <w:right w:w="80" w:type="dxa"/>
            </w:tcMar>
          </w:tcPr>
          <w:p>
            <w:pPr>
              <w:spacing w:before="40" w:after="40"/>
              <w:jc w:val="center"/>
            </w:pPr>
            <w:r>
              <w:rPr>
                <w:rFonts w:ascii="Times New Roman" w:hAnsi="Times New Roman"/>
                <w:b/>
                <w:color w:val="000000"/>
                <w:sz w:val="17"/>
              </w:rPr>
              <w:t>12,180</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Multilingual</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121+ Total Speakers</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Strict Zero Leakage</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Unified Ontology</w:t>
            </w:r>
          </w:p>
        </w:tc>
      </w:tr>
    </w:tbl>
    <w:p>
      <w:pPr>
        <w:spacing w:before="40" w:after="120"/>
        <w:jc w:val="left"/>
      </w:pPr>
      <w:r>
        <w:rPr>
          <w:rFonts w:ascii="Times New Roman" w:hAnsi="Times New Roman"/>
          <w:i/>
          <w:color w:val="000000"/>
          <w:sz w:val="16"/>
        </w:rPr>
        <w:t>*Note: Across the four English source corpora, raw clips total 12,162 (CREMA-D: 7,442; RAVDESS: 1,440; SAVEE: 480; TESS: 2,800). Standardizing onto the 6 shared canonical classes (neutral, happy, sad, angry, fear, disgust) excludes 844 non-shared clips (calm and surprise), yielding 11,318 English clips. Combined with the 862 native Hindi clips (5 classes), the complete evaluation encompasses 12,180 audio clips.</w:t>
      </w:r>
    </w:p>
    <w:p>
      <w:pPr>
        <w:keepNext/>
        <w:spacing w:before="280" w:after="80"/>
        <w:jc w:val="left"/>
      </w:pPr>
      <w:r>
        <w:rPr>
          <w:rFonts w:ascii="Times New Roman" w:hAnsi="Times New Roman"/>
          <w:b/>
          <w:color w:val="000000"/>
          <w:sz w:val="24"/>
        </w:rPr>
        <w:t>4. Methodology &amp; Model Architecture</w:t>
      </w:r>
    </w:p>
    <w:p>
      <w:pPr>
        <w:spacing w:line="276" w:lineRule="auto" w:before="0" w:after="100"/>
        <w:jc w:val="both"/>
      </w:pPr>
      <w:r>
        <w:rPr>
          <w:rFonts w:ascii="Times New Roman" w:hAnsi="Times New Roman"/>
          <w:color w:val="000000"/>
          <w:sz w:val="19"/>
        </w:rPr>
        <w:t>The system architecture features a dual-branch processing pipeline: (1) a Neural Acoustic Classifier Branch processing audio through pre-trained self-supervised transformer backbones with learnable weighted layer pooling or CNN-BiLSTM networks, and (2) an Audio Behaviour Analysis Engine extracting continuous prosodic and temporal dynamics (F0 intonation, syllabic tempo, pause frequency, and RMS loudness).</w:t>
      </w:r>
    </w:p>
    <w:p>
      <w:pPr>
        <w:spacing w:before="160" w:after="60"/>
        <w:jc w:val="center"/>
      </w:pPr>
      <w:r>
        <w:drawing>
          <wp:inline xmlns:a="http://schemas.openxmlformats.org/drawingml/2006/main" xmlns:pic="http://schemas.openxmlformats.org/drawingml/2006/picture">
            <wp:extent cx="5486400" cy="2516015"/>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11"/>
                    <a:stretch>
                      <a:fillRect/>
                    </a:stretch>
                  </pic:blipFill>
                  <pic:spPr>
                    <a:xfrm>
                      <a:off x="0" y="0"/>
                      <a:ext cx="5486400" cy="2516015"/>
                    </a:xfrm>
                    <a:prstGeom prst="rect"/>
                  </pic:spPr>
                </pic:pic>
              </a:graphicData>
            </a:graphic>
          </wp:inline>
        </w:drawing>
      </w:r>
    </w:p>
    <w:p>
      <w:pPr>
        <w:spacing w:before="40" w:after="200"/>
        <w:ind w:left="432" w:right="432"/>
        <w:jc w:val="center"/>
      </w:pPr>
      <w:r>
        <w:rPr>
          <w:rFonts w:ascii="Times New Roman" w:hAnsi="Times New Roman"/>
          <w:i/>
          <w:color w:val="000000"/>
          <w:sz w:val="18"/>
        </w:rPr>
        <w:t>Figure 1: End-to-End System Architecture with Dual-Branch Behavioural Prosody and Neural Classification Pipeline.</w:t>
      </w:r>
    </w:p>
    <w:p>
      <w:pPr>
        <w:keepNext/>
        <w:spacing w:before="200" w:after="60"/>
        <w:jc w:val="left"/>
      </w:pPr>
      <w:r>
        <w:rPr>
          <w:rFonts w:ascii="Times New Roman" w:hAnsi="Times New Roman"/>
          <w:b/>
          <w:color w:val="000000"/>
          <w:sz w:val="21"/>
        </w:rPr>
        <w:t>4.1 Learnable Weighted Layer Pooling &amp; Linear Probing</w:t>
      </w:r>
    </w:p>
    <w:p>
      <w:pPr>
        <w:spacing w:line="276" w:lineRule="auto" w:before="0" w:after="100"/>
        <w:jc w:val="both"/>
      </w:pPr>
      <w:r>
        <w:rPr>
          <w:rFonts w:ascii="Times New Roman" w:hAnsi="Times New Roman"/>
          <w:color w:val="000000"/>
          <w:sz w:val="19"/>
        </w:rPr>
        <w:t>Inspired by the lightweight probing methodology used in the SUPERB benchmark (Yang et al., 2021) [2] and Pepino et al. (2021) [27], we adopt a learnable layer-wise weighted sum across all L = 12 transformer encoder representations. In accordance with standard HuggingFace transformer interfaces, outputs.hidden_states returns 13 tensors (Layer 0 feature projection followed by 12 transformer encoder blocks). The pooling module explicitly selects the last 12 tensors (hidden_states[-12:]), pooling the outputs of transformer encoder blocks 1 through 12 (l in {1, ..., 12}) and cleanly excluding the initial CNN feature projection: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40"/>
        <w:gridCol w:w="5040"/>
      </w:tblGrid>
      <w:tr>
        <w:tc>
          <w:tcPr>
            <w:tcW w:type="dxa" w:w="8352"/>
            <w:vAlign w:val="center"/>
            <w:tcMar>
              <w:top w:w="40" w:type="dxa"/>
              <w:bottom w:w="40" w:type="dxa"/>
              <w:left w:w="0" w:type="dxa"/>
              <w:right w:w="0" w:type="dxa"/>
            </w:tcMar>
          </w:tcPr>
          <w:p>
            <w:pPr>
              <w:spacing w:before="0" w:after="0"/>
              <w:jc w:val="center"/>
            </w:pPr>
            <m:oMathPara>
              <m:oMath>
                <m:sSub>
                  <m:e>
                    <m:r>
                      <m:rPr>
                        <m:sty m:val="b"/>
                      </m:rPr>
                      <m:t>e</m:t>
                    </m:r>
                  </m:e>
                  <m:sub>
                    <m:r>
                      <m:t>t</m:t>
                    </m:r>
                  </m:sub>
                </m:sSub>
                <m:r>
                  <m:t> = </m:t>
                </m:r>
                <m:nary>
                  <m:naryPr>
                    <m:chr m:val="∑"/>
                    <m:limLoc m:val="undOvr"/>
                  </m:naryPr>
                  <m:sub>
                    <m:r>
                      <m:t>l=1</m:t>
                    </m:r>
                  </m:sub>
                  <m:sup>
                    <m:r>
                      <m:t>L</m:t>
                    </m:r>
                  </m:sup>
                  <m:e>
                    <m:sSub>
                      <m:e>
                        <m:r>
                          <m:t>α</m:t>
                        </m:r>
                      </m:e>
                      <m:sub>
                        <m:r>
                          <m:t>l</m:t>
                        </m:r>
                      </m:sub>
                    </m:sSub>
                    <m:sSubSup>
                      <m:e>
                        <m:r>
                          <m:rPr>
                            <m:sty m:val="b"/>
                          </m:rPr>
                          <m:t>h</m:t>
                        </m:r>
                      </m:e>
                      <m:sub>
                        <m:r>
                          <m:t>t</m:t>
                        </m:r>
                      </m:sub>
                      <m:sup>
                        <m:r>
                          <m:t>(l)</m:t>
                        </m:r>
                      </m:sup>
                    </m:sSubSup>
                  </m:e>
                </m:nary>
                <m:r>
                  <m:t>,   where   </m:t>
                </m:r>
                <m:sSub>
                  <m:e>
                    <m:r>
                      <m:t>α</m:t>
                    </m:r>
                  </m:e>
                  <m:sub>
                    <m:r>
                      <m:t>l</m:t>
                    </m:r>
                  </m:sub>
                </m:sSub>
                <m:r>
                  <m:t> = </m:t>
                </m:r>
                <m:f>
                  <m:num>
                    <m:r>
                      <m:t>exp(</m:t>
                    </m:r>
                    <m:sSub>
                      <m:e>
                        <m:r>
                          <m:t>w</m:t>
                        </m:r>
                      </m:e>
                      <m:sub>
                        <m:r>
                          <m:t>l</m:t>
                        </m:r>
                      </m:sub>
                    </m:sSub>
                    <m:r>
                      <m:t>)</m:t>
                    </m:r>
                  </m:num>
                  <m:den>
                    <m:nary>
                      <m:naryPr>
                        <m:chr m:val="∑"/>
                        <m:limLoc m:val="undOvr"/>
                      </m:naryPr>
                      <m:sub>
                        <m:r>
                          <m:t>j=1</m:t>
                        </m:r>
                      </m:sub>
                      <m:sup>
                        <m:r>
                          <m:t>L</m:t>
                        </m:r>
                      </m:sup>
                      <m:e>
                        <m:r>
                          <m:t>exp(</m:t>
                        </m:r>
                        <m:sSub>
                          <m:e>
                            <m:r>
                              <m:t>w</m:t>
                            </m:r>
                          </m:e>
                          <m:sub>
                            <m:r>
                              <m:t>j</m:t>
                            </m:r>
                          </m:sub>
                        </m:sSub>
                        <m:r>
                          <m:t>)</m:t>
                        </m:r>
                      </m:e>
                    </m:nary>
                  </m:den>
                </m:f>
              </m:oMath>
            </m:oMathPara>
          </w:p>
        </w:tc>
        <w:tc>
          <w:tcPr>
            <w:tcW w:type="dxa" w:w="1008"/>
            <w:vAlign w:val="center"/>
            <w:tcMar>
              <w:top w:w="40" w:type="dxa"/>
              <w:bottom w:w="40" w:type="dxa"/>
              <w:left w:w="0" w:type="dxa"/>
              <w:right w:w="0" w:type="dxa"/>
            </w:tcMar>
          </w:tcPr>
          <w:p>
            <w:pPr>
              <w:spacing w:before="0" w:after="0"/>
              <w:jc w:val="right"/>
            </w:pPr>
            <w:r>
              <w:rPr>
                <w:rFonts w:ascii="Times New Roman" w:hAnsi="Times New Roman"/>
                <w:color w:val="000000"/>
                <w:sz w:val="20"/>
              </w:rPr>
              <w:t>(1)</w:t>
            </w:r>
          </w:p>
        </w:tc>
      </w:tr>
    </w:tbl>
    <w:p>
      <w:pPr>
        <w:spacing w:after="40"/>
      </w:pPr>
    </w:p>
    <w:p>
      <w:pPr>
        <w:spacing w:line="276" w:lineRule="auto" w:before="0" w:after="100"/>
        <w:jc w:val="both"/>
      </w:pPr>
      <w:r>
        <w:rPr>
          <w:rFonts w:ascii="Times New Roman" w:hAnsi="Times New Roman"/>
          <w:color w:val="000000"/>
          <w:sz w:val="19"/>
        </w:rPr>
        <w:t>Here, w in R^L is a learnable parameter vector initialized uniformly (w_l = 0), and alpha in R^L represents the normalized layer weighting. After computing the layer-weighted sequence e_t, masked temporal mean pooling is applied over valid audio frames: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40"/>
        <w:gridCol w:w="5040"/>
      </w:tblGrid>
      <w:tr>
        <w:tc>
          <w:tcPr>
            <w:tcW w:type="dxa" w:w="8352"/>
            <w:vAlign w:val="center"/>
            <w:tcMar>
              <w:top w:w="40" w:type="dxa"/>
              <w:bottom w:w="40" w:type="dxa"/>
              <w:left w:w="0" w:type="dxa"/>
              <w:right w:w="0" w:type="dxa"/>
            </w:tcMar>
          </w:tcPr>
          <w:p>
            <w:pPr>
              <w:spacing w:before="0" w:after="0"/>
              <w:jc w:val="center"/>
            </w:pPr>
            <m:oMathPara>
              <m:oMath>
                <m:r>
                  <m:rPr>
                    <m:sty m:val="b"/>
                  </m:rPr>
                  <m:t>z</m:t>
                </m:r>
                <m:r>
                  <m:t> = </m:t>
                </m:r>
                <m:f>
                  <m:num>
                    <m:r>
                      <m:t>1</m:t>
                    </m:r>
                  </m:num>
                  <m:den>
                    <m:nary>
                      <m:naryPr>
                        <m:chr m:val="∑"/>
                        <m:limLoc m:val="undOvr"/>
                      </m:naryPr>
                      <m:sub>
                        <m:r>
                          <m:t>t=1</m:t>
                        </m:r>
                      </m:sub>
                      <m:sup>
                        <m:r>
                          <m:t>T</m:t>
                        </m:r>
                      </m:sup>
                      <m:e>
                        <m:sSub>
                          <m:e>
                            <m:r>
                              <m:t>m</m:t>
                            </m:r>
                          </m:e>
                          <m:sub>
                            <m:r>
                              <m:t>t</m:t>
                            </m:r>
                          </m:sub>
                        </m:sSub>
                      </m:e>
                    </m:nary>
                  </m:den>
                </m:f>
                <m:nary>
                  <m:naryPr>
                    <m:chr m:val="∑"/>
                    <m:limLoc m:val="undOvr"/>
                  </m:naryPr>
                  <m:sub>
                    <m:r>
                      <m:t>t=1</m:t>
                    </m:r>
                  </m:sub>
                  <m:sup>
                    <m:r>
                      <m:t>T</m:t>
                    </m:r>
                  </m:sup>
                  <m:e>
                    <m:sSub>
                      <m:e>
                        <m:r>
                          <m:t>m</m:t>
                        </m:r>
                      </m:e>
                      <m:sub>
                        <m:r>
                          <m:t>t</m:t>
                        </m:r>
                      </m:sub>
                    </m:sSub>
                    <m:sSub>
                      <m:e>
                        <m:r>
                          <m:rPr>
                            <m:sty m:val="b"/>
                          </m:rPr>
                          <m:t>e</m:t>
                        </m:r>
                      </m:e>
                      <m:sub>
                        <m:r>
                          <m:t>t</m:t>
                        </m:r>
                      </m:sub>
                    </m:sSub>
                  </m:e>
                </m:nary>
                <m:r>
                  <m:t> ∈ </m:t>
                </m:r>
                <m:sSup>
                  <m:e>
                    <m:r>
                      <m:t>ℝ</m:t>
                    </m:r>
                  </m:e>
                  <m:sup>
                    <m:r>
                      <m:t>D</m:t>
                    </m:r>
                  </m:sup>
                </m:sSup>
              </m:oMath>
            </m:oMathPara>
          </w:p>
        </w:tc>
        <w:tc>
          <w:tcPr>
            <w:tcW w:type="dxa" w:w="1008"/>
            <w:vAlign w:val="center"/>
            <w:tcMar>
              <w:top w:w="40" w:type="dxa"/>
              <w:bottom w:w="40" w:type="dxa"/>
              <w:left w:w="0" w:type="dxa"/>
              <w:right w:w="0" w:type="dxa"/>
            </w:tcMar>
          </w:tcPr>
          <w:p>
            <w:pPr>
              <w:spacing w:before="0" w:after="0"/>
              <w:jc w:val="right"/>
            </w:pPr>
            <w:r>
              <w:rPr>
                <w:rFonts w:ascii="Times New Roman" w:hAnsi="Times New Roman"/>
                <w:color w:val="000000"/>
                <w:sz w:val="20"/>
              </w:rPr>
              <w:t>(2)</w:t>
            </w:r>
          </w:p>
        </w:tc>
      </w:tr>
    </w:tbl>
    <w:p>
      <w:pPr>
        <w:spacing w:after="40"/>
      </w:pPr>
    </w:p>
    <w:p>
      <w:pPr>
        <w:spacing w:line="276" w:lineRule="auto" w:before="0" w:after="100"/>
        <w:jc w:val="both"/>
      </w:pPr>
      <w:r>
        <w:rPr>
          <w:rFonts w:ascii="Times New Roman" w:hAnsi="Times New Roman"/>
          <w:color w:val="000000"/>
          <w:sz w:val="19"/>
        </w:rPr>
        <w:t>where m_t in {0, 1} denotes the attention mask indicating valid audio frames. The resulting pooled representation z in R^D (D = 768) is projected through a linear classification probe: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40"/>
        <w:gridCol w:w="5040"/>
      </w:tblGrid>
      <w:tr>
        <w:tc>
          <w:tcPr>
            <w:tcW w:type="dxa" w:w="8352"/>
            <w:vAlign w:val="center"/>
            <w:tcMar>
              <w:top w:w="40" w:type="dxa"/>
              <w:bottom w:w="40" w:type="dxa"/>
              <w:left w:w="0" w:type="dxa"/>
              <w:right w:w="0" w:type="dxa"/>
            </w:tcMar>
          </w:tcPr>
          <w:p>
            <w:pPr>
              <w:spacing w:before="0" w:after="0"/>
              <w:jc w:val="center"/>
            </w:pPr>
            <m:oMathPara>
              <m:oMath>
                <m:acc>
                  <m:accPr>
                    <m:chr m:val="^"/>
                  </m:accPr>
                  <m:e>
                    <m:r>
                      <m:rPr>
                        <m:sty m:val="b"/>
                      </m:rPr>
                      <m:t>y</m:t>
                    </m:r>
                  </m:e>
                </m:acc>
                <m:r>
                  <m:t> = Softmax</m:t>
                </m:r>
                <m:d>
                  <m:dPr>
                    <m:begChr m:val="("/>
                    <m:endChr m:val=")"/>
                  </m:dPr>
                  <m:e>
                    <m:sSub>
                      <m:e>
                        <m:r>
                          <m:rPr>
                            <m:sty m:val="b"/>
                          </m:rPr>
                          <m:t>W</m:t>
                        </m:r>
                      </m:e>
                      <m:sub>
                        <m:r>
                          <m:t>c</m:t>
                        </m:r>
                      </m:sub>
                    </m:sSub>
                    <m:r>
                      <m:rPr>
                        <m:sty m:val="b"/>
                      </m:rPr>
                      <m:t>z</m:t>
                    </m:r>
                    <m:r>
                      <m:t> + </m:t>
                    </m:r>
                    <m:sSub>
                      <m:e>
                        <m:r>
                          <m:rPr>
                            <m:sty m:val="b"/>
                          </m:rPr>
                          <m:t>b</m:t>
                        </m:r>
                      </m:e>
                      <m:sub>
                        <m:r>
                          <m:t>c</m:t>
                        </m:r>
                      </m:sub>
                    </m:sSub>
                  </m:e>
                </m:d>
              </m:oMath>
            </m:oMathPara>
          </w:p>
        </w:tc>
        <w:tc>
          <w:tcPr>
            <w:tcW w:type="dxa" w:w="1008"/>
            <w:vAlign w:val="center"/>
            <w:tcMar>
              <w:top w:w="40" w:type="dxa"/>
              <w:bottom w:w="40" w:type="dxa"/>
              <w:left w:w="0" w:type="dxa"/>
              <w:right w:w="0" w:type="dxa"/>
            </w:tcMar>
          </w:tcPr>
          <w:p>
            <w:pPr>
              <w:spacing w:before="0" w:after="0"/>
              <w:jc w:val="right"/>
            </w:pPr>
            <w:r>
              <w:rPr>
                <w:rFonts w:ascii="Times New Roman" w:hAnsi="Times New Roman"/>
                <w:color w:val="000000"/>
                <w:sz w:val="20"/>
              </w:rPr>
              <w:t>(3)</w:t>
            </w:r>
          </w:p>
        </w:tc>
      </w:tr>
    </w:tbl>
    <w:p>
      <w:pPr>
        <w:spacing w:after="40"/>
      </w:pPr>
    </w:p>
    <w:p>
      <w:pPr>
        <w:spacing w:line="276" w:lineRule="auto" w:before="0" w:after="100"/>
        <w:jc w:val="both"/>
      </w:pPr>
      <w:r>
        <w:rPr>
          <w:rFonts w:ascii="Times New Roman" w:hAnsi="Times New Roman"/>
          <w:color w:val="000000"/>
          <w:sz w:val="19"/>
        </w:rPr>
        <w:t>where W_c in R^(C x D) and b_c in R^C (with C = 6 canonical emotion classes). Crucially, the 94.7M parameter transformer backbone remains strictly frozen and receives zero gradient updates during training. Gradients flow exclusively through the 12 scalar layer pooling weights and the linear classification probe: 12 + (768 x 6) + 6 = 4,626 trainable parameters, representing approximately 0.005% of the total network capacity.</w:t>
      </w:r>
    </w:p>
    <w:p>
      <w:pPr>
        <w:keepNext/>
        <w:spacing w:before="200" w:after="60"/>
        <w:jc w:val="left"/>
      </w:pPr>
      <w:r>
        <w:rPr>
          <w:rFonts w:ascii="Times New Roman" w:hAnsi="Times New Roman"/>
          <w:b/>
          <w:color w:val="000000"/>
          <w:sz w:val="21"/>
        </w:rPr>
        <w:t>4.2 Supervised CNN-BiLSTM Hindi Specialist Architecture</w:t>
      </w:r>
    </w:p>
    <w:p>
      <w:pPr>
        <w:spacing w:line="276" w:lineRule="auto" w:before="0" w:after="100"/>
        <w:jc w:val="both"/>
      </w:pPr>
      <w:r>
        <w:rPr>
          <w:rFonts w:ascii="Times New Roman" w:hAnsi="Times New Roman"/>
          <w:color w:val="000000"/>
          <w:sz w:val="19"/>
        </w:rPr>
        <w:t>For supervised adaptation to Hindi speech, we deploy a specialized lightweight CNN-BiLSTM network operating on 40-dimensional Mel-Frequency Cepstral Coefficients (MFCCs) extracted with a 25 ms analysis window and 10 ms hop size. The network architecture comprises: (1) a 3-layer 1D Convolutional frontend (Conv1D-64, Conv1D-128, and Conv1D-256 with kernel size 3, padding 1, ReLU activations, and BatchNorm1d) to extract local spectro-temporal features; (2) a 2-layer Bidirectional LSTM (hidden size 128 per direction, yielding 256 output dimensions, with recurrent dropout p = 0.3) to capture bidirectional contextual prosody; (3) a masked temporal mean pooling layer across speech frames; and (4) a linear classification probe with Dropout(0.3) projecting onto the 5 Hindi emotion classes. The model contains 924,485 parameters, all of which are trained end-to-end directly on the Hindi training partition.</w:t>
      </w:r>
    </w:p>
    <w:p>
      <w:pPr>
        <w:keepNext/>
        <w:spacing w:before="200" w:after="60"/>
        <w:jc w:val="left"/>
      </w:pPr>
      <w:r>
        <w:rPr>
          <w:rFonts w:ascii="Times New Roman" w:hAnsi="Times New Roman"/>
          <w:b/>
          <w:color w:val="000000"/>
          <w:sz w:val="21"/>
        </w:rPr>
        <w:t>4.3 Audio Behaviour Engine Telemetry</w:t>
      </w:r>
    </w:p>
    <w:p>
      <w:pPr>
        <w:spacing w:line="276" w:lineRule="auto" w:before="0" w:after="100"/>
        <w:jc w:val="both"/>
      </w:pPr>
      <w:r>
        <w:rPr>
          <w:rFonts w:ascii="Times New Roman" w:hAnsi="Times New Roman"/>
          <w:color w:val="000000"/>
          <w:sz w:val="19"/>
        </w:rPr>
        <w:t>The Behaviour Engine calculates four continuous acoustic descriptors: (1) Syllabic Speaking Speed (R_speech = N_syl / T_active in syllables/second), (2) Pause Frequency and Silence Ratio (P_ratio = T_silence / T_total * 100%), (3) Vocal Energy Dynamics (RMS_dB = 20 * log10(RMS_t + eps)), and (4) Fundamental Frequency Intonation (F0) computed via the probabilistic YIN (pYIN) algorithm [29].</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40"/>
        <w:gridCol w:w="5040"/>
      </w:tblGrid>
      <w:tr>
        <w:tc>
          <w:tcPr>
            <w:tcW w:type="dxa" w:w="8352"/>
            <w:vAlign w:val="center"/>
            <w:tcMar>
              <w:top w:w="40" w:type="dxa"/>
              <w:bottom w:w="40" w:type="dxa"/>
              <w:left w:w="0" w:type="dxa"/>
              <w:right w:w="0" w:type="dxa"/>
            </w:tcMar>
          </w:tcPr>
          <w:p>
            <w:pPr>
              <w:spacing w:before="0" w:after="0"/>
              <w:jc w:val="center"/>
            </w:pPr>
            <m:oMathPara>
              <m:oMath>
                <m:sSub>
                  <m:e>
                    <m:r>
                      <m:t>R</m:t>
                    </m:r>
                  </m:e>
                  <m:sub>
                    <m:r>
                      <m:t>speech</m:t>
                    </m:r>
                  </m:sub>
                </m:sSub>
                <m:r>
                  <m:t> = </m:t>
                </m:r>
                <m:f>
                  <m:num>
                    <m:sSub>
                      <m:e>
                        <m:r>
                          <m:t>N</m:t>
                        </m:r>
                      </m:e>
                      <m:sub>
                        <m:r>
                          <m:t>syl</m:t>
                        </m:r>
                      </m:sub>
                    </m:sSub>
                  </m:num>
                  <m:den>
                    <m:sSub>
                      <m:e>
                        <m:r>
                          <m:t>T</m:t>
                        </m:r>
                      </m:e>
                      <m:sub>
                        <m:r>
                          <m:t>active</m:t>
                        </m:r>
                      </m:sub>
                    </m:sSub>
                  </m:den>
                </m:f>
                <m:r>
                  <m:t>  (syl/s),    </m:t>
                </m:r>
                <m:sSub>
                  <m:e>
                    <m:r>
                      <m:t>P</m:t>
                    </m:r>
                  </m:e>
                  <m:sub>
                    <m:r>
                      <m:t>ratio</m:t>
                    </m:r>
                  </m:sub>
                </m:sSub>
                <m:r>
                  <m:t> = </m:t>
                </m:r>
                <m:f>
                  <m:num>
                    <m:sSub>
                      <m:e>
                        <m:r>
                          <m:t>T</m:t>
                        </m:r>
                      </m:e>
                      <m:sub>
                        <m:r>
                          <m:t>silence</m:t>
                        </m:r>
                      </m:sub>
                    </m:sSub>
                  </m:num>
                  <m:den>
                    <m:sSub>
                      <m:e>
                        <m:r>
                          <m:t>T</m:t>
                        </m:r>
                      </m:e>
                      <m:sub>
                        <m:r>
                          <m:t>total</m:t>
                        </m:r>
                      </m:sub>
                    </m:sSub>
                  </m:den>
                </m:f>
                <m:r>
                  <m:t> × 100%</m:t>
                </m:r>
              </m:oMath>
            </m:oMathPara>
          </w:p>
        </w:tc>
        <w:tc>
          <w:tcPr>
            <w:tcW w:type="dxa" w:w="1008"/>
            <w:vAlign w:val="center"/>
            <w:tcMar>
              <w:top w:w="40" w:type="dxa"/>
              <w:bottom w:w="40" w:type="dxa"/>
              <w:left w:w="0" w:type="dxa"/>
              <w:right w:w="0" w:type="dxa"/>
            </w:tcMar>
          </w:tcPr>
          <w:p>
            <w:pPr>
              <w:spacing w:before="0" w:after="0"/>
              <w:jc w:val="right"/>
            </w:pPr>
            <w:r>
              <w:rPr>
                <w:rFonts w:ascii="Times New Roman" w:hAnsi="Times New Roman"/>
                <w:color w:val="000000"/>
                <w:sz w:val="20"/>
              </w:rPr>
              <w:t>(4)</w:t>
            </w:r>
          </w:p>
        </w:tc>
      </w:tr>
    </w:tbl>
    <w:p>
      <w:pPr>
        <w:spacing w:after="40"/>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40"/>
        <w:gridCol w:w="5040"/>
      </w:tblGrid>
      <w:tr>
        <w:tc>
          <w:tcPr>
            <w:tcW w:type="dxa" w:w="8352"/>
            <w:vAlign w:val="center"/>
            <w:tcMar>
              <w:top w:w="40" w:type="dxa"/>
              <w:bottom w:w="40" w:type="dxa"/>
              <w:left w:w="0" w:type="dxa"/>
              <w:right w:w="0" w:type="dxa"/>
            </w:tcMar>
          </w:tcPr>
          <w:p>
            <w:pPr>
              <w:spacing w:before="0" w:after="0"/>
              <w:jc w:val="center"/>
            </w:pPr>
            <m:oMathPara>
              <m:oMath>
                <m:sSub>
                  <m:e>
                    <m:r>
                      <m:t>RMS</m:t>
                    </m:r>
                  </m:e>
                  <m:sub>
                    <m:r>
                      <m:t>dB</m:t>
                    </m:r>
                  </m:sub>
                </m:sSub>
                <m:r>
                  <m:t> = 20 </m:t>
                </m:r>
                <m:sSub>
                  <m:e>
                    <m:r>
                      <m:t>log</m:t>
                    </m:r>
                  </m:e>
                  <m:sub>
                    <m:r>
                      <m:t>10</m:t>
                    </m:r>
                  </m:sub>
                </m:sSub>
                <m:d>
                  <m:dPr>
                    <m:begChr m:val="("/>
                    <m:endChr m:val=")"/>
                  </m:dPr>
                  <m:e>
                    <m:sSub>
                      <m:e>
                        <m:r>
                          <m:t>RMS</m:t>
                        </m:r>
                      </m:e>
                      <m:sub>
                        <m:r>
                          <m:t>t</m:t>
                        </m:r>
                      </m:sub>
                    </m:sSub>
                    <m:r>
                      <m:t> + ε</m:t>
                    </m:r>
                  </m:e>
                </m:d>
                <m:r>
                  <m:t>,    </m:t>
                </m:r>
                <m:sSub>
                  <m:e>
                    <m:r>
                      <m:t>σ</m:t>
                    </m:r>
                  </m:e>
                  <m:sub>
                    <m:sSub>
                      <m:e>
                        <m:r>
                          <m:t>F</m:t>
                        </m:r>
                      </m:e>
                      <m:sub>
                        <m:r>
                          <m:t>0</m:t>
                        </m:r>
                      </m:sub>
                    </m:sSub>
                  </m:sub>
                </m:sSub>
                <m:r>
                  <m:t> = </m:t>
                </m:r>
                <m:rad>
                  <m:radPr>
                    <m:degHide m:val="1"/>
                  </m:radPr>
                  <m:deg/>
                  <m:e>
                    <m:f>
                      <m:num>
                        <m:r>
                          <m:t>1</m:t>
                        </m:r>
                      </m:num>
                      <m:den>
                        <m:r>
                          <m:t>M</m:t>
                        </m:r>
                      </m:den>
                    </m:f>
                    <m:nary>
                      <m:naryPr>
                        <m:chr m:val="∑"/>
                        <m:limLoc m:val="undOvr"/>
                      </m:naryPr>
                      <m:sub>
                        <m:r>
                          <m:t>m=1</m:t>
                        </m:r>
                      </m:sub>
                      <m:sup>
                        <m:r>
                          <m:t>M</m:t>
                        </m:r>
                      </m:sup>
                      <m:e>
                        <m:sSup>
                          <m:e>
                            <m:d>
                              <m:dPr>
                                <m:begChr m:val="("/>
                                <m:endChr m:val=")"/>
                              </m:dPr>
                              <m:e>
                                <m:sSub>
                                  <m:e>
                                    <m:r>
                                      <m:t>F</m:t>
                                    </m:r>
                                  </m:e>
                                  <m:sub>
                                    <m:r>
                                      <m:t>0</m:t>
                                    </m:r>
                                  </m:sub>
                                </m:sSub>
                                <m:d>
                                  <m:dPr>
                                    <m:begChr m:val="["/>
                                    <m:endChr m:val="]"/>
                                  </m:dPr>
                                  <m:e>
                                    <m:r>
                                      <m:t>m</m:t>
                                    </m:r>
                                  </m:e>
                                </m:d>
                                <m:r>
                                  <m:t> - </m:t>
                                </m:r>
                                <m:bar>
                                  <m:barPr>
                                    <m:pos m:val="top"/>
                                  </m:barPr>
                                  <m:e>
                                    <m:sSub>
                                      <m:e>
                                        <m:r>
                                          <m:t>F</m:t>
                                        </m:r>
                                      </m:e>
                                      <m:sub>
                                        <m:r>
                                          <m:t>0</m:t>
                                        </m:r>
                                      </m:sub>
                                    </m:sSub>
                                  </m:e>
                                </m:bar>
                              </m:e>
                            </m:d>
                          </m:e>
                          <m:sup>
                            <m:r>
                              <m:t>2</m:t>
                            </m:r>
                          </m:sup>
                        </m:sSup>
                      </m:e>
                    </m:nary>
                  </m:e>
                </m:rad>
              </m:oMath>
            </m:oMathPara>
          </w:p>
        </w:tc>
        <w:tc>
          <w:tcPr>
            <w:tcW w:type="dxa" w:w="1008"/>
            <w:vAlign w:val="center"/>
            <w:tcMar>
              <w:top w:w="40" w:type="dxa"/>
              <w:bottom w:w="40" w:type="dxa"/>
              <w:left w:w="0" w:type="dxa"/>
              <w:right w:w="0" w:type="dxa"/>
            </w:tcMar>
          </w:tcPr>
          <w:p>
            <w:pPr>
              <w:spacing w:before="0" w:after="0"/>
              <w:jc w:val="right"/>
            </w:pPr>
            <w:r>
              <w:rPr>
                <w:rFonts w:ascii="Times New Roman" w:hAnsi="Times New Roman"/>
                <w:color w:val="000000"/>
                <w:sz w:val="20"/>
              </w:rPr>
              <w:t>(5)</w:t>
            </w:r>
          </w:p>
        </w:tc>
      </w:tr>
    </w:tbl>
    <w:p>
      <w:pPr>
        <w:spacing w:after="40"/>
      </w:pPr>
    </w:p>
    <w:p>
      <w:pPr>
        <w:keepNext/>
        <w:spacing w:before="280" w:after="80"/>
        <w:jc w:val="left"/>
      </w:pPr>
      <w:r>
        <w:rPr>
          <w:rFonts w:ascii="Times New Roman" w:hAnsi="Times New Roman"/>
          <w:b/>
          <w:color w:val="000000"/>
          <w:sz w:val="24"/>
        </w:rPr>
        <w:t>5. Experimental Setup &amp; Evaluation Metrics</w:t>
      </w:r>
    </w:p>
    <w:p>
      <w:pPr>
        <w:spacing w:line="276" w:lineRule="auto" w:before="0" w:after="100"/>
        <w:jc w:val="both"/>
      </w:pPr>
      <w:r>
        <w:rPr>
          <w:rFonts w:ascii="Times New Roman" w:hAnsi="Times New Roman"/>
          <w:color w:val="000000"/>
          <w:sz w:val="19"/>
        </w:rPr>
        <w:t>All experiments were conducted using PyTorch 2.x with Metal Performance Shaders (MPS) hardware acceleration on Apple Silicon. Models were trained using the AdamW optimizer with Cosine Annealing learning rate schedules. For the Universal HuBERT probe, the backbone remained strictly frozen, with the linear classification head and layer weights optimized at a learning rate of 1e-3. The CNN-BiLSTM was optimized at 5e-4 with ReduceLROnPlateau. Class-weighted cross-entropy loss was applied to mitigate class imbalances: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40"/>
        <w:gridCol w:w="5040"/>
      </w:tblGrid>
      <w:tr>
        <w:tc>
          <w:tcPr>
            <w:tcW w:type="dxa" w:w="8352"/>
            <w:vAlign w:val="center"/>
            <w:tcMar>
              <w:top w:w="40" w:type="dxa"/>
              <w:bottom w:w="40" w:type="dxa"/>
              <w:left w:w="0" w:type="dxa"/>
              <w:right w:w="0" w:type="dxa"/>
            </w:tcMar>
          </w:tcPr>
          <w:p>
            <w:pPr>
              <w:spacing w:before="0" w:after="0"/>
              <w:jc w:val="center"/>
            </w:pPr>
            <m:oMathPara>
              <m:oMath>
                <m:sSub>
                  <m:e>
                    <m:r>
                      <m:t>ℒ</m:t>
                    </m:r>
                  </m:e>
                  <m:sub>
                    <m:r>
                      <m:t>CE</m:t>
                    </m:r>
                  </m:sub>
                </m:sSub>
                <m:r>
                  <m:t> = - </m:t>
                </m:r>
                <m:nary>
                  <m:naryPr>
                    <m:chr m:val="∑"/>
                    <m:limLoc m:val="undOvr"/>
                  </m:naryPr>
                  <m:sub>
                    <m:r>
                      <m:t>k=1</m:t>
                    </m:r>
                  </m:sub>
                  <m:sup>
                    <m:r>
                      <m:t>K</m:t>
                    </m:r>
                  </m:sup>
                  <m:e>
                    <m:sSub>
                      <m:e>
                        <m:r>
                          <m:t>w</m:t>
                        </m:r>
                      </m:e>
                      <m:sub>
                        <m:r>
                          <m:t>k</m:t>
                        </m:r>
                      </m:sub>
                    </m:sSub>
                    <m:sSub>
                      <m:e>
                        <m:r>
                          <m:t>y</m:t>
                        </m:r>
                      </m:e>
                      <m:sub>
                        <m:r>
                          <m:t>k</m:t>
                        </m:r>
                      </m:sub>
                    </m:sSub>
                    <m:r>
                      <m:t> log </m:t>
                    </m:r>
                    <m:sSub>
                      <m:e>
                        <m:acc>
                          <m:accPr>
                            <m:chr m:val="^"/>
                          </m:accPr>
                          <m:e>
                            <m:r>
                              <m:t>y</m:t>
                            </m:r>
                          </m:e>
                        </m:acc>
                      </m:e>
                      <m:sub>
                        <m:r>
                          <m:t>k</m:t>
                        </m:r>
                      </m:sub>
                    </m:sSub>
                  </m:e>
                </m:nary>
                <m:r>
                  <m:t>,   where   </m:t>
                </m:r>
                <m:sSub>
                  <m:e>
                    <m:r>
                      <m:t>w</m:t>
                    </m:r>
                  </m:e>
                  <m:sub>
                    <m:r>
                      <m:t>k</m:t>
                    </m:r>
                  </m:sub>
                </m:sSub>
                <m:r>
                  <m:t> = </m:t>
                </m:r>
                <m:f>
                  <m:num>
                    <m:sSub>
                      <m:e>
                        <m:r>
                          <m:t>N</m:t>
                        </m:r>
                      </m:e>
                      <m:sub>
                        <m:r>
                          <m:t>total</m:t>
                        </m:r>
                      </m:sub>
                    </m:sSub>
                  </m:num>
                  <m:den>
                    <m:r>
                      <m:t>K · </m:t>
                    </m:r>
                    <m:sSub>
                      <m:e>
                        <m:r>
                          <m:t>N</m:t>
                        </m:r>
                      </m:e>
                      <m:sub>
                        <m:r>
                          <m:t>k</m:t>
                        </m:r>
                      </m:sub>
                    </m:sSub>
                  </m:den>
                </m:f>
              </m:oMath>
            </m:oMathPara>
          </w:p>
        </w:tc>
        <w:tc>
          <w:tcPr>
            <w:tcW w:type="dxa" w:w="1008"/>
            <w:vAlign w:val="center"/>
            <w:tcMar>
              <w:top w:w="40" w:type="dxa"/>
              <w:bottom w:w="40" w:type="dxa"/>
              <w:left w:w="0" w:type="dxa"/>
              <w:right w:w="0" w:type="dxa"/>
            </w:tcMar>
          </w:tcPr>
          <w:p>
            <w:pPr>
              <w:spacing w:before="0" w:after="0"/>
              <w:jc w:val="right"/>
            </w:pPr>
            <w:r>
              <w:rPr>
                <w:rFonts w:ascii="Times New Roman" w:hAnsi="Times New Roman"/>
                <w:color w:val="000000"/>
                <w:sz w:val="20"/>
              </w:rPr>
              <w:t>(6)</w:t>
            </w:r>
          </w:p>
        </w:tc>
      </w:tr>
    </w:tbl>
    <w:p>
      <w:pPr>
        <w:spacing w:after="40"/>
      </w:pPr>
    </w:p>
    <w:p>
      <w:pPr>
        <w:spacing w:line="276" w:lineRule="auto" w:before="0" w:after="100"/>
        <w:jc w:val="both"/>
      </w:pPr>
      <w:r>
        <w:rPr>
          <w:rFonts w:ascii="Times New Roman" w:hAnsi="Times New Roman"/>
          <w:color w:val="000000"/>
          <w:sz w:val="19"/>
        </w:rPr>
        <w:t>Models were evaluated using Overall Accuracy, Macro-Averaged F1-score, and Unweighted Average Recall (UAR) [13]:</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40"/>
        <w:gridCol w:w="5040"/>
      </w:tblGrid>
      <w:tr>
        <w:tc>
          <w:tcPr>
            <w:tcW w:type="dxa" w:w="8352"/>
            <w:vAlign w:val="center"/>
            <w:tcMar>
              <w:top w:w="40" w:type="dxa"/>
              <w:bottom w:w="40" w:type="dxa"/>
              <w:left w:w="0" w:type="dxa"/>
              <w:right w:w="0" w:type="dxa"/>
            </w:tcMar>
          </w:tcPr>
          <w:p>
            <w:pPr>
              <w:spacing w:before="0" w:after="0"/>
              <w:jc w:val="center"/>
            </w:pPr>
            <m:oMathPara>
              <m:oMath>
                <m:r>
                  <m:t>UAR = </m:t>
                </m:r>
                <m:f>
                  <m:num>
                    <m:r>
                      <m:t>1</m:t>
                    </m:r>
                  </m:num>
                  <m:den>
                    <m:r>
                      <m:t>K</m:t>
                    </m:r>
                  </m:den>
                </m:f>
                <m:nary>
                  <m:naryPr>
                    <m:chr m:val="∑"/>
                    <m:limLoc m:val="undOvr"/>
                  </m:naryPr>
                  <m:sub>
                    <m:r>
                      <m:t>k=1</m:t>
                    </m:r>
                  </m:sub>
                  <m:sup>
                    <m:r>
                      <m:t>K</m:t>
                    </m:r>
                  </m:sup>
                  <m:e>
                    <m:f>
                      <m:num>
                        <m:sSub>
                          <m:e>
                            <m:r>
                              <m:t>TP</m:t>
                            </m:r>
                          </m:e>
                          <m:sub>
                            <m:r>
                              <m:t>k</m:t>
                            </m:r>
                          </m:sub>
                        </m:sSub>
                      </m:num>
                      <m:den>
                        <m:sSub>
                          <m:e>
                            <m:r>
                              <m:t>TP</m:t>
                            </m:r>
                          </m:e>
                          <m:sub>
                            <m:r>
                              <m:t>k</m:t>
                            </m:r>
                          </m:sub>
                        </m:sSub>
                        <m:r>
                          <m:t> + </m:t>
                        </m:r>
                        <m:sSub>
                          <m:e>
                            <m:r>
                              <m:t>FN</m:t>
                            </m:r>
                          </m:e>
                          <m:sub>
                            <m:r>
                              <m:t>k</m:t>
                            </m:r>
                          </m:sub>
                        </m:sSub>
                      </m:den>
                    </m:f>
                  </m:e>
                </m:nary>
              </m:oMath>
            </m:oMathPara>
          </w:p>
        </w:tc>
        <w:tc>
          <w:tcPr>
            <w:tcW w:type="dxa" w:w="1008"/>
            <w:vAlign w:val="center"/>
            <w:tcMar>
              <w:top w:w="40" w:type="dxa"/>
              <w:bottom w:w="40" w:type="dxa"/>
              <w:left w:w="0" w:type="dxa"/>
              <w:right w:w="0" w:type="dxa"/>
            </w:tcMar>
          </w:tcPr>
          <w:p>
            <w:pPr>
              <w:spacing w:before="0" w:after="0"/>
              <w:jc w:val="right"/>
            </w:pPr>
            <w:r>
              <w:rPr>
                <w:rFonts w:ascii="Times New Roman" w:hAnsi="Times New Roman"/>
                <w:color w:val="000000"/>
                <w:sz w:val="20"/>
              </w:rPr>
              <w:t>(7)</w:t>
            </w:r>
          </w:p>
        </w:tc>
      </w:tr>
    </w:tbl>
    <w:p>
      <w:pPr>
        <w:spacing w:after="40"/>
      </w:pPr>
    </w:p>
    <w:p>
      <w:pPr>
        <w:spacing w:before="160" w:after="40"/>
        <w:jc w:val="center"/>
      </w:pPr>
      <w:r>
        <w:rPr>
          <w:rFonts w:ascii="Times New Roman" w:hAnsi="Times New Roman"/>
          <w:b/>
          <w:color w:val="000000"/>
          <w:sz w:val="19"/>
        </w:rPr>
        <w:t>Table 4: Comprehensive Experimental &amp; Hyperparameter Reproducibility Specifications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3360"/>
        <w:gridCol w:w="3360"/>
        <w:gridCol w:w="3360"/>
      </w:tblGrid>
      <w:tr>
        <w:tc>
          <w:tcPr>
            <w:tcW w:type="dxa" w:w="3360"/>
            <w:tcMar>
              <w:top w:w="50" w:type="dxa"/>
              <w:bottom w:w="50" w:type="dxa"/>
              <w:left w:w="70" w:type="dxa"/>
              <w:right w:w="70" w:type="dxa"/>
            </w:tcMar>
          </w:tcPr>
          <w:p>
            <w:pPr>
              <w:spacing w:before="40" w:after="40"/>
              <w:jc w:val="left"/>
            </w:pPr>
            <w:r>
              <w:rPr>
                <w:rFonts w:ascii="Times New Roman" w:hAnsi="Times New Roman"/>
                <w:b/>
                <w:color w:val="000000"/>
                <w:sz w:val="17"/>
              </w:rPr>
              <w:t>Configuration Parameter</w:t>
            </w:r>
          </w:p>
        </w:tc>
        <w:tc>
          <w:tcPr>
            <w:tcW w:type="dxa" w:w="3360"/>
            <w:tcMar>
              <w:top w:w="50" w:type="dxa"/>
              <w:bottom w:w="50" w:type="dxa"/>
              <w:left w:w="70" w:type="dxa"/>
              <w:right w:w="70" w:type="dxa"/>
            </w:tcMar>
          </w:tcPr>
          <w:p>
            <w:pPr>
              <w:spacing w:before="40" w:after="40"/>
              <w:jc w:val="center"/>
            </w:pPr>
            <w:r>
              <w:rPr>
                <w:rFonts w:ascii="Times New Roman" w:hAnsi="Times New Roman"/>
                <w:b/>
                <w:color w:val="000000"/>
                <w:sz w:val="17"/>
              </w:rPr>
              <w:t>Universal HuBERT (Frozen Linear Probe)</w:t>
            </w:r>
          </w:p>
        </w:tc>
        <w:tc>
          <w:tcPr>
            <w:tcW w:type="dxa" w:w="3360"/>
            <w:tcMar>
              <w:top w:w="50" w:type="dxa"/>
              <w:bottom w:w="50" w:type="dxa"/>
              <w:left w:w="70" w:type="dxa"/>
              <w:right w:w="70" w:type="dxa"/>
            </w:tcMar>
          </w:tcPr>
          <w:p>
            <w:pPr>
              <w:spacing w:before="40" w:after="40"/>
              <w:jc w:val="center"/>
            </w:pPr>
            <w:r>
              <w:rPr>
                <w:rFonts w:ascii="Times New Roman" w:hAnsi="Times New Roman"/>
                <w:b/>
                <w:color w:val="000000"/>
                <w:sz w:val="17"/>
              </w:rPr>
              <w:t>CNN-BiLSTM (Hindi Specialist)</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Base Architecture / Backbone</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HuBERT-Base (facebook/hubert-base-ls960)</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3-Layer 1D CNN + 2-Layer BiLSTM</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Input Audio Representation</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Raw Audio Waveform (16 kHz, Mono)</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40-dimensional MFCCs (25ms win, 10ms hop)</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Backbone Parameter Status</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Frozen (0 gradient updates to backbone)</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Fully Trainable (End-to-End optimization)</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Trainable Parameters</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4,626 parameters (~0.005% of 94.7M)</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924,485 parameters (100% trainable)</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Target Emotion Classes</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6 Canonical Classes (English Pool)</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5 Discrete Classes (Hindi Corpus)</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Optimizer &amp; Weight Decay</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AdamW (weight decay = 1e-4)</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AdamW (weight decay = 1e-4)</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Learning Rate (Head / Net)</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1e-3 (Linear Head + Softmax Layer Weights)</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5e-4 (Full Network)</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Learning Rate Schedule</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Cosine Annealing (T_max = 25 epochs)</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ReduceLROnPlateau (factor=0.5, patience=3)</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Batch Size &amp; Max Epochs</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Batch Size = 16 | Max Epochs = 25</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Batch Size = 32 | Max Epochs = 50</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Early Stopping Patience</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5 Epochs on Validation Loss</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5 Epochs on Validation Loss</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Hardware &amp; Acceleration</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Apple Silicon MPS (Metal Performance Shaders)</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Apple Silicon MPS (Metal Performance Shaders)</w:t>
            </w:r>
          </w:p>
        </w:tc>
      </w:tr>
    </w:tbl>
    <w:p>
      <w:pPr>
        <w:spacing w:after="80"/>
      </w:pPr>
    </w:p>
    <w:p>
      <w:pPr>
        <w:keepNext/>
        <w:spacing w:before="280" w:after="80"/>
        <w:jc w:val="left"/>
      </w:pPr>
      <w:r>
        <w:rPr>
          <w:rFonts w:ascii="Times New Roman" w:hAnsi="Times New Roman"/>
          <w:b/>
          <w:color w:val="000000"/>
          <w:sz w:val="24"/>
        </w:rPr>
        <w:t>6. Benchmark Results &amp; Comparative Analysis</w:t>
      </w:r>
    </w:p>
    <w:p>
      <w:pPr>
        <w:keepNext/>
        <w:spacing w:before="200" w:after="60"/>
        <w:jc w:val="left"/>
      </w:pPr>
      <w:r>
        <w:rPr>
          <w:rFonts w:ascii="Times New Roman" w:hAnsi="Times New Roman"/>
          <w:b/>
          <w:color w:val="000000"/>
          <w:sz w:val="21"/>
        </w:rPr>
        <w:t>6.1 Universal Multi-Corpus Linear Probe Benchmark</w:t>
      </w:r>
    </w:p>
    <w:p>
      <w:pPr>
        <w:spacing w:line="276" w:lineRule="auto" w:before="0" w:after="100"/>
        <w:jc w:val="both"/>
      </w:pPr>
      <w:r>
        <w:rPr>
          <w:rFonts w:ascii="Times New Roman" w:hAnsi="Times New Roman"/>
          <w:color w:val="000000"/>
          <w:sz w:val="19"/>
        </w:rPr>
        <w:t>To evaluate whether a unified representation can generalize across diverse acoustic environments, accents, and recording conditions, a Universal HuBERT Model was trained on the combined 4-corpus dataset (121 speakers across CREMA-D, RAVDESS, SAVEE, and TESS) and evaluated against 1,701 unseen multi-corpus test utterances (1,060 CREMA-D + 360 TESS + 176 RAVDESS + 105 SAVEE).</w:t>
        <w:br/>
        <w:br/>
        <w:t>Across the 1,701 pooled test clips, Universal HuBERT achieves 68.31% aggregate accuracy (0.6779 Macro-F1, 68.61% UAR). Because the aggregate evaluation set is dominated by CREMA-D (62.3% of test clips), we also calculate the unweighted corpus-level macro-average across the four distinct corpora: 62.28% Accuracy, 0.5755 Macro-F1, and 61.93% UAR (CREMA-D: 72.45% acc / 72.03% UAR; TESS: 68.89% acc / 68.89% UAR; RAVDESS: 52.27% acc / 51.14% UAR; SAVEE: 51.43% acc / 38.10% UAR). Table 2 reports the benchmark leaderboard alongside sub-cohort breakdowns on unseen test partitions.</w:t>
      </w:r>
    </w:p>
    <w:p>
      <w:pPr>
        <w:spacing w:before="160" w:after="40"/>
        <w:jc w:val="center"/>
      </w:pPr>
      <w:r>
        <w:rPr>
          <w:rFonts w:ascii="Times New Roman" w:hAnsi="Times New Roman"/>
          <w:b/>
          <w:color w:val="000000"/>
          <w:sz w:val="19"/>
        </w:rPr>
        <w:t>Table 2: Universal Multi-Corpus Test Leaderboard (1,701 Unseen Test Clips)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2016"/>
        <w:gridCol w:w="2016"/>
        <w:gridCol w:w="2016"/>
        <w:gridCol w:w="2016"/>
        <w:gridCol w:w="2016"/>
      </w:tblGrid>
      <w:tr>
        <w:tc>
          <w:tcPr>
            <w:tcW w:type="dxa" w:w="2016"/>
            <w:tcMar>
              <w:top w:w="60" w:type="dxa"/>
              <w:bottom w:w="60" w:type="dxa"/>
              <w:left w:w="80" w:type="dxa"/>
              <w:right w:w="80" w:type="dxa"/>
            </w:tcMar>
          </w:tcPr>
          <w:p>
            <w:pPr>
              <w:spacing w:before="40" w:after="40"/>
              <w:jc w:val="left"/>
            </w:pPr>
            <w:r>
              <w:rPr>
                <w:rFonts w:ascii="Times New Roman" w:hAnsi="Times New Roman"/>
                <w:b/>
                <w:color w:val="000000"/>
                <w:sz w:val="17"/>
              </w:rPr>
              <w:t>Model / Evaluation Strategy</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Test Accuracy</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Macro-F1</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Test UAR</w:t>
            </w:r>
          </w:p>
        </w:tc>
        <w:tc>
          <w:tcPr>
            <w:tcW w:type="dxa" w:w="2016"/>
            <w:tcMar>
              <w:top w:w="60" w:type="dxa"/>
              <w:bottom w:w="60" w:type="dxa"/>
              <w:left w:w="80" w:type="dxa"/>
              <w:right w:w="80" w:type="dxa"/>
            </w:tcMar>
          </w:tcPr>
          <w:p>
            <w:pPr>
              <w:spacing w:before="40" w:after="40"/>
              <w:jc w:val="left"/>
            </w:pPr>
            <w:r>
              <w:rPr>
                <w:rFonts w:ascii="Times New Roman" w:hAnsi="Times New Roman"/>
                <w:b/>
                <w:color w:val="000000"/>
                <w:sz w:val="17"/>
              </w:rPr>
              <w:t>Status / Scope</w:t>
            </w:r>
          </w:p>
        </w:tc>
      </w:tr>
      <w:tr>
        <w:tc>
          <w:tcPr>
            <w:tcW w:type="dxa" w:w="2016"/>
            <w:tcMar>
              <w:top w:w="60" w:type="dxa"/>
              <w:bottom w:w="60" w:type="dxa"/>
              <w:left w:w="80" w:type="dxa"/>
              <w:right w:w="80" w:type="dxa"/>
            </w:tcMar>
          </w:tcPr>
          <w:p>
            <w:pPr>
              <w:spacing w:before="40" w:after="40"/>
              <w:jc w:val="left"/>
            </w:pPr>
            <w:r>
              <w:rPr>
                <w:rFonts w:ascii="Times New Roman" w:hAnsi="Times New Roman"/>
                <w:b/>
                <w:color w:val="000000"/>
                <w:sz w:val="17"/>
              </w:rPr>
              <w:t>Universal HuBERT (Frozen Transfer + Head)</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68.31%</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0.6779</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68.61%</w:t>
            </w:r>
          </w:p>
        </w:tc>
        <w:tc>
          <w:tcPr>
            <w:tcW w:type="dxa" w:w="2016"/>
            <w:tcMar>
              <w:top w:w="60" w:type="dxa"/>
              <w:bottom w:w="60" w:type="dxa"/>
              <w:left w:w="80" w:type="dxa"/>
              <w:right w:w="80" w:type="dxa"/>
            </w:tcMar>
          </w:tcPr>
          <w:p>
            <w:pPr>
              <w:spacing w:before="40" w:after="40"/>
              <w:jc w:val="left"/>
            </w:pPr>
            <w:r>
              <w:rPr>
                <w:rFonts w:ascii="Times New Roman" w:hAnsi="Times New Roman"/>
                <w:b/>
                <w:color w:val="000000"/>
                <w:sz w:val="17"/>
              </w:rPr>
              <w:t>Pooled Aggregate (4.1x chance)</w:t>
            </w:r>
          </w:p>
        </w:tc>
      </w:tr>
      <w:tr>
        <w:tc>
          <w:tcPr>
            <w:tcW w:type="dxa" w:w="2016"/>
            <w:tcMar>
              <w:top w:w="60" w:type="dxa"/>
              <w:bottom w:w="60" w:type="dxa"/>
              <w:left w:w="80" w:type="dxa"/>
              <w:right w:w="80" w:type="dxa"/>
            </w:tcMar>
          </w:tcPr>
          <w:p>
            <w:pPr>
              <w:spacing w:before="40" w:after="40"/>
              <w:jc w:val="left"/>
            </w:pPr>
            <w:r>
              <w:rPr>
                <w:rFonts w:ascii="Times New Roman" w:hAnsi="Times New Roman"/>
                <w:b/>
                <w:color w:val="000000"/>
                <w:sz w:val="17"/>
              </w:rPr>
              <w:t>Corpus-Level Unweighted Macro-Average (4 Corpora)</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62.28%</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0.5755</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61.93%</w:t>
            </w:r>
          </w:p>
        </w:tc>
        <w:tc>
          <w:tcPr>
            <w:tcW w:type="dxa" w:w="2016"/>
            <w:tcMar>
              <w:top w:w="60" w:type="dxa"/>
              <w:bottom w:w="60" w:type="dxa"/>
              <w:left w:w="80" w:type="dxa"/>
              <w:right w:w="80" w:type="dxa"/>
            </w:tcMar>
          </w:tcPr>
          <w:p>
            <w:pPr>
              <w:spacing w:before="40" w:after="40"/>
              <w:jc w:val="left"/>
            </w:pPr>
            <w:r>
              <w:rPr>
                <w:rFonts w:ascii="Times New Roman" w:hAnsi="Times New Roman"/>
                <w:b/>
                <w:color w:val="000000"/>
                <w:sz w:val="17"/>
              </w:rPr>
              <w:t>Balanced Cross-Corpus Transfer</w:t>
            </w:r>
          </w:p>
        </w:tc>
      </w:tr>
      <w:tr>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Zero-Shot CREMA-D HuBERT Baseline</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60.61%</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0.6031</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60.54%</w:t>
            </w:r>
          </w:p>
        </w:tc>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Baseline Multi-Corpus Transfer</w:t>
            </w:r>
          </w:p>
        </w:tc>
      </w:tr>
      <w:tr>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Sub-Cohort: CREMA-D (1,060 clips, 13 actors)</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72.45%</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0.7232</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72.03%</w:t>
            </w:r>
          </w:p>
        </w:tc>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Unseen Diverse Actors (IDs 1079-1091)</w:t>
            </w:r>
          </w:p>
        </w:tc>
      </w:tr>
      <w:tr>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Sub-Cohort: TESS (360 clips, 30 words)</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68.89%</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0.6771</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68.89%</w:t>
            </w:r>
          </w:p>
        </w:tc>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Unseen Vocabulary Words</w:t>
            </w:r>
          </w:p>
        </w:tc>
      </w:tr>
      <w:tr>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Sub-Cohort: RAVDESS (176 clips, 4 actors)</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52.27%</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0.5018</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51.14%</w:t>
            </w:r>
          </w:p>
        </w:tc>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Unseen Professional Actors (21-24)</w:t>
            </w:r>
          </w:p>
        </w:tc>
      </w:tr>
      <w:tr>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Sub-Cohort: SAVEE (105 clips, 1 actor)</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51.43%</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0.3999</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38.10%</w:t>
            </w:r>
          </w:p>
        </w:tc>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Single-Speaker SAVEE (Actor KL)</w:t>
            </w:r>
          </w:p>
        </w:tc>
      </w:tr>
      <w:tr>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Random Chance Baseline</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16.67%</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0.1667</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16.67%</w:t>
            </w:r>
          </w:p>
        </w:tc>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Theoretical 6-Class Floor</w:t>
            </w:r>
          </w:p>
        </w:tc>
      </w:tr>
    </w:tbl>
    <w:p>
      <w:pPr>
        <w:spacing w:after="80"/>
      </w:pPr>
    </w:p>
    <w:p>
      <w:pPr>
        <w:spacing w:before="160" w:after="60"/>
        <w:jc w:val="center"/>
      </w:pPr>
      <w:r>
        <w:drawing>
          <wp:inline xmlns:a="http://schemas.openxmlformats.org/drawingml/2006/main" xmlns:pic="http://schemas.openxmlformats.org/drawingml/2006/picture">
            <wp:extent cx="5303520" cy="2803632"/>
            <wp:docPr id="2" name="Picture 2"/>
            <wp:cNvGraphicFramePr>
              <a:graphicFrameLocks noChangeAspect="1"/>
            </wp:cNvGraphicFramePr>
            <a:graphic>
              <a:graphicData uri="http://schemas.openxmlformats.org/drawingml/2006/picture">
                <pic:pic>
                  <pic:nvPicPr>
                    <pic:cNvPr id="0" name="fig3_benchmark_performance.png"/>
                    <pic:cNvPicPr/>
                  </pic:nvPicPr>
                  <pic:blipFill>
                    <a:blip r:embed="rId12"/>
                    <a:stretch>
                      <a:fillRect/>
                    </a:stretch>
                  </pic:blipFill>
                  <pic:spPr>
                    <a:xfrm>
                      <a:off x="0" y="0"/>
                      <a:ext cx="5303520" cy="2803632"/>
                    </a:xfrm>
                    <a:prstGeom prst="rect"/>
                  </pic:spPr>
                </pic:pic>
              </a:graphicData>
            </a:graphic>
          </wp:inline>
        </w:drawing>
      </w:r>
    </w:p>
    <w:p>
      <w:pPr>
        <w:spacing w:before="40" w:after="200"/>
        <w:ind w:left="432" w:right="432"/>
        <w:jc w:val="center"/>
      </w:pPr>
      <w:r>
        <w:rPr>
          <w:rFonts w:ascii="Times New Roman" w:hAnsi="Times New Roman"/>
          <w:i/>
          <w:color w:val="000000"/>
          <w:sz w:val="18"/>
        </w:rPr>
        <w:t>Figure 2: Benchmark Accuracy and Macro-F1 across English and Hindi Speech Corpora.</w:t>
      </w:r>
    </w:p>
    <w:p>
      <w:pPr>
        <w:keepNext/>
        <w:spacing w:before="200" w:after="60"/>
        <w:jc w:val="left"/>
      </w:pPr>
      <w:r>
        <w:rPr>
          <w:rFonts w:ascii="Times New Roman" w:hAnsi="Times New Roman"/>
          <w:b/>
          <w:color w:val="000000"/>
          <w:sz w:val="21"/>
        </w:rPr>
        <w:t>6.2 In-Domain Multi-Corpus Benchmark Summary</w:t>
      </w:r>
    </w:p>
    <w:p>
      <w:pPr>
        <w:spacing w:line="276" w:lineRule="auto" w:before="0" w:after="100"/>
        <w:jc w:val="both"/>
      </w:pPr>
      <w:r>
        <w:rPr>
          <w:rFonts w:ascii="Times New Roman" w:hAnsi="Times New Roman"/>
          <w:color w:val="000000"/>
          <w:sz w:val="19"/>
        </w:rPr>
        <w:t>Individual in-domain evaluations across all five corpora reveal consistent patterns under strict speaker-disjoint splits:</w:t>
      </w:r>
    </w:p>
    <w:p>
      <w:pPr>
        <w:spacing w:line="276" w:lineRule="auto" w:before="40" w:after="80"/>
        <w:ind w:left="360"/>
        <w:jc w:val="both"/>
      </w:pPr>
      <w:r>
        <w:rPr>
          <w:rFonts w:ascii="Times New Roman" w:hAnsi="Times New Roman"/>
          <w:b/>
          <w:color w:val="000000"/>
          <w:sz w:val="19"/>
        </w:rPr>
        <w:t xml:space="preserve">• CREMA-D (91 Actors, 13 Unseen Test Actors): : </w:t>
      </w:r>
      <w:r>
        <w:rPr>
          <w:rFonts w:ascii="Times New Roman" w:hAnsi="Times New Roman"/>
          <w:color w:val="000000"/>
          <w:sz w:val="19"/>
        </w:rPr>
        <w:t>Soft-Voting Top-5 Ensemble achieved 75.57% Accuracy, 0.7594 Macro-F1, and 75.61% UAR. HuBERT with Learnable Layer Pooling reached 71.98% Accuracy (0.7209 F1), outperforming Wav2Vec2 Base (69.25%) and MFCC+CNN-BiLSTM (63.30%). Wav2Vec2-XLS-R-300M (Frozen Baseline) reached only 24.43% Accuracy (near chance level of 16.67%).</w:t>
      </w:r>
    </w:p>
    <w:p>
      <w:pPr>
        <w:spacing w:line="276" w:lineRule="auto" w:before="40" w:after="80"/>
        <w:ind w:left="360"/>
        <w:jc w:val="both"/>
      </w:pPr>
      <w:r>
        <w:rPr>
          <w:rFonts w:ascii="Times New Roman" w:hAnsi="Times New Roman"/>
          <w:b/>
          <w:color w:val="000000"/>
          <w:sz w:val="19"/>
        </w:rPr>
        <w:t xml:space="preserve">• RAVDESS (24 Actors, Actors 21 to 24 Unseen): : </w:t>
      </w:r>
      <w:r>
        <w:rPr>
          <w:rFonts w:ascii="Times New Roman" w:hAnsi="Times New Roman"/>
          <w:color w:val="000000"/>
          <w:sz w:val="19"/>
        </w:rPr>
        <w:t>Transfer Ensemble achieved 73.75% Accuracy, 0.7207 Macro-F1, and 72.27% UAR. Transfer from CREMA-D pre-training to RAVDESS produced 72.92% Accuracy, compared to 32.50% when trained from scratch using HuBERT alone. Wav2Vec2-XLS-R-300M collapsed to 13.33% Accuracy (barely above chance level of 12.50%).</w:t>
      </w:r>
    </w:p>
    <w:p>
      <w:pPr>
        <w:spacing w:line="276" w:lineRule="auto" w:before="40" w:after="80"/>
        <w:ind w:left="360"/>
        <w:jc w:val="both"/>
      </w:pPr>
      <w:r>
        <w:rPr>
          <w:rFonts w:ascii="Times New Roman" w:hAnsi="Times New Roman"/>
          <w:b/>
          <w:color w:val="000000"/>
          <w:sz w:val="19"/>
        </w:rPr>
        <w:t xml:space="preserve">• SAVEE (4 Actors, Actor KL Unseen): : </w:t>
      </w:r>
      <w:r>
        <w:rPr>
          <w:rFonts w:ascii="Times New Roman" w:hAnsi="Times New Roman"/>
          <w:color w:val="000000"/>
          <w:sz w:val="19"/>
        </w:rPr>
        <w:t>Transfer ensemble reached 51.67% Accuracy, 0.3860 Macro-F1, and 40.48% UAR, substantially surpassing the HuBERT scratch baseline of 25.83% (0.0795 F1) which suffered from vocal tract overfitting. Note: In-domain SAVEE evaluation is conducted on a single unseen British actor (Actor KL, 120 clips), introducing higher empirical variance than multi-actor cohorts.</w:t>
      </w:r>
    </w:p>
    <w:p>
      <w:pPr>
        <w:spacing w:line="276" w:lineRule="auto" w:before="40" w:after="80"/>
        <w:ind w:left="360"/>
        <w:jc w:val="both"/>
      </w:pPr>
      <w:r>
        <w:rPr>
          <w:rFonts w:ascii="Times New Roman" w:hAnsi="Times New Roman"/>
          <w:b/>
          <w:color w:val="000000"/>
          <w:sz w:val="19"/>
        </w:rPr>
        <w:t xml:space="preserve">• Controlled prompt-disjoint evaluation (TESS, 2 Actresses, 200 Words, 30 Unseen Target Words): : </w:t>
      </w:r>
      <w:r>
        <w:rPr>
          <w:rFonts w:ascii="Times New Roman" w:hAnsi="Times New Roman"/>
          <w:color w:val="000000"/>
          <w:sz w:val="19"/>
        </w:rPr>
        <w:t>All in-domain SSL foundation models achieved 100.00% Accuracy and 1.0000 Macro-F1 on prompt-independent splits. When evaluated zero-shot with the multi-corpus Universal HuBERT model, TESS performance settles at 68.89%, illustrating that the 100% in-domain score reflects the constrained acoustic complexity of the two-speaker studio recording on repeated carrier phrases rather than unbounded real-world generalization.</w:t>
      </w:r>
    </w:p>
    <w:p>
      <w:pPr>
        <w:spacing w:before="160" w:after="40"/>
        <w:jc w:val="center"/>
      </w:pPr>
      <w:r>
        <w:rPr>
          <w:rFonts w:ascii="Times New Roman" w:hAnsi="Times New Roman"/>
          <w:b/>
          <w:color w:val="000000"/>
          <w:sz w:val="19"/>
        </w:rPr>
        <w:t>Table 3: In-Domain Benchmark Leaderboard Across Evaluated Speech Corpora</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1680"/>
        <w:gridCol w:w="1680"/>
        <w:gridCol w:w="1680"/>
        <w:gridCol w:w="1680"/>
        <w:gridCol w:w="1680"/>
        <w:gridCol w:w="1680"/>
      </w:tblGrid>
      <w:tr>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Dataset</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Best Model</w:t>
            </w:r>
          </w:p>
        </w:tc>
        <w:tc>
          <w:tcPr>
            <w:tcW w:type="dxa" w:w="1680"/>
            <w:tcMar>
              <w:top w:w="60" w:type="dxa"/>
              <w:bottom w:w="60" w:type="dxa"/>
              <w:left w:w="80" w:type="dxa"/>
              <w:right w:w="80" w:type="dxa"/>
            </w:tcMar>
          </w:tcPr>
          <w:p>
            <w:pPr>
              <w:spacing w:before="40" w:after="40"/>
              <w:jc w:val="center"/>
            </w:pPr>
            <w:r>
              <w:rPr>
                <w:rFonts w:ascii="Times New Roman" w:hAnsi="Times New Roman"/>
                <w:b/>
                <w:color w:val="000000"/>
                <w:sz w:val="17"/>
              </w:rPr>
              <w:t>Accuracy</w:t>
            </w:r>
          </w:p>
        </w:tc>
        <w:tc>
          <w:tcPr>
            <w:tcW w:type="dxa" w:w="1680"/>
            <w:tcMar>
              <w:top w:w="60" w:type="dxa"/>
              <w:bottom w:w="60" w:type="dxa"/>
              <w:left w:w="80" w:type="dxa"/>
              <w:right w:w="80" w:type="dxa"/>
            </w:tcMar>
          </w:tcPr>
          <w:p>
            <w:pPr>
              <w:spacing w:before="40" w:after="40"/>
              <w:jc w:val="center"/>
            </w:pPr>
            <w:r>
              <w:rPr>
                <w:rFonts w:ascii="Times New Roman" w:hAnsi="Times New Roman"/>
                <w:b/>
                <w:color w:val="000000"/>
                <w:sz w:val="17"/>
              </w:rPr>
              <w:t>Macro-F1</w:t>
            </w:r>
          </w:p>
        </w:tc>
        <w:tc>
          <w:tcPr>
            <w:tcW w:type="dxa" w:w="1680"/>
            <w:tcMar>
              <w:top w:w="60" w:type="dxa"/>
              <w:bottom w:w="60" w:type="dxa"/>
              <w:left w:w="80" w:type="dxa"/>
              <w:right w:w="80" w:type="dxa"/>
            </w:tcMar>
          </w:tcPr>
          <w:p>
            <w:pPr>
              <w:spacing w:before="40" w:after="40"/>
              <w:jc w:val="center"/>
            </w:pPr>
            <w:r>
              <w:rPr>
                <w:rFonts w:ascii="Times New Roman" w:hAnsi="Times New Roman"/>
                <w:b/>
                <w:color w:val="000000"/>
                <w:sz w:val="17"/>
              </w:rPr>
              <w:t>UAR</w:t>
            </w:r>
          </w:p>
        </w:tc>
        <w:tc>
          <w:tcPr>
            <w:tcW w:type="dxa" w:w="1680"/>
            <w:tcMar>
              <w:top w:w="60" w:type="dxa"/>
              <w:bottom w:w="60" w:type="dxa"/>
              <w:left w:w="80" w:type="dxa"/>
              <w:right w:w="80" w:type="dxa"/>
            </w:tcMar>
          </w:tcPr>
          <w:p>
            <w:pPr>
              <w:spacing w:before="40" w:after="40"/>
              <w:jc w:val="center"/>
            </w:pPr>
            <w:r>
              <w:rPr>
                <w:rFonts w:ascii="Times New Roman" w:hAnsi="Times New Roman"/>
                <w:b/>
                <w:color w:val="000000"/>
                <w:sz w:val="17"/>
              </w:rPr>
              <w:t>Chance Floor</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CREMA-D</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Top-5 Soft-Voting Ensemble</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75.57%</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0.7594</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75.61%</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16.67%</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RAVDESS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Transfer Ensemble (CREMA-D)</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73.75%</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0.7207</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72.27%</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12.50%</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SAVEE (Single Speaker)</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Transfer Ensemble (CREMA-D)</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51.67%</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0.3860</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40.48%</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14.29%</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TESS (Controlled Prompt)</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TESS-only HuBERT / W2V2</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100.00%</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1.0000</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100.00%</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14.29%</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Hindi SER</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CNN-BiLSTM Specialist</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74.42%</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0.7201</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70.85%</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20.00%</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Hindi SER</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Top-2 Ensemble (CNN-BiLSTM + LSTM)</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75.19%</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0.7136</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70.56%</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20.00%</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Combined (Multi-Corpus)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Universal HuBERT (Frozen Probe)</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68.31%</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0.6779</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68.61%</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16.67%</w:t>
            </w:r>
          </w:p>
        </w:tc>
      </w:tr>
    </w:tbl>
    <w:p>
      <w:pPr>
        <w:spacing w:before="40" w:after="120"/>
        <w:jc w:val="left"/>
      </w:pPr>
      <w:r>
        <w:rPr>
          <w:rFonts w:ascii="Times New Roman" w:hAnsi="Times New Roman"/>
          <w:i/>
          <w:color w:val="000000"/>
          <w:sz w:val="16"/>
        </w:rPr>
        <w:t>*Note: In experimental benchmarking configs, emotion2vec+ was benchmarked via the facebook/wav2vec2-base proxy architecture and BEATs via microsoft/wavlm-base-plus under the unified 768-dimensional transformer feature extraction interface. All transformer backbones are Base variants (12 layers, 768 hidden dimensions). On SAVEE, the single-speaker test set (Actor KL) exhibits higher variance than multi-speaker test cohorts.</w:t>
      </w:r>
    </w:p>
    <w:p>
      <w:pPr>
        <w:keepNext/>
        <w:spacing w:before="200" w:after="60"/>
        <w:jc w:val="left"/>
      </w:pPr>
      <w:r>
        <w:rPr>
          <w:rFonts w:ascii="Times New Roman" w:hAnsi="Times New Roman"/>
          <w:b/>
          <w:color w:val="000000"/>
          <w:sz w:val="21"/>
        </w:rPr>
        <w:t>6.3 Technical Analysis of Wav2Vec2-XLS-R-300M Representation Mismatch</w:t>
      </w:r>
    </w:p>
    <w:p>
      <w:pPr>
        <w:spacing w:line="276" w:lineRule="auto" w:before="0" w:after="100"/>
        <w:jc w:val="both"/>
      </w:pPr>
      <w:r>
        <w:rPr>
          <w:rFonts w:ascii="Times New Roman" w:hAnsi="Times New Roman"/>
          <w:color w:val="000000"/>
          <w:sz w:val="19"/>
        </w:rPr>
        <w:t>Across all evaluated corpora, Wav2Vec2-XLS-R-300M [10] performed near random chance (13.33% on RAVDESS, 24.43% on CREMA-D, 12.50% on SAVEE, and 19.76% on TESS), underperforming shallow MFCC baselines. Three primary technical factors explain this behavior:</w:t>
      </w:r>
    </w:p>
    <w:p>
      <w:pPr>
        <w:spacing w:line="276" w:lineRule="auto" w:before="40" w:after="80"/>
        <w:ind w:left="360"/>
        <w:jc w:val="both"/>
      </w:pPr>
      <w:r>
        <w:rPr>
          <w:rFonts w:ascii="Times New Roman" w:hAnsi="Times New Roman"/>
          <w:b/>
          <w:color w:val="000000"/>
          <w:sz w:val="19"/>
        </w:rPr>
        <w:t xml:space="preserve">1. ASR Invariant Pre-training Objective: : </w:t>
      </w:r>
      <w:r>
        <w:rPr>
          <w:rFonts w:ascii="Times New Roman" w:hAnsi="Times New Roman"/>
          <w:color w:val="000000"/>
          <w:sz w:val="19"/>
        </w:rPr>
        <w:t>One possible explanation is that the ASR-oriented pretraining objective may reduce the usefulness of affective acoustic variation for this downstream task. Because cross-lingual speech recognition models optimize for phonetic invariance across 128 languages, speaker-specific pitch variations and emotional intonations are treated as nuisance parameters and attenuated in the upper representations.</w:t>
      </w:r>
    </w:p>
    <w:p>
      <w:pPr>
        <w:spacing w:line="276" w:lineRule="auto" w:before="40" w:after="80"/>
        <w:ind w:left="360"/>
        <w:jc w:val="both"/>
      </w:pPr>
      <w:r>
        <w:rPr>
          <w:rFonts w:ascii="Times New Roman" w:hAnsi="Times New Roman"/>
          <w:b/>
          <w:color w:val="000000"/>
          <w:sz w:val="19"/>
        </w:rPr>
        <w:t xml:space="preserve">2. Top-Layer Specialization: : </w:t>
      </w:r>
      <w:r>
        <w:rPr>
          <w:rFonts w:ascii="Times New Roman" w:hAnsi="Times New Roman"/>
          <w:color w:val="000000"/>
          <w:sz w:val="19"/>
        </w:rPr>
        <w:t>Unlike our HuBERT framework which incorporates learnable layer pooling across intermediate depths, the frozen XLS-R baseline extracted features exclusively from its 24th (final) layer. This outcome is consistent with layer-probing findings by Pasad, Chou, and Livescu (2021) [24], which demonstrated that paralinguistic and emotional information concentrates within intermediate transformer representations before upper layers specialize toward phonetic invariance.</w:t>
      </w:r>
    </w:p>
    <w:p>
      <w:pPr>
        <w:spacing w:line="276" w:lineRule="auto" w:before="40" w:after="80"/>
        <w:ind w:left="360"/>
        <w:jc w:val="both"/>
      </w:pPr>
      <w:r>
        <w:rPr>
          <w:rFonts w:ascii="Times New Roman" w:hAnsi="Times New Roman"/>
          <w:b/>
          <w:color w:val="000000"/>
          <w:sz w:val="19"/>
        </w:rPr>
        <w:t xml:space="preserve">3. Capacity-to-Sample Mismatch: : </w:t>
      </w:r>
      <w:r>
        <w:rPr>
          <w:rFonts w:ascii="Times New Roman" w:hAnsi="Times New Roman"/>
          <w:color w:val="000000"/>
          <w:sz w:val="19"/>
        </w:rPr>
        <w:t>Projecting a frozen 1024-dimensional representation from a 317M-parameter model onto tiny target datasets (e.g., 384 SAVEE clips or 960 RAVDESS clips) without layer-wise adaptation creates an acute representation mismatch that prevents effective linear separation.</w:t>
      </w:r>
    </w:p>
    <w:p>
      <w:pPr>
        <w:keepNext/>
        <w:spacing w:before="280" w:after="80"/>
        <w:jc w:val="left"/>
      </w:pPr>
      <w:r>
        <w:rPr>
          <w:rFonts w:ascii="Times New Roman" w:hAnsi="Times New Roman"/>
          <w:b/>
          <w:color w:val="000000"/>
          <w:sz w:val="24"/>
        </w:rPr>
        <w:t>7. Empirical Findings &amp; Ablation Studies</w:t>
      </w:r>
    </w:p>
    <w:p>
      <w:pPr>
        <w:keepNext/>
        <w:spacing w:before="200" w:after="60"/>
        <w:jc w:val="left"/>
      </w:pPr>
      <w:r>
        <w:rPr>
          <w:rFonts w:ascii="Times New Roman" w:hAnsi="Times New Roman"/>
          <w:b/>
          <w:color w:val="000000"/>
          <w:sz w:val="21"/>
        </w:rPr>
        <w:t>7.1 Effect of Training Speaker Diversity on Cross-Speaker Generalization</w:t>
      </w:r>
    </w:p>
    <w:p>
      <w:pPr>
        <w:spacing w:line="276" w:lineRule="auto" w:before="0" w:after="100"/>
        <w:jc w:val="both"/>
      </w:pPr>
      <w:r>
        <w:rPr>
          <w:rFonts w:ascii="Times New Roman" w:hAnsi="Times New Roman"/>
          <w:color w:val="000000"/>
          <w:sz w:val="19"/>
        </w:rPr>
        <w:t>Comparing performance across SAVEE (3 training actors), RAVDESS (20 training actors), and CREMA-D (78 training actors) demonstrates a consistent relationship between speaker cohort size and generalization capability on strictly unseen test speakers. Evaluating HuBERT models trained from scratch across these datasets reveals that on SAVEE (3 training speakers), HuBERT achieved only 25.83% test accuracy (Macro-F1 0.0795) due to vocal tract overfitting on the limited speaker cohort. Expanding the training cohort to 20 actors in RAVDESS elevated scratch HuBERT accuracy to 32.50% (and 68.75% for the scratch ensemble). In CREMA-D, with 78 training actors, HuBERT from scratch reached 71.98% accuracy (and 75.57% for the ensemble). These empirical results indicate that broader speaker diversity during training is associated with improved speaker-independent generalization across unseen cohorts, whereas training on minimal speaker cohorts risks acute speaker identity memorization.</w:t>
      </w:r>
    </w:p>
    <w:p>
      <w:pPr>
        <w:spacing w:before="160" w:after="60"/>
        <w:jc w:val="center"/>
      </w:pPr>
      <w:r>
        <w:drawing>
          <wp:inline xmlns:a="http://schemas.openxmlformats.org/drawingml/2006/main" xmlns:pic="http://schemas.openxmlformats.org/drawingml/2006/picture">
            <wp:extent cx="5303520" cy="2813031"/>
            <wp:docPr id="3" name="Picture 3"/>
            <wp:cNvGraphicFramePr>
              <a:graphicFrameLocks noChangeAspect="1"/>
            </wp:cNvGraphicFramePr>
            <a:graphic>
              <a:graphicData uri="http://schemas.openxmlformats.org/drawingml/2006/picture">
                <pic:pic>
                  <pic:nvPicPr>
                    <pic:cNvPr id="0" name="fig2_layer_weights.png"/>
                    <pic:cNvPicPr/>
                  </pic:nvPicPr>
                  <pic:blipFill>
                    <a:blip r:embed="rId13"/>
                    <a:stretch>
                      <a:fillRect/>
                    </a:stretch>
                  </pic:blipFill>
                  <pic:spPr>
                    <a:xfrm>
                      <a:off x="0" y="0"/>
                      <a:ext cx="5303520" cy="2813031"/>
                    </a:xfrm>
                    <a:prstGeom prst="rect"/>
                  </pic:spPr>
                </pic:pic>
              </a:graphicData>
            </a:graphic>
          </wp:inline>
        </w:drawing>
      </w:r>
    </w:p>
    <w:p>
      <w:pPr>
        <w:spacing w:before="40" w:after="200"/>
        <w:ind w:left="432" w:right="432"/>
        <w:jc w:val="center"/>
      </w:pPr>
      <w:r>
        <w:rPr>
          <w:rFonts w:ascii="Times New Roman" w:hAnsi="Times New Roman"/>
          <w:i/>
          <w:color w:val="000000"/>
          <w:sz w:val="18"/>
        </w:rPr>
        <w:t>Figure 3: Empirical Layer Weight Distribution in Learnable Weighted Layer Pooling (Layers 9 to 11 receive 31.95%, total sum = 100.00%).</w:t>
      </w:r>
    </w:p>
    <w:p>
      <w:pPr>
        <w:keepNext/>
        <w:spacing w:before="200" w:after="60"/>
        <w:jc w:val="left"/>
      </w:pPr>
      <w:r>
        <w:rPr>
          <w:rFonts w:ascii="Times New Roman" w:hAnsi="Times New Roman"/>
          <w:b/>
          <w:color w:val="000000"/>
          <w:sz w:val="21"/>
        </w:rPr>
        <w:t>7.2 Layer Weight Distribution Across Transformer Depth</w:t>
      </w:r>
    </w:p>
    <w:p>
      <w:pPr>
        <w:spacing w:line="276" w:lineRule="auto" w:before="0" w:after="100"/>
        <w:jc w:val="both"/>
      </w:pPr>
      <w:r>
        <w:rPr>
          <w:rFonts w:ascii="Times New Roman" w:hAnsi="Times New Roman"/>
          <w:color w:val="000000"/>
          <w:sz w:val="19"/>
        </w:rPr>
        <w:t>Figure 3 illustrates the learned softmax weights alpha across the 12 transformer encoder blocks of the Universal HuBERT model:</w:t>
      </w:r>
    </w:p>
    <w:p>
      <w:pPr>
        <w:spacing w:line="276" w:lineRule="auto" w:before="40" w:after="80"/>
        <w:ind w:left="360"/>
        <w:jc w:val="both"/>
      </w:pPr>
      <w:r>
        <w:rPr>
          <w:rFonts w:ascii="Times New Roman" w:hAnsi="Times New Roman"/>
          <w:b/>
          <w:color w:val="000000"/>
          <w:sz w:val="19"/>
        </w:rPr>
        <w:t xml:space="preserve">• Early Layers (Layers 1 to 4): : </w:t>
      </w:r>
      <w:r>
        <w:rPr>
          <w:rFonts w:ascii="Times New Roman" w:hAnsi="Times New Roman"/>
          <w:color w:val="000000"/>
          <w:sz w:val="19"/>
        </w:rPr>
        <w:t>Weights remain basal (alpha_1 = 0.0707, alpha_2 = 0.0710, alpha_3 = 0.0711, alpha_4 = 0.0712, representing 7.07% to 7.12%), capturing low-level spectro-temporal acoustics.</w:t>
      </w:r>
    </w:p>
    <w:p>
      <w:pPr>
        <w:spacing w:line="276" w:lineRule="auto" w:before="40" w:after="80"/>
        <w:ind w:left="360"/>
        <w:jc w:val="both"/>
      </w:pPr>
      <w:r>
        <w:rPr>
          <w:rFonts w:ascii="Times New Roman" w:hAnsi="Times New Roman"/>
          <w:b/>
          <w:color w:val="000000"/>
          <w:sz w:val="19"/>
        </w:rPr>
        <w:t xml:space="preserve">• Intermediate Transition (Layers 5 to 8): : </w:t>
      </w:r>
      <w:r>
        <w:rPr>
          <w:rFonts w:ascii="Times New Roman" w:hAnsi="Times New Roman"/>
          <w:color w:val="000000"/>
          <w:sz w:val="19"/>
        </w:rPr>
        <w:t>Weights steadily increase (alpha_5 = 0.0713, alpha_6 = 0.0717, alpha_7 = 0.0725, alpha_8 = 0.0757, representing 7.13% to 7.57%), reflecting progressive harmonic abstraction.</w:t>
      </w:r>
    </w:p>
    <w:p>
      <w:pPr>
        <w:spacing w:line="276" w:lineRule="auto" w:before="40" w:after="80"/>
        <w:ind w:left="360"/>
        <w:jc w:val="both"/>
      </w:pPr>
      <w:r>
        <w:rPr>
          <w:rFonts w:ascii="Times New Roman" w:hAnsi="Times New Roman"/>
          <w:b/>
          <w:color w:val="000000"/>
          <w:sz w:val="19"/>
        </w:rPr>
        <w:t xml:space="preserve">• Intermediate Prosodic Zone (Layers 9 to 11): : </w:t>
      </w:r>
      <w:r>
        <w:rPr>
          <w:rFonts w:ascii="Times New Roman" w:hAnsi="Times New Roman"/>
          <w:color w:val="000000"/>
          <w:sz w:val="19"/>
        </w:rPr>
        <w:t>Weights reach their empirical maximum (alpha_9 = 0.1002, alpha_10 = 0.1107, alpha_11 = 0.1086), receiving exactly 31.95% of the total normalized layer weight. The optimizer assigned its highest weight to Layer 10 (alpha_10 = 11.07%), reflecting higher empirical utility for affective discrimination rather than proving an absolute physical concentration of emotional information.</w:t>
      </w:r>
    </w:p>
    <w:p>
      <w:pPr>
        <w:spacing w:line="276" w:lineRule="auto" w:before="40" w:after="80"/>
        <w:ind w:left="360"/>
        <w:jc w:val="both"/>
      </w:pPr>
      <w:r>
        <w:rPr>
          <w:rFonts w:ascii="Times New Roman" w:hAnsi="Times New Roman"/>
          <w:b/>
          <w:color w:val="000000"/>
          <w:sz w:val="19"/>
        </w:rPr>
        <w:t xml:space="preserve">• Final Layer (Layer 12): : </w:t>
      </w:r>
      <w:r>
        <w:rPr>
          <w:rFonts w:ascii="Times New Roman" w:hAnsi="Times New Roman"/>
          <w:color w:val="000000"/>
          <w:sz w:val="19"/>
        </w:rPr>
        <w:t>Weight decreases slightly to alpha_12 = 0.1053 (10.53%) relative to Layer 10 as representation space shifts toward discrete phonetic classification.</w:t>
      </w:r>
    </w:p>
    <w:p>
      <w:pPr>
        <w:spacing w:line="276" w:lineRule="auto" w:before="40" w:after="80"/>
        <w:ind w:left="360"/>
        <w:jc w:val="both"/>
      </w:pPr>
      <w:r>
        <w:rPr>
          <w:rFonts w:ascii="Times New Roman" w:hAnsi="Times New Roman"/>
          <w:b/>
          <w:color w:val="000000"/>
          <w:sz w:val="19"/>
        </w:rPr>
        <w:t xml:space="preserve">• Normalization Verification: : </w:t>
      </w:r>
      <w:r>
        <w:rPr>
          <w:rFonts w:ascii="Times New Roman" w:hAnsi="Times New Roman"/>
          <w:color w:val="000000"/>
          <w:sz w:val="19"/>
        </w:rPr>
        <w:t>The complete 12-layer softmax distribution (7.07% + 7.10% + 7.11% + 7.12% + 7.13% + 7.17% + 7.25% + 7.57% + 10.02% + 11.07% + 10.86% + 10.53%) sums strictly to 100.00% (sum_{i=1}^{12} alpha_i = 1.0000). Table 5 details the layer weights.</w:t>
      </w:r>
    </w:p>
    <w:p>
      <w:pPr>
        <w:spacing w:before="160" w:after="40"/>
        <w:jc w:val="center"/>
      </w:pPr>
      <w:r>
        <w:rPr>
          <w:rFonts w:ascii="Times New Roman" w:hAnsi="Times New Roman"/>
          <w:b/>
          <w:color w:val="000000"/>
          <w:sz w:val="19"/>
        </w:rPr>
        <w:t>Table 5: Layer-Wise Softmax Attention Weight Distribution (HuBERT-Base)</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2520"/>
        <w:gridCol w:w="2520"/>
        <w:gridCol w:w="2520"/>
        <w:gridCol w:w="2520"/>
      </w:tblGrid>
      <w:tr>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Layer Index</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Softmax Weight</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Percentage</w:t>
            </w:r>
          </w:p>
        </w:tc>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Observed Empirical Focus</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1</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0.0707</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7.07%</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Waveform envelope &amp; low-level spectral energy</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2</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0.0710</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7.10%</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Formant structures and spectral slope</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3</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0.0711</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7.11%</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Pitch frequency baseline estimation</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4</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0.0712</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7.12%</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Spectral flux and voice onset timing</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5</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0.0713</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7.13%</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Phonetic-prosodic transition boundary</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6</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0.0717</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7.17%</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Intermediate harmonic structure encoding</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7</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0.0725</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7.25%</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Broad phonetic category separation</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8</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0.0757</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7.57%</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Prosodic phrasing &amp; cadence abstraction</w:t>
            </w:r>
          </w:p>
        </w:tc>
      </w:tr>
      <w:tr>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Layer 9</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0.1002</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10.02%</w:t>
            </w:r>
          </w:p>
        </w:tc>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Emotional inflection &amp; macro-prosodic features</w:t>
            </w:r>
          </w:p>
        </w:tc>
      </w:tr>
      <w:tr>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Layer 10</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0.1107</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11.07%</w:t>
            </w:r>
          </w:p>
        </w:tc>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Associated with highest learned pooling weight (11.07%)</w:t>
            </w:r>
          </w:p>
        </w:tc>
      </w:tr>
      <w:tr>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Layer 11</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0.1086</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10.86%</w:t>
            </w:r>
          </w:p>
        </w:tc>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Global utterance affect &amp; speaker dynamics</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12</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0.1053</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10.53%</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Phonetic discrimination &amp; lexical alignment</w:t>
            </w:r>
          </w:p>
        </w:tc>
      </w:tr>
      <w:tr>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Total Sum</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1.0000</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100.00%</w:t>
            </w:r>
          </w:p>
        </w:tc>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Strict mathematical normalization verified</w:t>
            </w:r>
          </w:p>
        </w:tc>
      </w:tr>
    </w:tbl>
    <w:p>
      <w:pPr>
        <w:spacing w:after="80"/>
      </w:pPr>
    </w:p>
    <w:p>
      <w:pPr>
        <w:keepNext/>
        <w:spacing w:before="200" w:after="60"/>
        <w:jc w:val="left"/>
      </w:pPr>
      <w:r>
        <w:rPr>
          <w:rFonts w:ascii="Times New Roman" w:hAnsi="Times New Roman"/>
          <w:b/>
          <w:color w:val="000000"/>
          <w:sz w:val="21"/>
        </w:rPr>
        <w:t>7.3 Cross-Lingual Adaptation to Indic Hindi Speech</w:t>
      </w:r>
    </w:p>
    <w:p>
      <w:pPr>
        <w:spacing w:line="276" w:lineRule="auto" w:before="0" w:after="100"/>
        <w:jc w:val="both"/>
      </w:pPr>
      <w:r>
        <w:rPr>
          <w:rFonts w:ascii="Times New Roman" w:hAnsi="Times New Roman"/>
          <w:color w:val="000000"/>
          <w:sz w:val="19"/>
        </w:rPr>
        <w:t>To evaluate cross-lingual transferability, the English-trained Universal HuBERT model was evaluated zero-shot on the unseen Hindi test split. Under closed-set cross-corpus evaluation, the 6-class English head evaluates over the intersection of shared canonical classes (angry, happy, neutral, sad), filtering 105 test clips (24 calm clips without direct English 6-class analogue are excluded from this closed-set slice). Universal HuBERT achieves 27.62% accuracy and 31.76% UAR without any target fine-tuning, exceeding the 25.00% 4-class random chance baseline.</w:t>
        <w:br/>
        <w:br/>
        <w:t>In contrast, supervised adaptation using the specialized CNN-BiLSTM architecture trained directly on the 5-class Hindi training partition achieves 74.42% test accuracy, 0.7201 Macro-F1, and 70.85% UAR across all 129 test clips (with the Top-2 ensemble reaching 75.19% accuracy and 70.56% UAR against a 20.00% 5-class chance floor). This represents an absolute gain of 46.80 percentage points (47.57 points for the ensemble) over zero-shot transfer, demonstrating that native supervised adaptation is essential to model language-specific phonological contours. Figure 4 illustrates this comparison, and Figure 5 displays the corresponding normalized confusion matrix.</w:t>
      </w:r>
    </w:p>
    <w:p>
      <w:pPr>
        <w:spacing w:before="160" w:after="60"/>
        <w:jc w:val="center"/>
      </w:pPr>
      <w:r>
        <w:drawing>
          <wp:inline xmlns:a="http://schemas.openxmlformats.org/drawingml/2006/main" xmlns:pic="http://schemas.openxmlformats.org/drawingml/2006/picture">
            <wp:extent cx="5303520" cy="3268261"/>
            <wp:docPr id="4" name="Picture 4"/>
            <wp:cNvGraphicFramePr>
              <a:graphicFrameLocks noChangeAspect="1"/>
            </wp:cNvGraphicFramePr>
            <a:graphic>
              <a:graphicData uri="http://schemas.openxmlformats.org/drawingml/2006/picture">
                <pic:pic>
                  <pic:nvPicPr>
                    <pic:cNvPr id="0" name="fig4_cross_lingual_transfer.png"/>
                    <pic:cNvPicPr/>
                  </pic:nvPicPr>
                  <pic:blipFill>
                    <a:blip r:embed="rId14"/>
                    <a:stretch>
                      <a:fillRect/>
                    </a:stretch>
                  </pic:blipFill>
                  <pic:spPr>
                    <a:xfrm>
                      <a:off x="0" y="0"/>
                      <a:ext cx="5303520" cy="3268261"/>
                    </a:xfrm>
                    <a:prstGeom prst="rect"/>
                  </pic:spPr>
                </pic:pic>
              </a:graphicData>
            </a:graphic>
          </wp:inline>
        </w:drawing>
      </w:r>
    </w:p>
    <w:p>
      <w:pPr>
        <w:spacing w:before="40" w:after="200"/>
        <w:ind w:left="432" w:right="432"/>
        <w:jc w:val="center"/>
      </w:pPr>
      <w:r>
        <w:rPr>
          <w:rFonts w:ascii="Times New Roman" w:hAnsi="Times New Roman"/>
          <w:i/>
          <w:color w:val="000000"/>
          <w:sz w:val="18"/>
        </w:rPr>
        <w:t>Figure 4: Cross-Lingual Adaptation to Indic Hindi Speech (Zero-Shot vs. Supervised Adaptation).</w:t>
      </w:r>
    </w:p>
    <w:p>
      <w:pPr>
        <w:spacing w:before="160" w:after="60"/>
        <w:jc w:val="center"/>
      </w:pPr>
      <w:r>
        <w:drawing>
          <wp:inline xmlns:a="http://schemas.openxmlformats.org/drawingml/2006/main" xmlns:pic="http://schemas.openxmlformats.org/drawingml/2006/picture">
            <wp:extent cx="4389120" cy="3975613"/>
            <wp:docPr id="5" name="Picture 5"/>
            <wp:cNvGraphicFramePr>
              <a:graphicFrameLocks noChangeAspect="1"/>
            </wp:cNvGraphicFramePr>
            <a:graphic>
              <a:graphicData uri="http://schemas.openxmlformats.org/drawingml/2006/picture">
                <pic:pic>
                  <pic:nvPicPr>
                    <pic:cNvPr id="0" name="fig5_hindi_confusion_matrix.png"/>
                    <pic:cNvPicPr/>
                  </pic:nvPicPr>
                  <pic:blipFill>
                    <a:blip r:embed="rId15"/>
                    <a:stretch>
                      <a:fillRect/>
                    </a:stretch>
                  </pic:blipFill>
                  <pic:spPr>
                    <a:xfrm>
                      <a:off x="0" y="0"/>
                      <a:ext cx="4389120" cy="3975613"/>
                    </a:xfrm>
                    <a:prstGeom prst="rect"/>
                  </pic:spPr>
                </pic:pic>
              </a:graphicData>
            </a:graphic>
          </wp:inline>
        </w:drawing>
      </w:r>
    </w:p>
    <w:p>
      <w:pPr>
        <w:spacing w:before="40" w:after="200"/>
        <w:ind w:left="432" w:right="432"/>
        <w:jc w:val="center"/>
      </w:pPr>
      <w:r>
        <w:rPr>
          <w:rFonts w:ascii="Times New Roman" w:hAnsi="Times New Roman"/>
          <w:i/>
          <w:color w:val="000000"/>
          <w:sz w:val="18"/>
        </w:rPr>
        <w:t>Figure 5: Normalized Confusion Matrix for the Hindi Emotion Specialist Model.</w:t>
      </w:r>
    </w:p>
    <w:p>
      <w:pPr>
        <w:keepNext/>
        <w:spacing w:before="280" w:after="80"/>
        <w:jc w:val="left"/>
      </w:pPr>
      <w:r>
        <w:rPr>
          <w:rFonts w:ascii="Times New Roman" w:hAnsi="Times New Roman"/>
          <w:b/>
          <w:color w:val="000000"/>
          <w:sz w:val="24"/>
        </w:rPr>
        <w:t>8. Speech Behavioural Intelligence Profiling</w:t>
      </w:r>
    </w:p>
    <w:p>
      <w:pPr>
        <w:spacing w:line="276" w:lineRule="auto" w:before="0" w:after="100"/>
        <w:jc w:val="both"/>
      </w:pPr>
      <w:r>
        <w:rPr>
          <w:rFonts w:ascii="Times New Roman" w:hAnsi="Times New Roman"/>
          <w:color w:val="000000"/>
          <w:sz w:val="19"/>
        </w:rPr>
        <w:t>Continuous acoustic telemetry provides objective measurements of speech behaviour that systematically differentiate categorical emotional states without asserting direct clinical psychological diagnostic validity. Across the evaluated audio corpus, one-way analysis of variance (ANOVA) confirms statistically significant acoustic separation across emotion categories: Syllabic Speaking Rate exhibits substantial variation between high-arousal and low-arousal states (F = 52.4, p &lt; 0.001, Cohen's d = 1.34 between Anger and Sadness), Pause Ratio demonstrates distinct hesitation patterns (F = 44.1, p &lt; 0.001), RMS Loudness reflects vocal intensity dynamics (F = 68.7, p &lt; 0.001), and Fundamental Frequency Variability (sigma_F0) captures dynamic pitch modulation versus affective flattening (F = 59.3, p &lt; 0.001). Table 6 summarizes these telemetry measurements across emotion classes, and Figure 6 illustrates the multidimensional behavioral prosody profiles:</w:t>
      </w:r>
    </w:p>
    <w:p>
      <w:pPr>
        <w:spacing w:before="160" w:after="40"/>
        <w:jc w:val="center"/>
      </w:pPr>
      <w:r>
        <w:rPr>
          <w:rFonts w:ascii="Times New Roman" w:hAnsi="Times New Roman"/>
          <w:b/>
          <w:color w:val="000000"/>
          <w:sz w:val="19"/>
        </w:rPr>
        <w:t>Table 6: Acoustic Behavioural Telemetry Profiles Across Categorical Affective States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1680"/>
        <w:gridCol w:w="1680"/>
        <w:gridCol w:w="1680"/>
        <w:gridCol w:w="1680"/>
        <w:gridCol w:w="1680"/>
        <w:gridCol w:w="1680"/>
      </w:tblGrid>
      <w:tr>
        <w:tc>
          <w:tcPr>
            <w:tcW w:type="dxa" w:w="1680"/>
            <w:tcMar>
              <w:top w:w="50" w:type="dxa"/>
              <w:bottom w:w="50" w:type="dxa"/>
              <w:left w:w="60" w:type="dxa"/>
              <w:right w:w="60" w:type="dxa"/>
            </w:tcMar>
          </w:tcPr>
          <w:p>
            <w:pPr>
              <w:spacing w:before="40" w:after="40"/>
              <w:jc w:val="left"/>
            </w:pPr>
            <w:r>
              <w:rPr>
                <w:rFonts w:ascii="Times New Roman" w:hAnsi="Times New Roman"/>
                <w:b/>
                <w:color w:val="000000"/>
                <w:sz w:val="17"/>
              </w:rPr>
              <w:t>Emotion Category</w:t>
            </w:r>
          </w:p>
        </w:tc>
        <w:tc>
          <w:tcPr>
            <w:tcW w:type="dxa" w:w="1680"/>
            <w:tcMar>
              <w:top w:w="50" w:type="dxa"/>
              <w:bottom w:w="50" w:type="dxa"/>
              <w:left w:w="60" w:type="dxa"/>
              <w:right w:w="60" w:type="dxa"/>
            </w:tcMar>
          </w:tcPr>
          <w:p>
            <w:pPr>
              <w:spacing w:before="40" w:after="40"/>
              <w:jc w:val="center"/>
            </w:pPr>
            <w:r>
              <w:rPr>
                <w:rFonts w:ascii="Times New Roman" w:hAnsi="Times New Roman"/>
                <w:b/>
                <w:color w:val="000000"/>
                <w:sz w:val="17"/>
              </w:rPr>
              <w:t>Speaking Rate (syl/s)</w:t>
            </w:r>
          </w:p>
        </w:tc>
        <w:tc>
          <w:tcPr>
            <w:tcW w:type="dxa" w:w="1680"/>
            <w:tcMar>
              <w:top w:w="50" w:type="dxa"/>
              <w:bottom w:w="50" w:type="dxa"/>
              <w:left w:w="60" w:type="dxa"/>
              <w:right w:w="60" w:type="dxa"/>
            </w:tcMar>
          </w:tcPr>
          <w:p>
            <w:pPr>
              <w:spacing w:before="40" w:after="40"/>
              <w:jc w:val="center"/>
            </w:pPr>
            <w:r>
              <w:rPr>
                <w:rFonts w:ascii="Times New Roman" w:hAnsi="Times New Roman"/>
                <w:b/>
                <w:color w:val="000000"/>
                <w:sz w:val="17"/>
              </w:rPr>
              <w:t>Pause Ratio (%)</w:t>
            </w:r>
          </w:p>
        </w:tc>
        <w:tc>
          <w:tcPr>
            <w:tcW w:type="dxa" w:w="1680"/>
            <w:tcMar>
              <w:top w:w="50" w:type="dxa"/>
              <w:bottom w:w="50" w:type="dxa"/>
              <w:left w:w="60" w:type="dxa"/>
              <w:right w:w="60" w:type="dxa"/>
            </w:tcMar>
          </w:tcPr>
          <w:p>
            <w:pPr>
              <w:spacing w:before="40" w:after="40"/>
              <w:jc w:val="center"/>
            </w:pPr>
            <w:r>
              <w:rPr>
                <w:rFonts w:ascii="Times New Roman" w:hAnsi="Times New Roman"/>
                <w:b/>
                <w:color w:val="000000"/>
                <w:sz w:val="17"/>
              </w:rPr>
              <w:t>RMS Loudness (dB)</w:t>
            </w:r>
          </w:p>
        </w:tc>
        <w:tc>
          <w:tcPr>
            <w:tcW w:type="dxa" w:w="1680"/>
            <w:tcMar>
              <w:top w:w="50" w:type="dxa"/>
              <w:bottom w:w="50" w:type="dxa"/>
              <w:left w:w="60" w:type="dxa"/>
              <w:right w:w="60" w:type="dxa"/>
            </w:tcMar>
          </w:tcPr>
          <w:p>
            <w:pPr>
              <w:spacing w:before="40" w:after="40"/>
              <w:jc w:val="center"/>
            </w:pPr>
            <w:r>
              <w:rPr>
                <w:rFonts w:ascii="Times New Roman" w:hAnsi="Times New Roman"/>
                <w:b/>
                <w:color w:val="000000"/>
                <w:sz w:val="17"/>
              </w:rPr>
              <w:t>Pitch Std Dev σ_F0 (Hz)</w:t>
            </w:r>
          </w:p>
        </w:tc>
        <w:tc>
          <w:tcPr>
            <w:tcW w:type="dxa" w:w="1680"/>
            <w:tcMar>
              <w:top w:w="50" w:type="dxa"/>
              <w:bottom w:w="50" w:type="dxa"/>
              <w:left w:w="60" w:type="dxa"/>
              <w:right w:w="60" w:type="dxa"/>
            </w:tcMar>
          </w:tcPr>
          <w:p>
            <w:pPr>
              <w:spacing w:before="40" w:after="40"/>
              <w:jc w:val="left"/>
            </w:pPr>
            <w:r>
              <w:rPr>
                <w:rFonts w:ascii="Times New Roman" w:hAnsi="Times New Roman"/>
                <w:b/>
                <w:color w:val="000000"/>
                <w:sz w:val="17"/>
              </w:rPr>
              <w:t>Observed Vocal Behaviour</w:t>
            </w:r>
          </w:p>
        </w:tc>
      </w:tr>
      <w:tr>
        <w:tc>
          <w:tcPr>
            <w:tcW w:type="dxa" w:w="1680"/>
            <w:tcMar>
              <w:top w:w="50" w:type="dxa"/>
              <w:bottom w:w="50" w:type="dxa"/>
              <w:left w:w="60" w:type="dxa"/>
              <w:right w:w="60" w:type="dxa"/>
            </w:tcMar>
          </w:tcPr>
          <w:p>
            <w:pPr>
              <w:spacing w:before="40" w:after="40"/>
              <w:jc w:val="left"/>
            </w:pPr>
            <w:r>
              <w:rPr>
                <w:rFonts w:ascii="Times New Roman" w:hAnsi="Times New Roman"/>
                <w:color w:val="000000"/>
                <w:sz w:val="17"/>
              </w:rPr>
              <w:t>Anger</w:t>
            </w:r>
          </w:p>
        </w:tc>
        <w:tc>
          <w:tcPr>
            <w:tcW w:type="dxa" w:w="1680"/>
            <w:tcMar>
              <w:top w:w="50" w:type="dxa"/>
              <w:bottom w:w="50" w:type="dxa"/>
              <w:left w:w="60" w:type="dxa"/>
              <w:right w:w="60" w:type="dxa"/>
            </w:tcMar>
          </w:tcPr>
          <w:p>
            <w:pPr>
              <w:spacing w:before="40" w:after="40"/>
              <w:jc w:val="center"/>
            </w:pPr>
            <w:r>
              <w:rPr>
                <w:rFonts w:ascii="Times New Roman" w:hAnsi="Times New Roman"/>
                <w:color w:val="000000"/>
                <w:sz w:val="17"/>
              </w:rPr>
              <w:t>4.2 ± 0.6</w:t>
            </w:r>
          </w:p>
        </w:tc>
        <w:tc>
          <w:tcPr>
            <w:tcW w:type="dxa" w:w="1680"/>
            <w:tcMar>
              <w:top w:w="50" w:type="dxa"/>
              <w:bottom w:w="50" w:type="dxa"/>
              <w:left w:w="60" w:type="dxa"/>
              <w:right w:w="60" w:type="dxa"/>
            </w:tcMar>
          </w:tcPr>
          <w:p>
            <w:pPr>
              <w:spacing w:before="40" w:after="40"/>
              <w:jc w:val="center"/>
            </w:pPr>
            <w:r>
              <w:rPr>
                <w:rFonts w:ascii="Times New Roman" w:hAnsi="Times New Roman"/>
                <w:color w:val="000000"/>
                <w:sz w:val="17"/>
              </w:rPr>
              <w:t>12.4% ± 3.1%</w:t>
            </w:r>
          </w:p>
        </w:tc>
        <w:tc>
          <w:tcPr>
            <w:tcW w:type="dxa" w:w="1680"/>
            <w:tcMar>
              <w:top w:w="50" w:type="dxa"/>
              <w:bottom w:w="50" w:type="dxa"/>
              <w:left w:w="60" w:type="dxa"/>
              <w:right w:w="60" w:type="dxa"/>
            </w:tcMar>
          </w:tcPr>
          <w:p>
            <w:pPr>
              <w:spacing w:before="40" w:after="40"/>
              <w:jc w:val="center"/>
            </w:pPr>
            <w:r>
              <w:rPr>
                <w:rFonts w:ascii="Times New Roman" w:hAnsi="Times New Roman"/>
                <w:color w:val="000000"/>
                <w:sz w:val="17"/>
              </w:rPr>
              <w:t>-16.2 ± 3.4 dB</w:t>
            </w:r>
          </w:p>
        </w:tc>
        <w:tc>
          <w:tcPr>
            <w:tcW w:type="dxa" w:w="1680"/>
            <w:tcMar>
              <w:top w:w="50" w:type="dxa"/>
              <w:bottom w:w="50" w:type="dxa"/>
              <w:left w:w="60" w:type="dxa"/>
              <w:right w:w="60" w:type="dxa"/>
            </w:tcMar>
          </w:tcPr>
          <w:p>
            <w:pPr>
              <w:spacing w:before="40" w:after="40"/>
              <w:jc w:val="center"/>
            </w:pPr>
            <w:r>
              <w:rPr>
                <w:rFonts w:ascii="Times New Roman" w:hAnsi="Times New Roman"/>
                <w:color w:val="000000"/>
                <w:sz w:val="17"/>
              </w:rPr>
              <w:t>54.3 ± 8.7 Hz</w:t>
            </w:r>
          </w:p>
        </w:tc>
        <w:tc>
          <w:tcPr>
            <w:tcW w:type="dxa" w:w="1680"/>
            <w:tcMar>
              <w:top w:w="50" w:type="dxa"/>
              <w:bottom w:w="50" w:type="dxa"/>
              <w:left w:w="60" w:type="dxa"/>
              <w:right w:w="60" w:type="dxa"/>
            </w:tcMar>
          </w:tcPr>
          <w:p>
            <w:pPr>
              <w:spacing w:before="40" w:after="40"/>
              <w:jc w:val="left"/>
            </w:pPr>
            <w:r>
              <w:rPr>
                <w:rFonts w:ascii="Times New Roman" w:hAnsi="Times New Roman"/>
                <w:color w:val="000000"/>
                <w:sz w:val="17"/>
              </w:rPr>
              <w:t>Accelerated tempo, low pause, elevated energy &amp; pitch</w:t>
            </w:r>
          </w:p>
        </w:tc>
      </w:tr>
      <w:tr>
        <w:tc>
          <w:tcPr>
            <w:tcW w:type="dxa" w:w="1680"/>
            <w:tcMar>
              <w:top w:w="50" w:type="dxa"/>
              <w:bottom w:w="50" w:type="dxa"/>
              <w:left w:w="60" w:type="dxa"/>
              <w:right w:w="60" w:type="dxa"/>
            </w:tcMar>
          </w:tcPr>
          <w:p>
            <w:pPr>
              <w:spacing w:before="40" w:after="40"/>
              <w:jc w:val="left"/>
            </w:pPr>
            <w:r>
              <w:rPr>
                <w:rFonts w:ascii="Times New Roman" w:hAnsi="Times New Roman"/>
                <w:color w:val="000000"/>
                <w:sz w:val="17"/>
              </w:rPr>
              <w:t>Joy / Happy</w:t>
            </w:r>
          </w:p>
        </w:tc>
        <w:tc>
          <w:tcPr>
            <w:tcW w:type="dxa" w:w="1680"/>
            <w:tcMar>
              <w:top w:w="50" w:type="dxa"/>
              <w:bottom w:w="50" w:type="dxa"/>
              <w:left w:w="60" w:type="dxa"/>
              <w:right w:w="60" w:type="dxa"/>
            </w:tcMar>
          </w:tcPr>
          <w:p>
            <w:pPr>
              <w:spacing w:before="40" w:after="40"/>
              <w:jc w:val="center"/>
            </w:pPr>
            <w:r>
              <w:rPr>
                <w:rFonts w:ascii="Times New Roman" w:hAnsi="Times New Roman"/>
                <w:color w:val="000000"/>
                <w:sz w:val="17"/>
              </w:rPr>
              <w:t>3.6 ± 0.5</w:t>
            </w:r>
          </w:p>
        </w:tc>
        <w:tc>
          <w:tcPr>
            <w:tcW w:type="dxa" w:w="1680"/>
            <w:tcMar>
              <w:top w:w="50" w:type="dxa"/>
              <w:bottom w:w="50" w:type="dxa"/>
              <w:left w:w="60" w:type="dxa"/>
              <w:right w:w="60" w:type="dxa"/>
            </w:tcMar>
          </w:tcPr>
          <w:p>
            <w:pPr>
              <w:spacing w:before="40" w:after="40"/>
              <w:jc w:val="center"/>
            </w:pPr>
            <w:r>
              <w:rPr>
                <w:rFonts w:ascii="Times New Roman" w:hAnsi="Times New Roman"/>
                <w:color w:val="000000"/>
                <w:sz w:val="17"/>
              </w:rPr>
              <w:t>16.2% ± 3.8%</w:t>
            </w:r>
          </w:p>
        </w:tc>
        <w:tc>
          <w:tcPr>
            <w:tcW w:type="dxa" w:w="1680"/>
            <w:tcMar>
              <w:top w:w="50" w:type="dxa"/>
              <w:bottom w:w="50" w:type="dxa"/>
              <w:left w:w="60" w:type="dxa"/>
              <w:right w:w="60" w:type="dxa"/>
            </w:tcMar>
          </w:tcPr>
          <w:p>
            <w:pPr>
              <w:spacing w:before="40" w:after="40"/>
              <w:jc w:val="center"/>
            </w:pPr>
            <w:r>
              <w:rPr>
                <w:rFonts w:ascii="Times New Roman" w:hAnsi="Times New Roman"/>
                <w:color w:val="000000"/>
                <w:sz w:val="17"/>
              </w:rPr>
              <w:t>-19.5 ± 3.1 dB</w:t>
            </w:r>
          </w:p>
        </w:tc>
        <w:tc>
          <w:tcPr>
            <w:tcW w:type="dxa" w:w="1680"/>
            <w:tcMar>
              <w:top w:w="50" w:type="dxa"/>
              <w:bottom w:w="50" w:type="dxa"/>
              <w:left w:w="60" w:type="dxa"/>
              <w:right w:w="60" w:type="dxa"/>
            </w:tcMar>
          </w:tcPr>
          <w:p>
            <w:pPr>
              <w:spacing w:before="40" w:after="40"/>
              <w:jc w:val="center"/>
            </w:pPr>
            <w:r>
              <w:rPr>
                <w:rFonts w:ascii="Times New Roman" w:hAnsi="Times New Roman"/>
                <w:color w:val="000000"/>
                <w:sz w:val="17"/>
              </w:rPr>
              <w:t>62.1 ± 9.4 Hz</w:t>
            </w:r>
          </w:p>
        </w:tc>
        <w:tc>
          <w:tcPr>
            <w:tcW w:type="dxa" w:w="1680"/>
            <w:tcMar>
              <w:top w:w="50" w:type="dxa"/>
              <w:bottom w:w="50" w:type="dxa"/>
              <w:left w:w="60" w:type="dxa"/>
              <w:right w:w="60" w:type="dxa"/>
            </w:tcMar>
          </w:tcPr>
          <w:p>
            <w:pPr>
              <w:spacing w:before="40" w:after="40"/>
              <w:jc w:val="left"/>
            </w:pPr>
            <w:r>
              <w:rPr>
                <w:rFonts w:ascii="Times New Roman" w:hAnsi="Times New Roman"/>
                <w:color w:val="000000"/>
                <w:sz w:val="17"/>
              </w:rPr>
              <w:t>Elevated pitch dynamics, animated cadence</w:t>
            </w:r>
          </w:p>
        </w:tc>
      </w:tr>
      <w:tr>
        <w:tc>
          <w:tcPr>
            <w:tcW w:type="dxa" w:w="1680"/>
            <w:tcMar>
              <w:top w:w="50" w:type="dxa"/>
              <w:bottom w:w="50" w:type="dxa"/>
              <w:left w:w="60" w:type="dxa"/>
              <w:right w:w="60" w:type="dxa"/>
            </w:tcMar>
          </w:tcPr>
          <w:p>
            <w:pPr>
              <w:spacing w:before="40" w:after="40"/>
              <w:jc w:val="left"/>
            </w:pPr>
            <w:r>
              <w:rPr>
                <w:rFonts w:ascii="Times New Roman" w:hAnsi="Times New Roman"/>
                <w:color w:val="000000"/>
                <w:sz w:val="17"/>
              </w:rPr>
              <w:t>Sadness</w:t>
            </w:r>
          </w:p>
        </w:tc>
        <w:tc>
          <w:tcPr>
            <w:tcW w:type="dxa" w:w="1680"/>
            <w:tcMar>
              <w:top w:w="50" w:type="dxa"/>
              <w:bottom w:w="50" w:type="dxa"/>
              <w:left w:w="60" w:type="dxa"/>
              <w:right w:w="60" w:type="dxa"/>
            </w:tcMar>
          </w:tcPr>
          <w:p>
            <w:pPr>
              <w:spacing w:before="40" w:after="40"/>
              <w:jc w:val="center"/>
            </w:pPr>
            <w:r>
              <w:rPr>
                <w:rFonts w:ascii="Times New Roman" w:hAnsi="Times New Roman"/>
                <w:color w:val="000000"/>
                <w:sz w:val="17"/>
              </w:rPr>
              <w:t>2.2 ± 0.4</w:t>
            </w:r>
          </w:p>
        </w:tc>
        <w:tc>
          <w:tcPr>
            <w:tcW w:type="dxa" w:w="1680"/>
            <w:tcMar>
              <w:top w:w="50" w:type="dxa"/>
              <w:bottom w:w="50" w:type="dxa"/>
              <w:left w:w="60" w:type="dxa"/>
              <w:right w:w="60" w:type="dxa"/>
            </w:tcMar>
          </w:tcPr>
          <w:p>
            <w:pPr>
              <w:spacing w:before="40" w:after="40"/>
              <w:jc w:val="center"/>
            </w:pPr>
            <w:r>
              <w:rPr>
                <w:rFonts w:ascii="Times New Roman" w:hAnsi="Times New Roman"/>
                <w:color w:val="000000"/>
                <w:sz w:val="17"/>
              </w:rPr>
              <w:t>31.8% ± 5.2%</w:t>
            </w:r>
          </w:p>
        </w:tc>
        <w:tc>
          <w:tcPr>
            <w:tcW w:type="dxa" w:w="1680"/>
            <w:tcMar>
              <w:top w:w="50" w:type="dxa"/>
              <w:bottom w:w="50" w:type="dxa"/>
              <w:left w:w="60" w:type="dxa"/>
              <w:right w:w="60" w:type="dxa"/>
            </w:tcMar>
          </w:tcPr>
          <w:p>
            <w:pPr>
              <w:spacing w:before="40" w:after="40"/>
              <w:jc w:val="center"/>
            </w:pPr>
            <w:r>
              <w:rPr>
                <w:rFonts w:ascii="Times New Roman" w:hAnsi="Times New Roman"/>
                <w:color w:val="000000"/>
                <w:sz w:val="17"/>
              </w:rPr>
              <w:t>-29.4 ± 4.2 dB</w:t>
            </w:r>
          </w:p>
        </w:tc>
        <w:tc>
          <w:tcPr>
            <w:tcW w:type="dxa" w:w="1680"/>
            <w:tcMar>
              <w:top w:w="50" w:type="dxa"/>
              <w:bottom w:w="50" w:type="dxa"/>
              <w:left w:w="60" w:type="dxa"/>
              <w:right w:w="60" w:type="dxa"/>
            </w:tcMar>
          </w:tcPr>
          <w:p>
            <w:pPr>
              <w:spacing w:before="40" w:after="40"/>
              <w:jc w:val="center"/>
            </w:pPr>
            <w:r>
              <w:rPr>
                <w:rFonts w:ascii="Times New Roman" w:hAnsi="Times New Roman"/>
                <w:color w:val="000000"/>
                <w:sz w:val="17"/>
              </w:rPr>
              <w:t>18.2 ± 4.1 Hz</w:t>
            </w:r>
          </w:p>
        </w:tc>
        <w:tc>
          <w:tcPr>
            <w:tcW w:type="dxa" w:w="1680"/>
            <w:tcMar>
              <w:top w:w="50" w:type="dxa"/>
              <w:bottom w:w="50" w:type="dxa"/>
              <w:left w:w="60" w:type="dxa"/>
              <w:right w:w="60" w:type="dxa"/>
            </w:tcMar>
          </w:tcPr>
          <w:p>
            <w:pPr>
              <w:spacing w:before="40" w:after="40"/>
              <w:jc w:val="left"/>
            </w:pPr>
            <w:r>
              <w:rPr>
                <w:rFonts w:ascii="Times New Roman" w:hAnsi="Times New Roman"/>
                <w:color w:val="000000"/>
                <w:sz w:val="17"/>
              </w:rPr>
              <w:t>Psychomotor deceleration, prolonged silence, flat F0</w:t>
            </w:r>
          </w:p>
        </w:tc>
      </w:tr>
      <w:tr>
        <w:tc>
          <w:tcPr>
            <w:tcW w:type="dxa" w:w="1680"/>
            <w:tcMar>
              <w:top w:w="50" w:type="dxa"/>
              <w:bottom w:w="50" w:type="dxa"/>
              <w:left w:w="60" w:type="dxa"/>
              <w:right w:w="60" w:type="dxa"/>
            </w:tcMar>
          </w:tcPr>
          <w:p>
            <w:pPr>
              <w:spacing w:before="40" w:after="40"/>
              <w:jc w:val="left"/>
            </w:pPr>
            <w:r>
              <w:rPr>
                <w:rFonts w:ascii="Times New Roman" w:hAnsi="Times New Roman"/>
                <w:color w:val="000000"/>
                <w:sz w:val="17"/>
              </w:rPr>
              <w:t>Fear</w:t>
            </w:r>
          </w:p>
        </w:tc>
        <w:tc>
          <w:tcPr>
            <w:tcW w:type="dxa" w:w="1680"/>
            <w:tcMar>
              <w:top w:w="50" w:type="dxa"/>
              <w:bottom w:w="50" w:type="dxa"/>
              <w:left w:w="60" w:type="dxa"/>
              <w:right w:w="60" w:type="dxa"/>
            </w:tcMar>
          </w:tcPr>
          <w:p>
            <w:pPr>
              <w:spacing w:before="40" w:after="40"/>
              <w:jc w:val="center"/>
            </w:pPr>
            <w:r>
              <w:rPr>
                <w:rFonts w:ascii="Times New Roman" w:hAnsi="Times New Roman"/>
                <w:color w:val="000000"/>
                <w:sz w:val="17"/>
              </w:rPr>
              <w:t>3.8 ± 0.7</w:t>
            </w:r>
          </w:p>
        </w:tc>
        <w:tc>
          <w:tcPr>
            <w:tcW w:type="dxa" w:w="1680"/>
            <w:tcMar>
              <w:top w:w="50" w:type="dxa"/>
              <w:bottom w:w="50" w:type="dxa"/>
              <w:left w:w="60" w:type="dxa"/>
              <w:right w:w="60" w:type="dxa"/>
            </w:tcMar>
          </w:tcPr>
          <w:p>
            <w:pPr>
              <w:spacing w:before="40" w:after="40"/>
              <w:jc w:val="center"/>
            </w:pPr>
            <w:r>
              <w:rPr>
                <w:rFonts w:ascii="Times New Roman" w:hAnsi="Times New Roman"/>
                <w:color w:val="000000"/>
                <w:sz w:val="17"/>
              </w:rPr>
              <w:t>18.5% ± 4.1%</w:t>
            </w:r>
          </w:p>
        </w:tc>
        <w:tc>
          <w:tcPr>
            <w:tcW w:type="dxa" w:w="1680"/>
            <w:tcMar>
              <w:top w:w="50" w:type="dxa"/>
              <w:bottom w:w="50" w:type="dxa"/>
              <w:left w:w="60" w:type="dxa"/>
              <w:right w:w="60" w:type="dxa"/>
            </w:tcMar>
          </w:tcPr>
          <w:p>
            <w:pPr>
              <w:spacing w:before="40" w:after="40"/>
              <w:jc w:val="center"/>
            </w:pPr>
            <w:r>
              <w:rPr>
                <w:rFonts w:ascii="Times New Roman" w:hAnsi="Times New Roman"/>
                <w:color w:val="000000"/>
                <w:sz w:val="17"/>
              </w:rPr>
              <w:t>-21.3 ± 3.6 dB</w:t>
            </w:r>
          </w:p>
        </w:tc>
        <w:tc>
          <w:tcPr>
            <w:tcW w:type="dxa" w:w="1680"/>
            <w:tcMar>
              <w:top w:w="50" w:type="dxa"/>
              <w:bottom w:w="50" w:type="dxa"/>
              <w:left w:w="60" w:type="dxa"/>
              <w:right w:w="60" w:type="dxa"/>
            </w:tcMar>
          </w:tcPr>
          <w:p>
            <w:pPr>
              <w:spacing w:before="40" w:after="40"/>
              <w:jc w:val="center"/>
            </w:pPr>
            <w:r>
              <w:rPr>
                <w:rFonts w:ascii="Times New Roman" w:hAnsi="Times New Roman"/>
                <w:color w:val="000000"/>
                <w:sz w:val="17"/>
              </w:rPr>
              <w:t>48.7 ± 7.6 Hz</w:t>
            </w:r>
          </w:p>
        </w:tc>
        <w:tc>
          <w:tcPr>
            <w:tcW w:type="dxa" w:w="1680"/>
            <w:tcMar>
              <w:top w:w="50" w:type="dxa"/>
              <w:bottom w:w="50" w:type="dxa"/>
              <w:left w:w="60" w:type="dxa"/>
              <w:right w:w="60" w:type="dxa"/>
            </w:tcMar>
          </w:tcPr>
          <w:p>
            <w:pPr>
              <w:spacing w:before="40" w:after="40"/>
              <w:jc w:val="left"/>
            </w:pPr>
            <w:r>
              <w:rPr>
                <w:rFonts w:ascii="Times New Roman" w:hAnsi="Times New Roman"/>
                <w:color w:val="000000"/>
                <w:sz w:val="17"/>
              </w:rPr>
              <w:t>High pitch perturbations, erratic cadence</w:t>
            </w:r>
          </w:p>
        </w:tc>
      </w:tr>
      <w:tr>
        <w:tc>
          <w:tcPr>
            <w:tcW w:type="dxa" w:w="1680"/>
            <w:tcMar>
              <w:top w:w="50" w:type="dxa"/>
              <w:bottom w:w="50" w:type="dxa"/>
              <w:left w:w="60" w:type="dxa"/>
              <w:right w:w="60" w:type="dxa"/>
            </w:tcMar>
          </w:tcPr>
          <w:p>
            <w:pPr>
              <w:spacing w:before="40" w:after="40"/>
              <w:jc w:val="left"/>
            </w:pPr>
            <w:r>
              <w:rPr>
                <w:rFonts w:ascii="Times New Roman" w:hAnsi="Times New Roman"/>
                <w:color w:val="000000"/>
                <w:sz w:val="17"/>
              </w:rPr>
              <w:t>Neutral / Calm</w:t>
            </w:r>
          </w:p>
        </w:tc>
        <w:tc>
          <w:tcPr>
            <w:tcW w:type="dxa" w:w="1680"/>
            <w:tcMar>
              <w:top w:w="50" w:type="dxa"/>
              <w:bottom w:w="50" w:type="dxa"/>
              <w:left w:w="60" w:type="dxa"/>
              <w:right w:w="60" w:type="dxa"/>
            </w:tcMar>
          </w:tcPr>
          <w:p>
            <w:pPr>
              <w:spacing w:before="40" w:after="40"/>
              <w:jc w:val="center"/>
            </w:pPr>
            <w:r>
              <w:rPr>
                <w:rFonts w:ascii="Times New Roman" w:hAnsi="Times New Roman"/>
                <w:color w:val="000000"/>
                <w:sz w:val="17"/>
              </w:rPr>
              <w:t>3.1 ± 0.4</w:t>
            </w:r>
          </w:p>
        </w:tc>
        <w:tc>
          <w:tcPr>
            <w:tcW w:type="dxa" w:w="1680"/>
            <w:tcMar>
              <w:top w:w="50" w:type="dxa"/>
              <w:bottom w:w="50" w:type="dxa"/>
              <w:left w:w="60" w:type="dxa"/>
              <w:right w:w="60" w:type="dxa"/>
            </w:tcMar>
          </w:tcPr>
          <w:p>
            <w:pPr>
              <w:spacing w:before="40" w:after="40"/>
              <w:jc w:val="center"/>
            </w:pPr>
            <w:r>
              <w:rPr>
                <w:rFonts w:ascii="Times New Roman" w:hAnsi="Times New Roman"/>
                <w:color w:val="000000"/>
                <w:sz w:val="17"/>
              </w:rPr>
              <w:t>20.1% ± 3.5%</w:t>
            </w:r>
          </w:p>
        </w:tc>
        <w:tc>
          <w:tcPr>
            <w:tcW w:type="dxa" w:w="1680"/>
            <w:tcMar>
              <w:top w:w="50" w:type="dxa"/>
              <w:bottom w:w="50" w:type="dxa"/>
              <w:left w:w="60" w:type="dxa"/>
              <w:right w:w="60" w:type="dxa"/>
            </w:tcMar>
          </w:tcPr>
          <w:p>
            <w:pPr>
              <w:spacing w:before="40" w:after="40"/>
              <w:jc w:val="center"/>
            </w:pPr>
            <w:r>
              <w:rPr>
                <w:rFonts w:ascii="Times New Roman" w:hAnsi="Times New Roman"/>
                <w:color w:val="000000"/>
                <w:sz w:val="17"/>
              </w:rPr>
              <w:t>-24.2 ± 2.9 dB</w:t>
            </w:r>
          </w:p>
        </w:tc>
        <w:tc>
          <w:tcPr>
            <w:tcW w:type="dxa" w:w="1680"/>
            <w:tcMar>
              <w:top w:w="50" w:type="dxa"/>
              <w:bottom w:w="50" w:type="dxa"/>
              <w:left w:w="60" w:type="dxa"/>
              <w:right w:w="60" w:type="dxa"/>
            </w:tcMar>
          </w:tcPr>
          <w:p>
            <w:pPr>
              <w:spacing w:before="40" w:after="40"/>
              <w:jc w:val="center"/>
            </w:pPr>
            <w:r>
              <w:rPr>
                <w:rFonts w:ascii="Times New Roman" w:hAnsi="Times New Roman"/>
                <w:color w:val="000000"/>
                <w:sz w:val="17"/>
              </w:rPr>
              <w:t>24.5 ± 4.8 Hz</w:t>
            </w:r>
          </w:p>
        </w:tc>
        <w:tc>
          <w:tcPr>
            <w:tcW w:type="dxa" w:w="1680"/>
            <w:tcMar>
              <w:top w:w="50" w:type="dxa"/>
              <w:bottom w:w="50" w:type="dxa"/>
              <w:left w:w="60" w:type="dxa"/>
              <w:right w:w="60" w:type="dxa"/>
            </w:tcMar>
          </w:tcPr>
          <w:p>
            <w:pPr>
              <w:spacing w:before="40" w:after="40"/>
              <w:jc w:val="left"/>
            </w:pPr>
            <w:r>
              <w:rPr>
                <w:rFonts w:ascii="Times New Roman" w:hAnsi="Times New Roman"/>
                <w:color w:val="000000"/>
                <w:sz w:val="17"/>
              </w:rPr>
              <w:t>Balanced conversational tempo, stable pitch &amp; energy</w:t>
            </w:r>
          </w:p>
        </w:tc>
      </w:tr>
      <w:tr>
        <w:tc>
          <w:tcPr>
            <w:tcW w:type="dxa" w:w="1680"/>
            <w:tcMar>
              <w:top w:w="50" w:type="dxa"/>
              <w:bottom w:w="50" w:type="dxa"/>
              <w:left w:w="60" w:type="dxa"/>
              <w:right w:w="60" w:type="dxa"/>
            </w:tcMar>
          </w:tcPr>
          <w:p>
            <w:pPr>
              <w:spacing w:before="40" w:after="40"/>
              <w:jc w:val="left"/>
            </w:pPr>
            <w:r>
              <w:rPr>
                <w:rFonts w:ascii="Times New Roman" w:hAnsi="Times New Roman"/>
                <w:b/>
                <w:color w:val="000000"/>
                <w:sz w:val="17"/>
              </w:rPr>
              <w:t>ANOVA Significance</w:t>
            </w:r>
          </w:p>
        </w:tc>
        <w:tc>
          <w:tcPr>
            <w:tcW w:type="dxa" w:w="1680"/>
            <w:tcMar>
              <w:top w:w="50" w:type="dxa"/>
              <w:bottom w:w="50" w:type="dxa"/>
              <w:left w:w="60" w:type="dxa"/>
              <w:right w:w="60" w:type="dxa"/>
            </w:tcMar>
          </w:tcPr>
          <w:p>
            <w:pPr>
              <w:spacing w:before="40" w:after="40"/>
              <w:jc w:val="center"/>
            </w:pPr>
            <w:r>
              <w:rPr>
                <w:rFonts w:ascii="Times New Roman" w:hAnsi="Times New Roman"/>
                <w:b/>
                <w:color w:val="000000"/>
                <w:sz w:val="17"/>
              </w:rPr>
              <w:t>F = 52.4, p &lt; 0.001</w:t>
            </w:r>
          </w:p>
        </w:tc>
        <w:tc>
          <w:tcPr>
            <w:tcW w:type="dxa" w:w="1680"/>
            <w:tcMar>
              <w:top w:w="50" w:type="dxa"/>
              <w:bottom w:w="50" w:type="dxa"/>
              <w:left w:w="60" w:type="dxa"/>
              <w:right w:w="60" w:type="dxa"/>
            </w:tcMar>
          </w:tcPr>
          <w:p>
            <w:pPr>
              <w:spacing w:before="40" w:after="40"/>
              <w:jc w:val="center"/>
            </w:pPr>
            <w:r>
              <w:rPr>
                <w:rFonts w:ascii="Times New Roman" w:hAnsi="Times New Roman"/>
                <w:b/>
                <w:color w:val="000000"/>
                <w:sz w:val="17"/>
              </w:rPr>
              <w:t>F = 44.1, p &lt; 0.001</w:t>
            </w:r>
          </w:p>
        </w:tc>
        <w:tc>
          <w:tcPr>
            <w:tcW w:type="dxa" w:w="1680"/>
            <w:tcMar>
              <w:top w:w="50" w:type="dxa"/>
              <w:bottom w:w="50" w:type="dxa"/>
              <w:left w:w="60" w:type="dxa"/>
              <w:right w:w="60" w:type="dxa"/>
            </w:tcMar>
          </w:tcPr>
          <w:p>
            <w:pPr>
              <w:spacing w:before="40" w:after="40"/>
              <w:jc w:val="center"/>
            </w:pPr>
            <w:r>
              <w:rPr>
                <w:rFonts w:ascii="Times New Roman" w:hAnsi="Times New Roman"/>
                <w:b/>
                <w:color w:val="000000"/>
                <w:sz w:val="17"/>
              </w:rPr>
              <w:t>F = 68.7, p &lt; 0.001</w:t>
            </w:r>
          </w:p>
        </w:tc>
        <w:tc>
          <w:tcPr>
            <w:tcW w:type="dxa" w:w="1680"/>
            <w:tcMar>
              <w:top w:w="50" w:type="dxa"/>
              <w:bottom w:w="50" w:type="dxa"/>
              <w:left w:w="60" w:type="dxa"/>
              <w:right w:w="60" w:type="dxa"/>
            </w:tcMar>
          </w:tcPr>
          <w:p>
            <w:pPr>
              <w:spacing w:before="40" w:after="40"/>
              <w:jc w:val="center"/>
            </w:pPr>
            <w:r>
              <w:rPr>
                <w:rFonts w:ascii="Times New Roman" w:hAnsi="Times New Roman"/>
                <w:b/>
                <w:color w:val="000000"/>
                <w:sz w:val="17"/>
              </w:rPr>
              <w:t>F = 59.3, p &lt; 0.001</w:t>
            </w:r>
          </w:p>
        </w:tc>
        <w:tc>
          <w:tcPr>
            <w:tcW w:type="dxa" w:w="1680"/>
            <w:tcMar>
              <w:top w:w="50" w:type="dxa"/>
              <w:bottom w:w="50" w:type="dxa"/>
              <w:left w:w="60" w:type="dxa"/>
              <w:right w:w="60" w:type="dxa"/>
            </w:tcMar>
          </w:tcPr>
          <w:p>
            <w:pPr>
              <w:spacing w:before="40" w:after="40"/>
              <w:jc w:val="left"/>
            </w:pPr>
            <w:r>
              <w:rPr>
                <w:rFonts w:ascii="Times New Roman" w:hAnsi="Times New Roman"/>
                <w:b/>
                <w:color w:val="000000"/>
                <w:sz w:val="17"/>
              </w:rPr>
              <w:t>Statistically significant acoustic differentiation</w:t>
            </w:r>
          </w:p>
        </w:tc>
      </w:tr>
    </w:tbl>
    <w:p>
      <w:pPr>
        <w:spacing w:after="80"/>
      </w:pPr>
    </w:p>
    <w:p>
      <w:pPr>
        <w:spacing w:before="160" w:after="60"/>
        <w:jc w:val="center"/>
      </w:pPr>
      <w:r>
        <w:drawing>
          <wp:inline xmlns:a="http://schemas.openxmlformats.org/drawingml/2006/main" xmlns:pic="http://schemas.openxmlformats.org/drawingml/2006/picture">
            <wp:extent cx="5486400" cy="3802069"/>
            <wp:docPr id="6" name="Picture 6"/>
            <wp:cNvGraphicFramePr>
              <a:graphicFrameLocks noChangeAspect="1"/>
            </wp:cNvGraphicFramePr>
            <a:graphic>
              <a:graphicData uri="http://schemas.openxmlformats.org/drawingml/2006/picture">
                <pic:pic>
                  <pic:nvPicPr>
                    <pic:cNvPr id="0" name="fig6_behavioral_prosody_profile.png"/>
                    <pic:cNvPicPr/>
                  </pic:nvPicPr>
                  <pic:blipFill>
                    <a:blip r:embed="rId16"/>
                    <a:stretch>
                      <a:fillRect/>
                    </a:stretch>
                  </pic:blipFill>
                  <pic:spPr>
                    <a:xfrm>
                      <a:off x="0" y="0"/>
                      <a:ext cx="5486400" cy="3802069"/>
                    </a:xfrm>
                    <a:prstGeom prst="rect"/>
                  </pic:spPr>
                </pic:pic>
              </a:graphicData>
            </a:graphic>
          </wp:inline>
        </w:drawing>
      </w:r>
    </w:p>
    <w:p>
      <w:pPr>
        <w:spacing w:before="40" w:after="200"/>
        <w:ind w:left="432" w:right="432"/>
        <w:jc w:val="center"/>
      </w:pPr>
      <w:r>
        <w:rPr>
          <w:rFonts w:ascii="Times New Roman" w:hAnsi="Times New Roman"/>
          <w:i/>
          <w:color w:val="000000"/>
          <w:sz w:val="18"/>
        </w:rPr>
        <w:t>Figure 6: Multimodal Speech Behaviour Telemetry across Discrete Emotion Categories.</w:t>
      </w:r>
    </w:p>
    <w:p>
      <w:pPr>
        <w:keepNext/>
        <w:spacing w:before="280" w:after="80"/>
        <w:jc w:val="left"/>
      </w:pPr>
      <w:r>
        <w:rPr>
          <w:rFonts w:ascii="Times New Roman" w:hAnsi="Times New Roman"/>
          <w:b/>
          <w:color w:val="000000"/>
          <w:sz w:val="24"/>
        </w:rPr>
        <w:t>9. System Deployment Architecture &amp; Hardware Latency Benchmark</w:t>
      </w:r>
    </w:p>
    <w:p>
      <w:pPr>
        <w:spacing w:line="276" w:lineRule="auto" w:before="0" w:after="100"/>
        <w:jc w:val="both"/>
      </w:pPr>
      <w:r>
        <w:rPr>
          <w:rFonts w:ascii="Times New Roman" w:hAnsi="Times New Roman"/>
          <w:color w:val="000000"/>
          <w:sz w:val="19"/>
        </w:rPr>
        <w:t>The complete framework is implemented as an Apple Silicon accelerated microservice paired with a minimal web application. Inference latency was benchmarked on an Apple M-series processor utilizing Metal Performance Shaders (MPS) hardware acceleration under PyTorch 2.x with batch size = 1 (simulating single-clip real-time streaming audio ingestion). Timing was measured over 10 warm-up runs followed by 100 consecutive benchmark iterations on standardized 3.0-second audio clips:</w:t>
      </w:r>
    </w:p>
    <w:p>
      <w:pPr>
        <w:spacing w:line="276" w:lineRule="auto" w:before="40" w:after="80"/>
        <w:ind w:left="360"/>
        <w:jc w:val="both"/>
      </w:pPr>
      <w:r>
        <w:rPr>
          <w:rFonts w:ascii="Times New Roman" w:hAnsi="Times New Roman"/>
          <w:b/>
          <w:color w:val="000000"/>
          <w:sz w:val="19"/>
        </w:rPr>
        <w:t xml:space="preserve">• Backend Microservice (FastAPI): : </w:t>
      </w:r>
      <w:r>
        <w:rPr>
          <w:rFonts w:ascii="Times New Roman" w:hAnsi="Times New Roman"/>
          <w:color w:val="000000"/>
          <w:sz w:val="19"/>
        </w:rPr>
        <w:t>Model registry serving the Hindi Specialist (CNN-BiLSTM) and Universal SER models. The lightweight CNN-BiLSTM specialist achieved an average inference latency of 19.94 ms per clip (std: 1.2 ms), while the 12-layer Universal HuBERT model achieved 191.44 ms per clip (std: 5.6 ms), validating that both models operate comfortably within real-time streaming processing budgets.</w:t>
      </w:r>
    </w:p>
    <w:p>
      <w:pPr>
        <w:spacing w:line="276" w:lineRule="auto" w:before="40" w:after="80"/>
        <w:ind w:left="360"/>
        <w:jc w:val="both"/>
      </w:pPr>
      <w:r>
        <w:rPr>
          <w:rFonts w:ascii="Times New Roman" w:hAnsi="Times New Roman"/>
          <w:b/>
          <w:color w:val="000000"/>
          <w:sz w:val="19"/>
        </w:rPr>
        <w:t xml:space="preserve">• Frontend UI (Next.js / TypeScript): : </w:t>
      </w:r>
      <w:r>
        <w:rPr>
          <w:rFonts w:ascii="Times New Roman" w:hAnsi="Times New Roman"/>
          <w:color w:val="000000"/>
          <w:sz w:val="19"/>
        </w:rPr>
        <w:t>Minimal white-mode interface featuring a real-time Web Audio API frequency visualizer (AudioWaveformVisualizer) connected to live microphone input and audio playback.</w:t>
      </w:r>
    </w:p>
    <w:p>
      <w:pPr>
        <w:keepNext/>
        <w:spacing w:before="280" w:after="80"/>
        <w:jc w:val="left"/>
      </w:pPr>
      <w:r>
        <w:rPr>
          <w:rFonts w:ascii="Times New Roman" w:hAnsi="Times New Roman"/>
          <w:b/>
          <w:color w:val="000000"/>
          <w:sz w:val="24"/>
        </w:rPr>
        <w:t>10. Discussion &amp; Limitations</w:t>
      </w:r>
    </w:p>
    <w:p>
      <w:pPr>
        <w:spacing w:line="276" w:lineRule="auto" w:before="0" w:after="100"/>
        <w:jc w:val="both"/>
      </w:pPr>
      <w:r>
        <w:rPr>
          <w:rFonts w:ascii="Times New Roman" w:hAnsi="Times New Roman"/>
          <w:color w:val="000000"/>
          <w:sz w:val="19"/>
        </w:rPr>
        <w:t>While the experimental results validate the efficacy of learnable layer pooling and disjoint evaluation protocols, several limitations should be noted:</w:t>
      </w:r>
    </w:p>
    <w:p>
      <w:pPr>
        <w:spacing w:line="276" w:lineRule="auto" w:before="40" w:after="80"/>
        <w:ind w:left="360"/>
        <w:jc w:val="both"/>
      </w:pPr>
      <w:r>
        <w:rPr>
          <w:rFonts w:ascii="Times New Roman" w:hAnsi="Times New Roman"/>
          <w:b/>
          <w:color w:val="000000"/>
          <w:sz w:val="19"/>
        </w:rPr>
        <w:t xml:space="preserve">1. Constrained Recording Environments: : </w:t>
      </w:r>
      <w:r>
        <w:rPr>
          <w:rFonts w:ascii="Times New Roman" w:hAnsi="Times New Roman"/>
          <w:color w:val="000000"/>
          <w:sz w:val="19"/>
        </w:rPr>
        <w:t>Corpora such as TESS feature near-zero ambient noise and fixed carrier phrases, yielding ceiling-level performance (100.00%) that does not represent conversational, noisy real-world speech.</w:t>
      </w:r>
    </w:p>
    <w:p>
      <w:pPr>
        <w:spacing w:line="276" w:lineRule="auto" w:before="40" w:after="80"/>
        <w:ind w:left="360"/>
        <w:jc w:val="both"/>
      </w:pPr>
      <w:r>
        <w:rPr>
          <w:rFonts w:ascii="Times New Roman" w:hAnsi="Times New Roman"/>
          <w:b/>
          <w:color w:val="000000"/>
          <w:sz w:val="19"/>
        </w:rPr>
        <w:t xml:space="preserve">2. Single-Speaker Evaluation Cohort: : </w:t>
      </w:r>
      <w:r>
        <w:rPr>
          <w:rFonts w:ascii="Times New Roman" w:hAnsi="Times New Roman"/>
          <w:color w:val="000000"/>
          <w:sz w:val="19"/>
        </w:rPr>
        <w:t>In-domain SAVEE evaluation isolates a single test speaker (Actor KL, 105 to 120 clips), resulting in higher statistical variance than diverse multi-speaker cohorts such as CREMA-D.</w:t>
      </w:r>
    </w:p>
    <w:p>
      <w:pPr>
        <w:spacing w:line="276" w:lineRule="auto" w:before="40" w:after="80"/>
        <w:ind w:left="360"/>
        <w:jc w:val="both"/>
      </w:pPr>
      <w:r>
        <w:rPr>
          <w:rFonts w:ascii="Times New Roman" w:hAnsi="Times New Roman"/>
          <w:b/>
          <w:color w:val="000000"/>
          <w:sz w:val="19"/>
        </w:rPr>
        <w:t xml:space="preserve">3. Indic Dialectal Diversity: : </w:t>
      </w:r>
      <w:r>
        <w:rPr>
          <w:rFonts w:ascii="Times New Roman" w:hAnsi="Times New Roman"/>
          <w:color w:val="000000"/>
          <w:sz w:val="19"/>
        </w:rPr>
        <w:t>The Hindi evaluation was conducted across 25 speakers; regional dialectal variations across northern and central India require broader multi-dialect data collection.</w:t>
      </w:r>
    </w:p>
    <w:p>
      <w:pPr>
        <w:spacing w:line="276" w:lineRule="auto" w:before="40" w:after="80"/>
        <w:ind w:left="360"/>
        <w:jc w:val="both"/>
      </w:pPr>
      <w:r>
        <w:rPr>
          <w:rFonts w:ascii="Times New Roman" w:hAnsi="Times New Roman"/>
          <w:b/>
          <w:color w:val="000000"/>
          <w:sz w:val="19"/>
        </w:rPr>
        <w:t xml:space="preserve">4. Pre-trained Audio Bandwidth: : </w:t>
      </w:r>
      <w:r>
        <w:rPr>
          <w:rFonts w:ascii="Times New Roman" w:hAnsi="Times New Roman"/>
          <w:color w:val="000000"/>
          <w:sz w:val="19"/>
        </w:rPr>
        <w:t>Standard foundation models operate at 16 kHz sampling rates, which truncates ultra-high frequency acoustic cues (&gt; 8 kHz).</w:t>
      </w:r>
    </w:p>
    <w:p>
      <w:pPr>
        <w:keepNext/>
        <w:spacing w:before="280" w:after="80"/>
        <w:jc w:val="left"/>
      </w:pPr>
      <w:r>
        <w:rPr>
          <w:rFonts w:ascii="Times New Roman" w:hAnsi="Times New Roman"/>
          <w:b/>
          <w:color w:val="000000"/>
          <w:sz w:val="24"/>
        </w:rPr>
        <w:t>11. Conclusion</w:t>
      </w:r>
    </w:p>
    <w:p>
      <w:pPr>
        <w:spacing w:line="276" w:lineRule="auto" w:before="0" w:after="100"/>
        <w:jc w:val="both"/>
      </w:pPr>
      <w:r>
        <w:rPr>
          <w:rFonts w:ascii="Times New Roman" w:hAnsi="Times New Roman"/>
          <w:color w:val="000000"/>
          <w:sz w:val="19"/>
        </w:rPr>
        <w:t>This research evaluated speech emotion recognition across multi-corpus and cross-lingual settings. The primary conclusions are:</w:t>
      </w:r>
    </w:p>
    <w:p>
      <w:pPr>
        <w:spacing w:line="276" w:lineRule="auto" w:before="40" w:after="80"/>
        <w:ind w:left="360"/>
        <w:jc w:val="both"/>
      </w:pPr>
      <w:r>
        <w:rPr>
          <w:rFonts w:ascii="Times New Roman" w:hAnsi="Times New Roman"/>
          <w:b/>
          <w:color w:val="000000"/>
          <w:sz w:val="19"/>
        </w:rPr>
        <w:t xml:space="preserve">1. Learnable Weighted Layer Pooling: : </w:t>
      </w:r>
      <w:r>
        <w:rPr>
          <w:rFonts w:ascii="Times New Roman" w:hAnsi="Times New Roman"/>
          <w:color w:val="000000"/>
          <w:sz w:val="19"/>
        </w:rPr>
        <w:t>The learned pooling mechanism assigned its highest aggregate weight to Layers 9–11, which together received 31.95% of the normalized layer weight, demonstrating that intermediate transformer representations provide superior affective utility compared to early acoustic layers.</w:t>
      </w:r>
    </w:p>
    <w:p>
      <w:pPr>
        <w:spacing w:line="276" w:lineRule="auto" w:before="40" w:after="80"/>
        <w:ind w:left="360"/>
        <w:jc w:val="both"/>
      </w:pPr>
      <w:r>
        <w:rPr>
          <w:rFonts w:ascii="Times New Roman" w:hAnsi="Times New Roman"/>
          <w:b/>
          <w:color w:val="000000"/>
          <w:sz w:val="19"/>
        </w:rPr>
        <w:t xml:space="preserve">2. Effect of Training Speaker Diversity: : </w:t>
      </w:r>
      <w:r>
        <w:rPr>
          <w:rFonts w:ascii="Times New Roman" w:hAnsi="Times New Roman"/>
          <w:color w:val="000000"/>
          <w:sz w:val="19"/>
        </w:rPr>
        <w:t>Broad multi-speaker training cohorts are essential for generalization: models trained on minimal speaker cohorts overfit individual speaker vocal tract geometry, whereas diverse cohorts support robust speaker-independent evaluation.</w:t>
      </w:r>
    </w:p>
    <w:p>
      <w:pPr>
        <w:spacing w:line="276" w:lineRule="auto" w:before="40" w:after="80"/>
        <w:ind w:left="360"/>
        <w:jc w:val="both"/>
      </w:pPr>
      <w:r>
        <w:rPr>
          <w:rFonts w:ascii="Times New Roman" w:hAnsi="Times New Roman"/>
          <w:b/>
          <w:color w:val="000000"/>
          <w:sz w:val="19"/>
        </w:rPr>
        <w:t xml:space="preserve">3. Cross-Lingual Transfer &amp; Supervised Adaptation: : </w:t>
      </w:r>
      <w:r>
        <w:rPr>
          <w:rFonts w:ascii="Times New Roman" w:hAnsi="Times New Roman"/>
          <w:color w:val="000000"/>
          <w:sz w:val="19"/>
        </w:rPr>
        <w:t>English pre-trained models transfer moderately above chance (27.62% vs. 25.00% floor) to native Hindi speech, but supervised adaptation using specialized CNN-BiLSTM networks achieves 74.42% accuracy (75.19% via ensemble fusion), representing a +46.80% single-model performance gain.</w:t>
      </w:r>
    </w:p>
    <w:p>
      <w:pPr>
        <w:spacing w:line="276" w:lineRule="auto" w:before="40" w:after="80"/>
        <w:ind w:left="360"/>
        <w:jc w:val="both"/>
      </w:pPr>
      <w:r>
        <w:rPr>
          <w:rFonts w:ascii="Times New Roman" w:hAnsi="Times New Roman"/>
          <w:b/>
          <w:color w:val="000000"/>
          <w:sz w:val="19"/>
        </w:rPr>
        <w:t xml:space="preserve">4. Continuous Behavioural Telemetry: : </w:t>
      </w:r>
      <w:r>
        <w:rPr>
          <w:rFonts w:ascii="Times New Roman" w:hAnsi="Times New Roman"/>
          <w:color w:val="000000"/>
          <w:sz w:val="19"/>
        </w:rPr>
        <w:t>Combining discrete emotion classification with continuous acoustic measurements (speaking rate, pause ratio, RMS energy, and pitch variability) provides statistically significant (p &lt; 0.001) vocal characterization to complement categorical predictions.</w:t>
      </w:r>
    </w:p>
    <w:p>
      <w:pPr>
        <w:keepNext/>
        <w:spacing w:before="280" w:after="80"/>
        <w:jc w:val="left"/>
      </w:pPr>
      <w:r>
        <w:rPr>
          <w:rFonts w:ascii="Times New Roman" w:hAnsi="Times New Roman"/>
          <w:b/>
          <w:color w:val="000000"/>
          <w:sz w:val="24"/>
        </w:rPr>
        <w:t>References</w:t>
      </w:r>
    </w:p>
    <w:p>
      <w:pPr>
        <w:spacing w:line="264" w:lineRule="auto" w:before="0" w:after="50"/>
        <w:ind w:left="360" w:hanging="360"/>
        <w:jc w:val="left"/>
      </w:pPr>
      <w:r>
        <w:rPr>
          <w:rFonts w:ascii="Times New Roman" w:hAnsi="Times New Roman"/>
          <w:color w:val="000000"/>
          <w:sz w:val="17"/>
        </w:rPr>
        <w:t>[1] S. Kotian and S. Singh, "Evaluating the Impact of Behavioural Features on Hindi Speech Emotion Recognition: A Multimodal Deep Learning Approach," International Journal of Applied Artificial Intelligence and Robotics, vol. 2, no. 1, art. 9, pp. 1–15, Mar. 2026, doi: 10.67745/ijaic.v2i1.9. [Online]. Available: https://doi.org/10.67745/ijaic.v2i1.9.</w:t>
      </w:r>
    </w:p>
    <w:p>
      <w:pPr>
        <w:spacing w:line="264" w:lineRule="auto" w:before="0" w:after="50"/>
        <w:ind w:left="360" w:hanging="360"/>
        <w:jc w:val="left"/>
      </w:pPr>
      <w:r>
        <w:rPr>
          <w:rFonts w:ascii="Times New Roman" w:hAnsi="Times New Roman"/>
          <w:color w:val="000000"/>
          <w:sz w:val="17"/>
        </w:rPr>
        <w:t>[2] S.-w. Yang, P.-H. Chi, Y.-S. Chuang, C.-I. J. Lai, K. Lakhotia, Y. Y. Lin, A. T. Liu, J. Shi, X. Chang, G.-T. Lin et al., "SUPERB: Speech Processing Universal PERformance Benchmark," in Proc. Interspeech 2021, Brno, Czech Republic, 2021, pp. 1194–1198, doi: 10.21437/Interspeech.2021-1775.</w:t>
      </w:r>
    </w:p>
    <w:p>
      <w:pPr>
        <w:spacing w:line="264" w:lineRule="auto" w:before="0" w:after="50"/>
        <w:ind w:left="360" w:hanging="360"/>
        <w:jc w:val="left"/>
      </w:pPr>
      <w:r>
        <w:rPr>
          <w:rFonts w:ascii="Times New Roman" w:hAnsi="Times New Roman"/>
          <w:color w:val="000000"/>
          <w:sz w:val="17"/>
        </w:rPr>
        <w:t>[3] K. Chauhan, K. K. Sharma, and T. Varma, "MNITJ-SEHSD: A Hindi Emotional Speech Database," in Proc. 2023 International Conference on Communication, Circuits, and Systems (IC3S), Bhubaneswar, India, 2023, pp. 1–6, doi: 10.1109/IC3S57698.2023.10169497.</w:t>
      </w:r>
    </w:p>
    <w:p>
      <w:pPr>
        <w:spacing w:line="264" w:lineRule="auto" w:before="0" w:after="50"/>
        <w:ind w:left="360" w:hanging="360"/>
        <w:jc w:val="left"/>
      </w:pPr>
      <w:r>
        <w:rPr>
          <w:rFonts w:ascii="Times New Roman" w:hAnsi="Times New Roman"/>
          <w:color w:val="000000"/>
          <w:sz w:val="17"/>
        </w:rPr>
        <w:t>[4] P. Mehra and S. K. Verma, "BERIS: An mBERT-based Emotion Recognition Algorithm from Indian Speech," ACM Transactions on Asian and Low-Resource Language Information Processing, vol. 21, no. 5, art. 106, pp. 1–19, Apr. 2022, doi: 10.1145/3517195.</w:t>
      </w:r>
    </w:p>
    <w:p>
      <w:pPr>
        <w:spacing w:line="264" w:lineRule="auto" w:before="0" w:after="50"/>
        <w:ind w:left="360" w:hanging="360"/>
        <w:jc w:val="left"/>
      </w:pPr>
      <w:r>
        <w:rPr>
          <w:rFonts w:ascii="Times New Roman" w:hAnsi="Times New Roman"/>
          <w:color w:val="000000"/>
          <w:sz w:val="17"/>
        </w:rPr>
        <w:t>[5] R. Kawade and S. Jagtap, "Indian Cross Corpus Speech Emotion Recognition Using Multiple Spectral-Temporal-Voice Quality Acoustic Features and Deep Convolution Neural Network," Revue d'Intelligence Artificielle, vol. 38, no. 3, pp. 913–927, Jun. 2024, doi: 10.18280/ria.380318.</w:t>
      </w:r>
    </w:p>
    <w:p>
      <w:pPr>
        <w:spacing w:line="264" w:lineRule="auto" w:before="0" w:after="50"/>
        <w:ind w:left="360" w:hanging="360"/>
        <w:jc w:val="left"/>
      </w:pPr>
      <w:r>
        <w:rPr>
          <w:rFonts w:ascii="Times New Roman" w:hAnsi="Times New Roman"/>
          <w:color w:val="000000"/>
          <w:sz w:val="17"/>
        </w:rPr>
        <w:t>[6] Z. Ma, Z. Zheng, J. Ye, J. Li, Z. Gao, S. Zhang, and X. Chen, "emotion2vec: Self-Supervised Pre-Training for Speech Emotion Representation," in Findings of the Association for Computational Linguistics: ACL 2024, Bangkok, Thailand, 2024, pp. 15747–15760, doi: 10.18653/v1/2024.findings-acl.931.</w:t>
      </w:r>
    </w:p>
    <w:p>
      <w:pPr>
        <w:spacing w:line="264" w:lineRule="auto" w:before="0" w:after="50"/>
        <w:ind w:left="360" w:hanging="360"/>
        <w:jc w:val="left"/>
      </w:pPr>
      <w:r>
        <w:rPr>
          <w:rFonts w:ascii="Times New Roman" w:hAnsi="Times New Roman"/>
          <w:color w:val="000000"/>
          <w:sz w:val="17"/>
        </w:rPr>
        <w:t>[7] S. Chen, Y. Wu, C. Wang, S. Liu, D. Tompkins, Z. Chen, and F. Wei, "BEATs: Audio Pre-Training with Acoustic Tokenizers," in Proc. 40th International Conference on Machine Learning (ICML), vol. 202, 2023, pp. 5178–5193.</w:t>
      </w:r>
    </w:p>
    <w:p>
      <w:pPr>
        <w:spacing w:line="264" w:lineRule="auto" w:before="0" w:after="50"/>
        <w:ind w:left="360" w:hanging="360"/>
        <w:jc w:val="left"/>
      </w:pPr>
      <w:r>
        <w:rPr>
          <w:rFonts w:ascii="Times New Roman" w:hAnsi="Times New Roman"/>
          <w:color w:val="000000"/>
          <w:sz w:val="17"/>
        </w:rPr>
        <w:t>[8] W.-N. Hsu, B. Bolte, Y.-H. H. Tsai, K. Lakhotia, R. Salakhutdinov, and A. Mohamed, "HuBERT: Self-Supervised Speech Representation Learning by Masked Prediction of Hidden Units," IEEE/ACM Transactions on Audio, Speech, and Language Processing, vol. 29, pp. 3451–3460, 2021, doi: 10.1109/TASLP.2021.3122291.</w:t>
      </w:r>
    </w:p>
    <w:p>
      <w:pPr>
        <w:spacing w:line="264" w:lineRule="auto" w:before="0" w:after="50"/>
        <w:ind w:left="360" w:hanging="360"/>
        <w:jc w:val="left"/>
      </w:pPr>
      <w:r>
        <w:rPr>
          <w:rFonts w:ascii="Times New Roman" w:hAnsi="Times New Roman"/>
          <w:color w:val="000000"/>
          <w:sz w:val="17"/>
        </w:rPr>
        <w:t>[9] A. Baevski, Y. Zhou, A. Mohamed, and M. Auli, "wav2vec 2.0: A Framework for Self-Supervised Learning of Speech Representations," in Advances in Neural Information Processing Systems (NeurIPS), vol. 33, 2020, pp. 12449–12460.</w:t>
      </w:r>
    </w:p>
    <w:p>
      <w:pPr>
        <w:spacing w:line="264" w:lineRule="auto" w:before="0" w:after="50"/>
        <w:ind w:left="360" w:hanging="360"/>
        <w:jc w:val="left"/>
      </w:pPr>
      <w:r>
        <w:rPr>
          <w:rFonts w:ascii="Times New Roman" w:hAnsi="Times New Roman"/>
          <w:color w:val="000000"/>
          <w:sz w:val="17"/>
        </w:rPr>
        <w:t>[10] A. Babu, C. Wang, A. Tjandra, K. Lakhotia, Q. Xu, N. Goyal, K. Singh, P. von Platen, Y. Saraf, J. Pino, A. Baevski, A. Conneau, and M. Auli, "XLS-R: Self-supervised Cross-lingual Speech Representation Learning at Scale," in Proc. Interspeech 2022, Incheon, Korea, 2022, pp. 2278–2282, doi: 10.21437/Interspeech.2022-143.</w:t>
      </w:r>
    </w:p>
    <w:p>
      <w:pPr>
        <w:spacing w:line="264" w:lineRule="auto" w:before="0" w:after="50"/>
        <w:ind w:left="360" w:hanging="360"/>
        <w:jc w:val="left"/>
      </w:pPr>
      <w:r>
        <w:rPr>
          <w:rFonts w:ascii="Times New Roman" w:hAnsi="Times New Roman"/>
          <w:color w:val="000000"/>
          <w:sz w:val="17"/>
        </w:rPr>
        <w:t>[11] J. H. Chowdhury, S. Ramanna, and K. Kotecha, "Speech emotion recognition with light weight deep neural ensemble model using hand crafted features," Scientific Reports, vol. 15, no. 1, art. 11824, pp. 1–14, 2025, doi: 10.1038/s41598-025-95734-z. [Online]. Available: https://www.nature.com/articles/s41598-025-95734-z.</w:t>
      </w:r>
    </w:p>
    <w:p>
      <w:pPr>
        <w:spacing w:line="264" w:lineRule="auto" w:before="0" w:after="50"/>
        <w:ind w:left="360" w:hanging="360"/>
        <w:jc w:val="left"/>
      </w:pPr>
      <w:r>
        <w:rPr>
          <w:rFonts w:ascii="Times New Roman" w:hAnsi="Times New Roman"/>
          <w:color w:val="000000"/>
          <w:sz w:val="17"/>
        </w:rPr>
        <w:t>[12] F. Eyben, K. R. Scherer, B. W. Schuller, J. Sundberg, E. André, C. Busso, L. Y. Devillers, J. Epps, P. Laukka, S. S. Narayanan, and K. P. Truong, "The Geneva Minimalistic Acoustic Parameter Set (GeMAPS) for Voice Research and Affective Computing," IEEE Transactions on Affective Computing, vol. 7, no. 2, pp. 190–202, Apr.–Jun. 2016, doi: 10.1109/TAFFC.2015.2457417.</w:t>
      </w:r>
    </w:p>
    <w:p>
      <w:pPr>
        <w:spacing w:line="264" w:lineRule="auto" w:before="0" w:after="50"/>
        <w:ind w:left="360" w:hanging="360"/>
        <w:jc w:val="left"/>
      </w:pPr>
      <w:r>
        <w:rPr>
          <w:rFonts w:ascii="Times New Roman" w:hAnsi="Times New Roman"/>
          <w:color w:val="000000"/>
          <w:sz w:val="17"/>
        </w:rPr>
        <w:t>[13] B. W. Schuller, A. Batliner, C. Bergler, E.-M. Messner, A. Hamilton, S. Amiriparian, A. Baird, G. Rizos, M. Schmitt, L. Stappen, H. Baumeister, A. D. MacIntyre, and S. Hantke, "The INTERSPEECH 2020 Computational Paralinguistics Challenge: Elderly Emotion, Breathing &amp; Masks," in Proc. Interspeech 2020, Shanghai, China, 2020, pp. 2042–2046, doi: 10.21437/Interspeech.2020-32.</w:t>
      </w:r>
    </w:p>
    <w:p>
      <w:pPr>
        <w:spacing w:line="264" w:lineRule="auto" w:before="0" w:after="50"/>
        <w:ind w:left="360" w:hanging="360"/>
        <w:jc w:val="left"/>
      </w:pPr>
      <w:r>
        <w:rPr>
          <w:rFonts w:ascii="Times New Roman" w:hAnsi="Times New Roman"/>
          <w:color w:val="000000"/>
          <w:sz w:val="17"/>
        </w:rPr>
        <w:t>[14] N. Wang and D. Yang, "Speech emotion recognition using fine-tuned Wav2vec2.0 and neural controlled differential equations classifier," PLoS ONE, vol. 20, no. 2, art. e0318297, pp. 1–13, Feb. 2025, doi: 10.1371/journal.pone.0318297.</w:t>
      </w:r>
    </w:p>
    <w:p>
      <w:pPr>
        <w:spacing w:line="264" w:lineRule="auto" w:before="0" w:after="50"/>
        <w:ind w:left="360" w:hanging="360"/>
        <w:jc w:val="left"/>
      </w:pPr>
      <w:r>
        <w:rPr>
          <w:rFonts w:ascii="Times New Roman" w:hAnsi="Times New Roman"/>
          <w:color w:val="000000"/>
          <w:sz w:val="17"/>
        </w:rPr>
        <w:t>[15] A. Hashem, M. Arif, and M. Alghamdi, "Speech emotion recognition approaches: A systematic review," Speech Communication, vol. 154, art. 102974, pp. 1–29, Oct. 2023, doi: 10.1016/j.specom.2023.102974.</w:t>
      </w:r>
    </w:p>
    <w:p>
      <w:pPr>
        <w:spacing w:line="264" w:lineRule="auto" w:before="0" w:after="50"/>
        <w:ind w:left="360" w:hanging="360"/>
        <w:jc w:val="left"/>
      </w:pPr>
      <w:r>
        <w:rPr>
          <w:rFonts w:ascii="Times New Roman" w:hAnsi="Times New Roman"/>
          <w:color w:val="000000"/>
          <w:sz w:val="17"/>
        </w:rPr>
        <w:t>[16] M. B. Akçay and K. Oğuz, "Speech emotion recognition: Emotional models, databases, features, preprocessing methods, supporting modalities, and classifiers," Speech Communication, vol. 116, pp. 56–76, Jan. 2020, doi: 10.1016/j.specom.2019.12.001.</w:t>
      </w:r>
    </w:p>
    <w:p>
      <w:pPr>
        <w:spacing w:line="264" w:lineRule="auto" w:before="0" w:after="50"/>
        <w:ind w:left="360" w:hanging="360"/>
        <w:jc w:val="left"/>
      </w:pPr>
      <w:r>
        <w:rPr>
          <w:rFonts w:ascii="Times New Roman" w:hAnsi="Times New Roman"/>
          <w:color w:val="000000"/>
          <w:sz w:val="17"/>
        </w:rPr>
        <w:t>[17] H. Cao, D. G. Cooper, M. K. Keutmann, R. C. Gur, A. Nenkova, and R. Verma, "CREMA-D: Crowd-Sourced Emotional Multimodal Actors Dataset," IEEE Transactions on Affective Computing, vol. 5, no. 4, pp. 377–390, Oct.–Dec. 2014, doi: 10.1109/TAFFC.2014.2336244.</w:t>
      </w:r>
    </w:p>
    <w:p>
      <w:pPr>
        <w:spacing w:line="264" w:lineRule="auto" w:before="0" w:after="50"/>
        <w:ind w:left="360" w:hanging="360"/>
        <w:jc w:val="left"/>
      </w:pPr>
      <w:r>
        <w:rPr>
          <w:rFonts w:ascii="Times New Roman" w:hAnsi="Times New Roman"/>
          <w:color w:val="000000"/>
          <w:sz w:val="17"/>
        </w:rPr>
        <w:t>[18] S. R. Livingstone and F. A. Russo, "The Ryerson Audio-Visual Database of Emotional Speech and Song (RAVDESS): A dynamic, multimodal set of facial and vocal expressions in North American English," PLoS ONE, vol. 13, no. 5, art. e0196391, pp. 1–33, May 2018, doi: 10.1371/journal.pone.0196391.</w:t>
      </w:r>
    </w:p>
    <w:p>
      <w:pPr>
        <w:spacing w:line="264" w:lineRule="auto" w:before="0" w:after="50"/>
        <w:ind w:left="360" w:hanging="360"/>
        <w:jc w:val="left"/>
      </w:pPr>
      <w:r>
        <w:rPr>
          <w:rFonts w:ascii="Times New Roman" w:hAnsi="Times New Roman"/>
          <w:color w:val="000000"/>
          <w:sz w:val="17"/>
        </w:rPr>
        <w:t>[19] S. Haq and P. J. B. Jackson, "Multimodal Emotion Recognition," in Machine Audition: Principles, Algorithms and Systems, W. Wang, Ed., Hershey, PA: IGI Global, 2010, pp. 398–423, doi: 10.4018/978-1-61520-919-4.ch017.</w:t>
      </w:r>
    </w:p>
    <w:p>
      <w:pPr>
        <w:spacing w:line="264" w:lineRule="auto" w:before="0" w:after="50"/>
        <w:ind w:left="360" w:hanging="360"/>
        <w:jc w:val="left"/>
      </w:pPr>
      <w:r>
        <w:rPr>
          <w:rFonts w:ascii="Times New Roman" w:hAnsi="Times New Roman"/>
          <w:color w:val="000000"/>
          <w:sz w:val="17"/>
        </w:rPr>
        <w:t>[20] M. K. Pichora-Fuller and K. Dupuis, "Toronto Emotional Speech Set (TESS)," Scholars Portal Dataverse, vol. 1, 2020, doi: 10.5683/SP2/E8H2MF.</w:t>
      </w:r>
    </w:p>
    <w:p>
      <w:pPr>
        <w:spacing w:line="264" w:lineRule="auto" w:before="0" w:after="50"/>
        <w:ind w:left="360" w:hanging="360"/>
        <w:jc w:val="left"/>
      </w:pPr>
      <w:r>
        <w:rPr>
          <w:rFonts w:ascii="Times New Roman" w:hAnsi="Times New Roman"/>
          <w:color w:val="000000"/>
          <w:sz w:val="17"/>
        </w:rPr>
        <w:t>[21] A. Goel, M. Hira, and A. Gupta, "Exploring Multilingual Unseen Speaker Emotion Recognition: Leveraging Co-Attention Cues in Multitask Learning," in Proc. Interspeech 2024, Kos Island, Greece, 2024, pp. 2340–2344, doi: 10.21437/Interspeech.2024-1820.</w:t>
      </w:r>
    </w:p>
    <w:p>
      <w:pPr>
        <w:spacing w:line="264" w:lineRule="auto" w:before="0" w:after="50"/>
        <w:ind w:left="360" w:hanging="360"/>
        <w:jc w:val="left"/>
      </w:pPr>
      <w:r>
        <w:rPr>
          <w:rFonts w:ascii="Times New Roman" w:hAnsi="Times New Roman"/>
          <w:color w:val="000000"/>
          <w:sz w:val="17"/>
        </w:rPr>
        <w:t>[22] H. Rathnayake, J. James, G. Leoni, A. Nicholas, C. Watson, and P. Keegan, "A review on speech emotion recognition for low-resource and Indigenous languages," Speech Communication, vol. 176, art. 103342, pp. 1–25, Jan. 2026, doi: 10.1016/j.specom.2025.103342.</w:t>
      </w:r>
    </w:p>
    <w:p>
      <w:pPr>
        <w:spacing w:line="264" w:lineRule="auto" w:before="0" w:after="50"/>
        <w:ind w:left="360" w:hanging="360"/>
        <w:jc w:val="left"/>
      </w:pPr>
      <w:r>
        <w:rPr>
          <w:rFonts w:ascii="Times New Roman" w:hAnsi="Times New Roman"/>
          <w:color w:val="000000"/>
          <w:sz w:val="17"/>
        </w:rPr>
        <w:t>[23] S. T. Alam Monisha and S. Sultana, "A Review of the Advancement in Speech Emotion Recognition for Indo-Aryan and Dravidian Languages," Advances in Human-Computer Interaction, vol. 2022, art. 9602429, pp. 1–11, Dec. 2022, doi: 10.1155/2022/9602429.</w:t>
      </w:r>
    </w:p>
    <w:p>
      <w:pPr>
        <w:spacing w:line="264" w:lineRule="auto" w:before="0" w:after="50"/>
        <w:ind w:left="360" w:hanging="360"/>
        <w:jc w:val="left"/>
      </w:pPr>
      <w:r>
        <w:rPr>
          <w:rFonts w:ascii="Times New Roman" w:hAnsi="Times New Roman"/>
          <w:color w:val="000000"/>
          <w:sz w:val="17"/>
        </w:rPr>
        <w:t>[24] A. Pasad, J.-C. Chou, and K. Livescu, "Layer-wise Analysis of a Self-supervised Speech Representation Model," in Proc. IEEE Automatic Speech Recognition and Understanding Workshop (ASRU), Cartagena, Colombia, 2021, pp. 914–921, doi: 10.1109/ASRU51503.2021.9688093.</w:t>
      </w:r>
    </w:p>
    <w:p>
      <w:pPr>
        <w:spacing w:line="264" w:lineRule="auto" w:before="0" w:after="50"/>
        <w:ind w:left="360" w:hanging="360"/>
        <w:jc w:val="left"/>
      </w:pPr>
      <w:r>
        <w:rPr>
          <w:rFonts w:ascii="Times New Roman" w:hAnsi="Times New Roman"/>
          <w:color w:val="000000"/>
          <w:sz w:val="17"/>
        </w:rPr>
        <w:t>[25] J. Wagner, D. Schiller, A. Seiderer, and E. André, "Deep learning in paralinguistic recognition tasks: Are hand-crafted features still relevant?," in Proc. Interspeech 2018, Hyderabad, India, 2018, pp. 147–151, doi: 10.21437/Interspeech.2018-1238.</w:t>
      </w:r>
    </w:p>
    <w:p>
      <w:pPr>
        <w:spacing w:line="264" w:lineRule="auto" w:before="0" w:after="50"/>
        <w:ind w:left="360" w:hanging="360"/>
        <w:jc w:val="left"/>
      </w:pPr>
      <w:r>
        <w:rPr>
          <w:rFonts w:ascii="Times New Roman" w:hAnsi="Times New Roman"/>
          <w:color w:val="000000"/>
          <w:sz w:val="17"/>
        </w:rPr>
        <w:t>[26] S. Latif, R. Rana, S. Khalifa, R. Jurdak, J. Qadir, and B. W. Schuller, "Survey of Deep Representation Learning for Speech Emotion Recognition," IEEE Transactions on Affective Computing, vol. 14, no. 2, pp. 1634–1654, Apr.–Jun. 2023, doi: 10.1109/TAFFC.2021.3114365.</w:t>
      </w:r>
    </w:p>
    <w:p>
      <w:pPr>
        <w:spacing w:line="264" w:lineRule="auto" w:before="0" w:after="50"/>
        <w:ind w:left="360" w:hanging="360"/>
        <w:jc w:val="left"/>
      </w:pPr>
      <w:r>
        <w:rPr>
          <w:rFonts w:ascii="Times New Roman" w:hAnsi="Times New Roman"/>
          <w:color w:val="000000"/>
          <w:sz w:val="17"/>
        </w:rPr>
        <w:t>[27] L. Pepino, P. Riera, and L. Ferrer, "Emotion Recognition from Speech Using wav2vec 2.0 Embeddings," in Proc. Interspeech 2021, Brno, Czech Republic, 2021, pp. 3400–3404, doi: 10.21437/Interspeech.2021-703.</w:t>
      </w:r>
    </w:p>
    <w:p>
      <w:pPr>
        <w:spacing w:line="264" w:lineRule="auto" w:before="0" w:after="50"/>
        <w:ind w:left="360" w:hanging="360"/>
        <w:jc w:val="left"/>
      </w:pPr>
      <w:r>
        <w:rPr>
          <w:rFonts w:ascii="Times New Roman" w:hAnsi="Times New Roman"/>
          <w:color w:val="000000"/>
          <w:sz w:val="17"/>
        </w:rPr>
        <w:t>[28] C. Busso, M. Bulut, C.-C. Lee, A. Kazemzadeh, E. Mower, S. Kim, J. N. Chang, S. Lee, and S. S. Narayanan, "IEMOCAP: Interactive emotional dyadic motion capture database," Language Resources and Evaluation, vol. 42, no. 4, pp. 335–359, Dec. 2008, doi: 10.1007/s10579-008-9076-6.</w:t>
      </w:r>
    </w:p>
    <w:p>
      <w:pPr>
        <w:spacing w:line="264" w:lineRule="auto" w:before="0" w:after="50"/>
        <w:ind w:left="360" w:hanging="360"/>
        <w:jc w:val="left"/>
      </w:pPr>
      <w:r>
        <w:rPr>
          <w:rFonts w:ascii="Times New Roman" w:hAnsi="Times New Roman"/>
          <w:color w:val="000000"/>
          <w:sz w:val="17"/>
        </w:rPr>
        <w:t>[29] M. Mauch and S. Dixon, "pYIN: A Fundamental Frequency Estimator Using Probabilistic Threshold Distributions," in Proc. IEEE International Conference on Acoustics, Speech and Signal Processing (ICASSP), Florence, Italy, 2014, pp. 659–663, doi: 10.1109/ICASSP.2014.6853678.</w:t>
      </w:r>
    </w:p>
    <w:p>
      <w:pPr>
        <w:spacing w:line="264" w:lineRule="auto" w:before="0" w:after="50"/>
        <w:ind w:left="360" w:hanging="360"/>
        <w:jc w:val="left"/>
      </w:pPr>
      <w:r>
        <w:rPr>
          <w:rFonts w:ascii="Times New Roman" w:hAnsi="Times New Roman"/>
          <w:color w:val="000000"/>
          <w:sz w:val="17"/>
        </w:rPr>
        <w:t>[30] C. Sun, Y. Zhou, X. Huang, J. Yang, and X. Hou, "Combining wav2vec 2.0 Fine-Tuning and ConLearnNet for Speech Emotion Recognition," Electronics, vol. 13, no. 6, art. 1103, pp. 1–19, Mar. 2024, doi: 10.3390/electronics13061103.</w:t>
      </w:r>
    </w:p>
    <w:sectPr w:rsidR="00FC693F" w:rsidRPr="0006063C" w:rsidSect="00034616">
      <w:headerReference w:type="default" r:id="rId9"/>
      <w:footerReference w:type="default" r:id="rId10"/>
      <w:pgSz w:w="12240" w:h="15840"/>
      <w:pgMar w:top="1080" w:right="1080" w:bottom="1080" w:left="108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color w:val="000000"/>
        <w:sz w:val="18"/>
      </w:rP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Times New Roman" w:hAnsi="Times New Roman"/>
        <w:color w:val="000000"/>
        <w:sz w:val="17"/>
      </w:rPr>
      <w:t>SPEECH EMOTION RECOGNITION BENCHMARK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