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color w:val="475569"/>
          <w:sz w:val="17"/>
        </w:rPr>
        <w:t>IEEE TRANSACTIONS ON AFFECTIVE COMPUTING (PREPRINT)  •  DEPARTMENT OF COMPUTER SCIENCE &amp; ENGINEERING</w:t>
      </w:r>
    </w:p>
    <w:p>
      <w:pPr>
        <w:spacing w:after="240"/>
      </w:pPr>
      <w:r>
        <w:rPr>
          <w:color w:val="0F172A"/>
        </w:rPr>
        <w:t>――――――――――――――――――――――――――――――――――――――――――――――――――――――――</w:t>
      </w:r>
    </w:p>
    <w:p>
      <w:pPr>
        <w:spacing w:before="160" w:after="160"/>
        <w:jc w:val="center"/>
      </w:pPr>
      <w:r>
        <w:rPr>
          <w:rFonts w:ascii="Times New Roman" w:hAnsi="Times New Roman"/>
          <w:b/>
          <w:color w:val="0F172A"/>
          <w:sz w:val="36"/>
        </w:rPr>
        <w:t>Multi-Corpus and Multilingual Speech Emotion Recognition with Audio Behavioural Intelligence: A Cross-Lingual Evaluation and Learnable Weighted Layer Pooling Study</w:t>
      </w:r>
    </w:p>
    <w:p>
      <w:pPr>
        <w:spacing w:after="40"/>
        <w:jc w:val="center"/>
      </w:pPr>
      <w:r>
        <w:rPr>
          <w:rFonts w:ascii="Times New Roman" w:hAnsi="Times New Roman"/>
          <w:b/>
          <w:color w:val="0F172A"/>
          <w:sz w:val="25"/>
        </w:rPr>
        <w:t>Himanshi Patel</w:t>
      </w:r>
    </w:p>
    <w:p>
      <w:pPr>
        <w:spacing w:after="320"/>
        <w:jc w:val="center"/>
      </w:pPr>
      <w:r>
        <w:rPr>
          <w:rFonts w:ascii="Times New Roman" w:hAnsi="Times New Roman"/>
          <w:i/>
          <w:color w:val="475569"/>
          <w:sz w:val="19"/>
        </w:rPr>
        <w:t>Department of Computer Science and Engineering</w:t>
        <w:br/>
        <w:t>Project Repository: speech_emotion_detection (Branch: develop-v3)</w:t>
        <w:br/>
        <w:t>Research Areas: Affective Computing, Speech Signal Processing, Self-Supervised Speech Models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0F172A"/>
              <w:top w:val="none"/>
              <w:right w:val="none"/>
              <w:bottom w:val="none"/>
            </w:tcBorders>
          </w:tcPr>
          <w:p>
            <w:pPr>
              <w:spacing w:line="288" w:lineRule="auto" w:before="40" w:after="80"/>
              <w:jc w:val="both"/>
            </w:pPr>
            <w:r>
              <w:rPr>
                <w:rFonts w:ascii="Times New Roman" w:hAnsi="Times New Roman"/>
                <w:b/>
                <w:sz w:val="19"/>
              </w:rPr>
              <w:t>Abstract—</w:t>
            </w:r>
            <w:r>
              <w:rPr>
                <w:rFonts w:ascii="Times New Roman" w:hAnsi="Times New Roman"/>
                <w:sz w:val="19"/>
              </w:rPr>
              <w:t>Speech Emotion Recognition (SER) is an active area of investigation within human-computer interaction, psychiatric diagnostics, and automated voice analysis. However, contemporary SER research faces several methodological constraints. First, randomized dataset partitioning causes speaker identity leakage, which inflates experimental accuracy by 15% to 35% compared to real-world performance on novel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outperforming the final classification layer.</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before="80" w:after="40"/>
            </w:pPr>
            <w:r>
              <w:rPr>
                <w:rFonts w:ascii="Times New Roman" w:hAnsi="Times New Roman"/>
                <w:b/>
                <w:sz w:val="18"/>
              </w:rPr>
              <w:t>Index Terms—</w:t>
            </w:r>
            <w:r>
              <w:rPr>
                <w:rFonts w:ascii="Times New Roman" w:hAnsi="Times New Roman"/>
                <w:sz w:val="18"/>
              </w:rPr>
              <w:t>Speech Emotion Recognition, Self-Supervised Learning, Learnable Layer Pooling, Linear Probe, Hindi Speech Emotion, Cross-Lingual Transfer, Vocal Behaviour, Speaker Disjoint Split, HuBERT, Wav2Vec 2.0, CNN-BiLSTM.</w:t>
            </w:r>
          </w:p>
        </w:tc>
      </w:tr>
    </w:tbl>
    <w:p>
      <w:pPr>
        <w:spacing w:after="240"/>
      </w:pPr>
    </w:p>
    <w:p>
      <w:pPr>
        <w:keepNext/>
        <w:spacing w:before="320" w:after="120"/>
      </w:pPr>
      <w:r>
        <w:rPr>
          <w:rFonts w:ascii="Times New Roman" w:hAnsi="Times New Roman"/>
          <w:b/>
          <w:color w:val="0F172A"/>
          <w:sz w:val="23"/>
        </w:rPr>
        <w:t>1. INTRODUCTION &amp; RESEARCH MOTIVATION</w:t>
      </w:r>
    </w:p>
    <w:p>
      <w:pPr>
        <w:spacing w:line="293" w:lineRule="auto" w:after="80"/>
        <w:ind w:firstLine="288"/>
        <w:jc w:val="both"/>
      </w:pPr>
      <w:r>
        <w:rPr>
          <w:rFonts w:ascii="Times New Roman" w:hAnsi="Times New Roman"/>
          <w:sz w:val="20"/>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200" w:after="80"/>
      </w:pPr>
      <w:r>
        <w:rPr>
          <w:rFonts w:ascii="Times New Roman" w:hAnsi="Times New Roman"/>
          <w:b/>
          <w:color w:val="1E293B"/>
          <w:sz w:val="21"/>
        </w:rPr>
        <w:t>1.1 The Problem of Speaker Identity Leakage</w:t>
      </w:r>
    </w:p>
    <w:p>
      <w:pPr>
        <w:spacing w:line="293" w:lineRule="auto" w:after="80"/>
        <w:ind w:firstLine="288"/>
        <w:jc w:val="both"/>
      </w:pPr>
      <w:r>
        <w:rPr>
          <w:rFonts w:ascii="Times New Roman" w:hAnsi="Times New Roman"/>
          <w:sz w:val="20"/>
        </w:rPr>
        <w:t>A critical limitation in existing SER benchmarks is the use of randomized cross-validation [14], [16].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[30].</w:t>
      </w:r>
    </w:p>
    <w:p>
      <w:pPr>
        <w:keepNext/>
        <w:spacing w:before="200" w:after="80"/>
      </w:pPr>
      <w:r>
        <w:rPr>
          <w:rFonts w:ascii="Times New Roman" w:hAnsi="Times New Roman"/>
          <w:b/>
          <w:color w:val="1E293B"/>
          <w:sz w:val="21"/>
        </w:rPr>
        <w:t>1.2 Indic and Low-Resource Language Representation</w:t>
      </w:r>
    </w:p>
    <w:p>
      <w:pPr>
        <w:spacing w:line="293" w:lineRule="auto" w:after="80"/>
        <w:ind w:firstLine="288"/>
        <w:jc w:val="both"/>
      </w:pPr>
      <w:r>
        <w:rPr>
          <w:rFonts w:ascii="Times New Roman" w:hAnsi="Times New Roman"/>
          <w:sz w:val="20"/>
        </w:rPr>
        <w:t>Most accessible SER benchmarks rely on English (e.g., IEMOCAP, RAVDESS, CREMA-D) or German (e.g., EMO-DB) [16], [28]. Indic languages, spoken by over 1.4 billion individuals, remain underrepresented in speech research [1], [3]. Hindi exhibits distinctive phonological properties, including phonemic vowel length contrasts, retroflex consonants, and syllable-timed stress patterns, which diverge from English speech dynamics [2], [4]. Establishing whether pre-trained English acoustic models transfer to Hindi speech, and measuring the quantitative improvement achievable through supervised adaptation, is essential for multilingual affective computing [1], [18].</w:t>
      </w:r>
    </w:p>
    <w:p>
      <w:pPr>
        <w:keepNext/>
        <w:spacing w:before="200" w:after="80"/>
      </w:pPr>
      <w:r>
        <w:rPr>
          <w:rFonts w:ascii="Times New Roman" w:hAnsi="Times New Roman"/>
          <w:b/>
          <w:color w:val="1E293B"/>
          <w:sz w:val="21"/>
        </w:rPr>
        <w:t>1.3 Integrating Objective Vocal Metrics</w:t>
      </w:r>
    </w:p>
    <w:p>
      <w:pPr>
        <w:spacing w:line="293" w:lineRule="auto" w:after="80"/>
        <w:ind w:firstLine="288"/>
        <w:jc w:val="both"/>
      </w:pPr>
      <w:r>
        <w:rPr>
          <w:rFonts w:ascii="Times New Roman" w:hAnsi="Times New Roman"/>
          <w:sz w:val="20"/>
        </w:rPr>
        <w:t>Standard SER architectures typically output discrete emotion class probabilities, such as P(Happy) = 0.85. However, clinical diagnostic applications, tele-counseling, and automated conversational systems benefit from continuous, interpretable acoustic measurements [5], [11]:</w:t>
      </w:r>
    </w:p>
    <w:p>
      <w:pPr>
        <w:spacing w:after="80"/>
        <w:ind w:left="360"/>
      </w:pPr>
      <w:r>
        <w:t>1. Speech Velocity (syllables per second) indicates psychomotor state.</w:t>
        <w:br/>
        <w:t>2. Pause Frequency and duration reflect hesitation or cognitive processing load.</w:t>
        <w:br/>
        <w:t>3. Vocal Energy Variation indicates engagement level.</w:t>
        <w:br/>
        <w:t>4. Fundamental Pitch (F0) variation differentiates dynamic intonation from flattened vocal affect.</w:t>
      </w:r>
    </w:p>
    <w:p>
      <w:pPr>
        <w:keepNext/>
        <w:spacing w:before="320" w:after="120"/>
      </w:pPr>
      <w:r>
        <w:rPr>
          <w:rFonts w:ascii="Times New Roman" w:hAnsi="Times New Roman"/>
          <w:b/>
          <w:color w:val="0F172A"/>
          <w:sz w:val="23"/>
        </w:rPr>
        <w:t>2. RELATED WORK &amp; LITERATURE SURVEY</w:t>
      </w:r>
    </w:p>
    <w:p>
      <w:pPr>
        <w:spacing w:line="293" w:lineRule="auto" w:after="80"/>
        <w:ind w:firstLine="288"/>
        <w:jc w:val="both"/>
      </w:pPr>
      <w:r>
        <w:rPr>
          <w:rFonts w:ascii="Times New Roman" w:hAnsi="Times New Roman"/>
          <w:sz w:val="20"/>
        </w:rPr>
        <w:t>This investigation synthesizes 39 peer-reviewed publications across four core theoretical domains:</w:t>
      </w:r>
    </w:p>
    <w:p>
      <w:pPr>
        <w:keepNext/>
        <w:spacing w:before="200" w:after="80"/>
      </w:pPr>
      <w:r>
        <w:rPr>
          <w:rFonts w:ascii="Times New Roman" w:hAnsi="Times New Roman"/>
          <w:b/>
          <w:color w:val="1E293B"/>
          <w:sz w:val="21"/>
        </w:rPr>
        <w:t>2.1 Indic and Hindi Speech Emotion Recognition</w:t>
      </w:r>
    </w:p>
    <w:p>
      <w:pPr>
        <w:spacing w:line="293" w:lineRule="auto" w:after="80"/>
        <w:ind w:firstLine="288"/>
        <w:jc w:val="both"/>
      </w:pPr>
      <w:r>
        <w:rPr>
          <w:rFonts w:ascii="Times New Roman" w:hAnsi="Times New Roman"/>
          <w:sz w:val="20"/>
        </w:rPr>
        <w:t>Early speech emotion recognition research in India relied predominantly on small private datasets evaluated with conventional classifiers such as Support Vector Machines (SVM) and Multi-Layer Perceptrons [4], [18]. Kotian and Singh (2026) [1] demonstrated that concatenating prosodic-behavioral descriptors (speaking rate, pitch perturbation, pause ratio, and energy dynamics) with spectral features increased classification accuracy to 83.9% and Macro-F1 to 0.81 on Hindi speech. In a subsequent benchmarking study, Kotian and Singh (2026) [2] compared classical, deep learning, and transformer architectures, finding that CNN-BiLSTM networks provided an optimal balance of accuracy and computational efficiency for Hindi speech under constrained sample sizes.</w:t>
      </w:r>
    </w:p>
    <w:p>
      <w:pPr>
        <w:spacing w:line="293" w:lineRule="auto" w:after="80"/>
        <w:ind w:firstLine="288"/>
        <w:jc w:val="both"/>
      </w:pPr>
      <w:r>
        <w:rPr>
          <w:rFonts w:ascii="Times New Roman" w:hAnsi="Times New Roman"/>
          <w:sz w:val="20"/>
        </w:rPr>
        <w:t>Chauhan and Sharma (2023) [3] introduced the MNITJ-SEHSD database, standardizing an Indic emotion corpus and highlighting acoustic overlap between anger and disgust resulting from shared high vocal intensity. Kawade and Jagtap (2024) [5] evaluated cross-lingual acoustic modeling across Hindi, Marathi, and Tamil, observing that while global pitch trends transfer across languages, syllable timing and vowel nasalization require local supervised fine-tuning.</w:t>
      </w:r>
    </w:p>
    <w:p>
      <w:pPr>
        <w:keepNext/>
        <w:spacing w:before="200" w:after="80"/>
      </w:pPr>
      <w:r>
        <w:rPr>
          <w:rFonts w:ascii="Times New Roman" w:hAnsi="Times New Roman"/>
          <w:b/>
          <w:color w:val="1E293B"/>
          <w:sz w:val="21"/>
        </w:rPr>
        <w:t>2.2 Self-Supervised Speech Representation Models</w:t>
      </w:r>
    </w:p>
    <w:p>
      <w:pPr>
        <w:spacing w:line="293" w:lineRule="auto" w:after="80"/>
        <w:ind w:firstLine="288"/>
        <w:jc w:val="both"/>
      </w:pPr>
      <w:r>
        <w:rPr>
          <w:rFonts w:ascii="Times New Roman" w:hAnsi="Times New Roman"/>
          <w:sz w:val="20"/>
        </w:rPr>
        <w:t>Self-supervised learning has established powerful baseline representations for speech tasks. Models such as Wav2Vec 2.0 (Baevski et al., 2020) [9] and HuBERT (Hsu et al., 2021) [8] learn representations from thousands of hours of unlabeled audio through contrastive loss or masked cluster prediction. However, recent studies by Ma et al. on emotion2vec [6] and Chen et al. on BEATs [7] demonstrate that standard speech models optimize for phonetic invariance, which can suppress emotional cues in upper transformer layers. Probing studies by Pasad et al. (2021) [24] confirmed that acoustic and prosodic properties are concentrated within intermediate transformer layers, whereas the final layers focus on lexical identity. These findings motivate the Learnable Weighted Layer Pooling approach used in this work.</w:t>
      </w:r>
    </w:p>
    <w:p>
      <w:pPr>
        <w:keepNext/>
        <w:spacing w:before="200" w:after="80"/>
      </w:pPr>
      <w:r>
        <w:rPr>
          <w:rFonts w:ascii="Times New Roman" w:hAnsi="Times New Roman"/>
          <w:b/>
          <w:color w:val="1E293B"/>
          <w:sz w:val="21"/>
        </w:rPr>
        <w:t>2.3 Vocal Behavioural Feature Integration &amp; Speaker Disjoint Protocols</w:t>
      </w:r>
    </w:p>
    <w:p>
      <w:pPr>
        <w:spacing w:line="293" w:lineRule="auto" w:after="80"/>
        <w:ind w:firstLine="288"/>
        <w:jc w:val="both"/>
      </w:pPr>
      <w:r>
        <w:rPr>
          <w:rFonts w:ascii="Times New Roman" w:hAnsi="Times New Roman"/>
          <w:sz w:val="20"/>
        </w:rPr>
        <w:t>Standardized acoustic parameter sets have long provided interpretable metrics for speech analysis. Eyben et al. (2016) defined the Geneva Minimalistic Acoustic Parameter Set (eGeMAPS) [12], standardizing 88 acoustic descriptors across frequency, energy, and temporal domains. Chowdhury et al. (2025) [11] showed that integrating acoustic prosody with deep learning architectures improved diagnostic reliability in clinical speech evaluations. Furthermore, Wang and Yang (2025) [14], Hashem et al. (2023) [15], and Akcay and Oguz (2020) [16] demonstrated that only strict speaker-disjoint evaluation protocols prevent speaker identity leakage and reflect genuine out-of-domain generalization capability.</w:t>
      </w:r>
    </w:p>
    <w:p>
      <w:pPr>
        <w:keepNext/>
        <w:spacing w:before="320" w:after="120"/>
      </w:pPr>
      <w:r>
        <w:rPr>
          <w:rFonts w:ascii="Times New Roman" w:hAnsi="Times New Roman"/>
          <w:b/>
          <w:color w:val="0F172A"/>
          <w:sz w:val="23"/>
        </w:rPr>
        <w:t>3. DATASET ECOSYSTEM &amp; PARTITIONING PROTOCOLS</w:t>
      </w:r>
    </w:p>
    <w:p>
      <w:pPr>
        <w:spacing w:line="293" w:lineRule="auto" w:after="80"/>
        <w:ind w:firstLine="288"/>
        <w:jc w:val="both"/>
      </w:pPr>
      <w:r>
        <w:rPr>
          <w:rFonts w:ascii="Times New Roman" w:hAnsi="Times New Roman"/>
          <w:sz w:val="20"/>
        </w:rPr>
        <w:t>To ensure rigorous evaluation, five distinct corpora comprising 12,180 audio files were curated, preprocessed, and partitioned. Audio files were resampled to a standardized format: 16,000 Hz sampling rate, single-channel (mono), 16-bit PCM WAV, with Voice Activity Detection (VAD) silence trimming and amplitude normalization.</w:t>
      </w:r>
    </w:p>
    <w:p>
      <w:pPr>
        <w:spacing w:before="160" w:after="60"/>
        <w:jc w:val="center"/>
      </w:pPr>
      <w:r>
        <w:rPr>
          <w:rFonts w:ascii="Times New Roman" w:hAnsi="Times New Roman"/>
          <w:b/>
          <w:sz w:val="18"/>
        </w:rPr>
        <w:t>TABLE I: STANDARDIZED DATASET ECOSYSTEM AND PARTITIONING SPECIFICATIONS</w:t>
      </w:r>
    </w:p>
    <w:tbl>
      <w:tblPr>
        <w:tblW w:type="auto" w:w="0"/>
        <w:jc w:val="center"/>
        <w:tblLook w:firstColumn="1" w:firstRow="1" w:lastColumn="0" w:lastRow="0" w:noHBand="0" w:noVBand="1" w:val="04A0"/>
        <w:tblBorders>
          <w:top w:val="single" w:sz="14" w:space="0" w:color="0F172A"/>
          <w:bottom w:val="single" w:sz="14" w:space="0" w:color="0F172A"/>
          <w:insideH w:val="single" w:sz="4" w:space="0" w:color="E2E8F0"/>
          <w:left w:val="none"/>
          <w:right w:val="none"/>
          <w:insideV w:val="none"/>
        </w:tblBorders>
      </w:tblPr>
      <w:tblGrid>
        <w:gridCol w:w="1560"/>
        <w:gridCol w:w="1560"/>
        <w:gridCol w:w="1560"/>
        <w:gridCol w:w="1560"/>
        <w:gridCol w:w="1560"/>
        <w:gridCol w:w="1560"/>
      </w:tblGrid>
      <w:tr>
        <w:tc>
          <w:tcPr>
            <w:tcW w:type="dxa" w:w="1560"/>
            <w:shd w:fill="F1F5F9"/>
            <w:tcMar>
              <w:top w:w="70" w:type="dxa"/>
              <w:bottom w:w="70" w:type="dxa"/>
              <w:left w:w="90" w:type="dxa"/>
              <w:right w:w="90" w:type="dxa"/>
            </w:tcMar>
          </w:tcPr>
          <w:p>
            <w:pPr>
              <w:spacing w:before="60" w:after="60"/>
            </w:pPr>
            <w:r>
              <w:rPr>
                <w:rFonts w:ascii="Times New Roman" w:hAnsi="Times New Roman"/>
                <w:b/>
                <w:sz w:val="17"/>
              </w:rPr>
              <w:t>Corpus</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Clips</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Language</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Speakers / Scope</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Split Protocol</w:t>
            </w:r>
          </w:p>
        </w:tc>
        <w:tc>
          <w:tcPr>
            <w:tcW w:type="dxa" w:w="1560"/>
            <w:shd w:fill="F1F5F9"/>
            <w:tcMar>
              <w:top w:w="70" w:type="dxa"/>
              <w:bottom w:w="70" w:type="dxa"/>
              <w:left w:w="90" w:type="dxa"/>
              <w:right w:w="90" w:type="dxa"/>
            </w:tcMar>
          </w:tcPr>
          <w:p>
            <w:pPr>
              <w:spacing w:before="60" w:after="60"/>
            </w:pPr>
            <w:r>
              <w:rPr>
                <w:rFonts w:ascii="Times New Roman" w:hAnsi="Times New Roman"/>
                <w:b/>
                <w:sz w:val="17"/>
              </w:rPr>
              <w:t>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CREMA-D</w:t>
            </w:r>
          </w:p>
        </w:tc>
        <w:tc>
          <w:tcPr>
            <w:tcW w:type="dxa" w:w="1560"/>
            <w:tcMar>
              <w:top w:w="70" w:type="dxa"/>
              <w:bottom w:w="70" w:type="dxa"/>
              <w:left w:w="90" w:type="dxa"/>
              <w:right w:w="90" w:type="dxa"/>
            </w:tcMar>
          </w:tcPr>
          <w:p>
            <w:pPr>
              <w:spacing w:before="60" w:after="60"/>
            </w:pPr>
            <w:r>
              <w:rPr>
                <w:rFonts w:ascii="Times New Roman" w:hAnsi="Times New Roman"/>
                <w:sz w:val="17"/>
              </w:rPr>
              <w:t>7,442</w:t>
            </w:r>
          </w:p>
        </w:tc>
        <w:tc>
          <w:tcPr>
            <w:tcW w:type="dxa" w:w="1560"/>
            <w:tcMar>
              <w:top w:w="70" w:type="dxa"/>
              <w:bottom w:w="70" w:type="dxa"/>
              <w:left w:w="90" w:type="dxa"/>
              <w:right w:w="90" w:type="dxa"/>
            </w:tcMar>
          </w:tcPr>
          <w:p>
            <w:pPr>
              <w:spacing w:before="60" w:after="60"/>
            </w:pPr>
            <w:r>
              <w:rPr>
                <w:rFonts w:ascii="Times New Roman" w:hAnsi="Times New Roman"/>
                <w:sz w:val="17"/>
              </w:rPr>
              <w:t>English (US)</w:t>
            </w:r>
          </w:p>
        </w:tc>
        <w:tc>
          <w:tcPr>
            <w:tcW w:type="dxa" w:w="1560"/>
            <w:tcMar>
              <w:top w:w="70" w:type="dxa"/>
              <w:bottom w:w="70" w:type="dxa"/>
              <w:left w:w="90" w:type="dxa"/>
              <w:right w:w="90" w:type="dxa"/>
            </w:tcMar>
          </w:tcPr>
          <w:p>
            <w:pPr>
              <w:spacing w:before="60" w:after="60"/>
            </w:pPr>
            <w:r>
              <w:rPr>
                <w:rFonts w:ascii="Times New Roman" w:hAnsi="Times New Roman"/>
                <w:sz w:val="17"/>
              </w:rPr>
              <w:t>91 Diverse Actors</w:t>
            </w:r>
          </w:p>
        </w:tc>
        <w:tc>
          <w:tcPr>
            <w:tcW w:type="dxa" w:w="1560"/>
            <w:tcMar>
              <w:top w:w="70" w:type="dxa"/>
              <w:bottom w:w="70" w:type="dxa"/>
              <w:left w:w="90" w:type="dxa"/>
              <w:right w:w="90" w:type="dxa"/>
            </w:tcMar>
          </w:tcPr>
          <w:p>
            <w:pPr>
              <w:spacing w:before="60" w:after="60"/>
            </w:pPr>
            <w:r>
              <w:rPr>
                <w:rFonts w:ascii="Times New Roman" w:hAnsi="Times New Roman"/>
                <w:sz w:val="17"/>
              </w:rPr>
              <w:t>Actor-Disjoint (13 Unseen)</w:t>
            </w:r>
          </w:p>
        </w:tc>
        <w:tc>
          <w:tcPr>
            <w:tcW w:type="dxa" w:w="1560"/>
            <w:tcMar>
              <w:top w:w="70" w:type="dxa"/>
              <w:bottom w:w="70" w:type="dxa"/>
              <w:left w:w="90" w:type="dxa"/>
              <w:right w:w="90" w:type="dxa"/>
            </w:tcMar>
          </w:tcPr>
          <w:p>
            <w:pPr>
              <w:spacing w:before="60" w:after="60"/>
            </w:pPr>
            <w:r>
              <w:rPr>
                <w:rFonts w:ascii="Times New Roman" w:hAnsi="Times New Roman"/>
                <w:sz w:val="17"/>
              </w:rPr>
              <w:t>6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RAVDESS</w:t>
            </w:r>
          </w:p>
        </w:tc>
        <w:tc>
          <w:tcPr>
            <w:tcW w:type="dxa" w:w="1560"/>
            <w:tcMar>
              <w:top w:w="70" w:type="dxa"/>
              <w:bottom w:w="70" w:type="dxa"/>
              <w:left w:w="90" w:type="dxa"/>
              <w:right w:w="90" w:type="dxa"/>
            </w:tcMar>
          </w:tcPr>
          <w:p>
            <w:pPr>
              <w:spacing w:before="60" w:after="60"/>
            </w:pPr>
            <w:r>
              <w:rPr>
                <w:rFonts w:ascii="Times New Roman" w:hAnsi="Times New Roman"/>
                <w:sz w:val="17"/>
              </w:rPr>
              <w:t>1,440</w:t>
            </w:r>
          </w:p>
        </w:tc>
        <w:tc>
          <w:tcPr>
            <w:tcW w:type="dxa" w:w="1560"/>
            <w:tcMar>
              <w:top w:w="70" w:type="dxa"/>
              <w:bottom w:w="70" w:type="dxa"/>
              <w:left w:w="90" w:type="dxa"/>
              <w:right w:w="90" w:type="dxa"/>
            </w:tcMar>
          </w:tcPr>
          <w:p>
            <w:pPr>
              <w:spacing w:before="60" w:after="60"/>
            </w:pPr>
            <w:r>
              <w:rPr>
                <w:rFonts w:ascii="Times New Roman" w:hAnsi="Times New Roman"/>
                <w:sz w:val="17"/>
              </w:rPr>
              <w:t>English (NA)</w:t>
            </w:r>
          </w:p>
        </w:tc>
        <w:tc>
          <w:tcPr>
            <w:tcW w:type="dxa" w:w="1560"/>
            <w:tcMar>
              <w:top w:w="70" w:type="dxa"/>
              <w:bottom w:w="70" w:type="dxa"/>
              <w:left w:w="90" w:type="dxa"/>
              <w:right w:w="90" w:type="dxa"/>
            </w:tcMar>
          </w:tcPr>
          <w:p>
            <w:pPr>
              <w:spacing w:before="60" w:after="60"/>
            </w:pPr>
            <w:r>
              <w:rPr>
                <w:rFonts w:ascii="Times New Roman" w:hAnsi="Times New Roman"/>
                <w:sz w:val="17"/>
              </w:rPr>
              <w:t>24 Professional Actors</w:t>
            </w:r>
          </w:p>
        </w:tc>
        <w:tc>
          <w:tcPr>
            <w:tcW w:type="dxa" w:w="1560"/>
            <w:tcMar>
              <w:top w:w="70" w:type="dxa"/>
              <w:bottom w:w="70" w:type="dxa"/>
              <w:left w:w="90" w:type="dxa"/>
              <w:right w:w="90" w:type="dxa"/>
            </w:tcMar>
          </w:tcPr>
          <w:p>
            <w:pPr>
              <w:spacing w:before="60" w:after="60"/>
            </w:pPr>
            <w:r>
              <w:rPr>
                <w:rFonts w:ascii="Times New Roman" w:hAnsi="Times New Roman"/>
                <w:sz w:val="17"/>
              </w:rPr>
              <w:t>Actor-Disjoint (4 Unseen)</w:t>
            </w:r>
          </w:p>
        </w:tc>
        <w:tc>
          <w:tcPr>
            <w:tcW w:type="dxa" w:w="1560"/>
            <w:tcMar>
              <w:top w:w="70" w:type="dxa"/>
              <w:bottom w:w="70" w:type="dxa"/>
              <w:left w:w="90" w:type="dxa"/>
              <w:right w:w="90" w:type="dxa"/>
            </w:tcMar>
          </w:tcPr>
          <w:p>
            <w:pPr>
              <w:spacing w:before="60" w:after="60"/>
            </w:pPr>
            <w:r>
              <w:rPr>
                <w:rFonts w:ascii="Times New Roman" w:hAnsi="Times New Roman"/>
                <w:sz w:val="17"/>
              </w:rPr>
              <w:t>8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SAVEE</w:t>
            </w:r>
          </w:p>
        </w:tc>
        <w:tc>
          <w:tcPr>
            <w:tcW w:type="dxa" w:w="1560"/>
            <w:tcMar>
              <w:top w:w="70" w:type="dxa"/>
              <w:bottom w:w="70" w:type="dxa"/>
              <w:left w:w="90" w:type="dxa"/>
              <w:right w:w="90" w:type="dxa"/>
            </w:tcMar>
          </w:tcPr>
          <w:p>
            <w:pPr>
              <w:spacing w:before="60" w:after="60"/>
            </w:pPr>
            <w:r>
              <w:rPr>
                <w:rFonts w:ascii="Times New Roman" w:hAnsi="Times New Roman"/>
                <w:sz w:val="17"/>
              </w:rPr>
              <w:t>480</w:t>
            </w:r>
          </w:p>
        </w:tc>
        <w:tc>
          <w:tcPr>
            <w:tcW w:type="dxa" w:w="1560"/>
            <w:tcMar>
              <w:top w:w="70" w:type="dxa"/>
              <w:bottom w:w="70" w:type="dxa"/>
              <w:left w:w="90" w:type="dxa"/>
              <w:right w:w="90" w:type="dxa"/>
            </w:tcMar>
          </w:tcPr>
          <w:p>
            <w:pPr>
              <w:spacing w:before="60" w:after="60"/>
            </w:pPr>
            <w:r>
              <w:rPr>
                <w:rFonts w:ascii="Times New Roman" w:hAnsi="Times New Roman"/>
                <w:sz w:val="17"/>
              </w:rPr>
              <w:t>English (UK)</w:t>
            </w:r>
          </w:p>
        </w:tc>
        <w:tc>
          <w:tcPr>
            <w:tcW w:type="dxa" w:w="1560"/>
            <w:tcMar>
              <w:top w:w="70" w:type="dxa"/>
              <w:bottom w:w="70" w:type="dxa"/>
              <w:left w:w="90" w:type="dxa"/>
              <w:right w:w="90" w:type="dxa"/>
            </w:tcMar>
          </w:tcPr>
          <w:p>
            <w:pPr>
              <w:spacing w:before="60" w:after="60"/>
            </w:pPr>
            <w:r>
              <w:rPr>
                <w:rFonts w:ascii="Times New Roman" w:hAnsi="Times New Roman"/>
                <w:sz w:val="17"/>
              </w:rPr>
              <w:t>4 British Actors</w:t>
            </w:r>
          </w:p>
        </w:tc>
        <w:tc>
          <w:tcPr>
            <w:tcW w:type="dxa" w:w="1560"/>
            <w:tcMar>
              <w:top w:w="70" w:type="dxa"/>
              <w:bottom w:w="70" w:type="dxa"/>
              <w:left w:w="90" w:type="dxa"/>
              <w:right w:w="90" w:type="dxa"/>
            </w:tcMar>
          </w:tcPr>
          <w:p>
            <w:pPr>
              <w:spacing w:before="60" w:after="60"/>
            </w:pPr>
            <w:r>
              <w:rPr>
                <w:rFonts w:ascii="Times New Roman" w:hAnsi="Times New Roman"/>
                <w:sz w:val="17"/>
              </w:rPr>
              <w:t>Actor-Disjoint (1 Unseen)</w:t>
            </w:r>
          </w:p>
        </w:tc>
        <w:tc>
          <w:tcPr>
            <w:tcW w:type="dxa" w:w="1560"/>
            <w:tcMar>
              <w:top w:w="70" w:type="dxa"/>
              <w:bottom w:w="70" w:type="dxa"/>
              <w:left w:w="90" w:type="dxa"/>
              <w:right w:w="90" w:type="dxa"/>
            </w:tcMar>
          </w:tcPr>
          <w:p>
            <w:pPr>
              <w:spacing w:before="60" w:after="60"/>
            </w:pPr>
            <w:r>
              <w:rPr>
                <w:rFonts w:ascii="Times New Roman" w:hAnsi="Times New Roman"/>
                <w:sz w:val="17"/>
              </w:rPr>
              <w:t>7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TESS</w:t>
            </w:r>
          </w:p>
        </w:tc>
        <w:tc>
          <w:tcPr>
            <w:tcW w:type="dxa" w:w="1560"/>
            <w:tcMar>
              <w:top w:w="70" w:type="dxa"/>
              <w:bottom w:w="70" w:type="dxa"/>
              <w:left w:w="90" w:type="dxa"/>
              <w:right w:w="90" w:type="dxa"/>
            </w:tcMar>
          </w:tcPr>
          <w:p>
            <w:pPr>
              <w:spacing w:before="60" w:after="60"/>
            </w:pPr>
            <w:r>
              <w:rPr>
                <w:rFonts w:ascii="Times New Roman" w:hAnsi="Times New Roman"/>
                <w:sz w:val="17"/>
              </w:rPr>
              <w:t>2,800</w:t>
            </w:r>
          </w:p>
        </w:tc>
        <w:tc>
          <w:tcPr>
            <w:tcW w:type="dxa" w:w="1560"/>
            <w:tcMar>
              <w:top w:w="70" w:type="dxa"/>
              <w:bottom w:w="70" w:type="dxa"/>
              <w:left w:w="90" w:type="dxa"/>
              <w:right w:w="90" w:type="dxa"/>
            </w:tcMar>
          </w:tcPr>
          <w:p>
            <w:pPr>
              <w:spacing w:before="60" w:after="60"/>
            </w:pPr>
            <w:r>
              <w:rPr>
                <w:rFonts w:ascii="Times New Roman" w:hAnsi="Times New Roman"/>
                <w:sz w:val="17"/>
              </w:rPr>
              <w:t>English (CA)</w:t>
            </w:r>
          </w:p>
        </w:tc>
        <w:tc>
          <w:tcPr>
            <w:tcW w:type="dxa" w:w="1560"/>
            <w:tcMar>
              <w:top w:w="70" w:type="dxa"/>
              <w:bottom w:w="70" w:type="dxa"/>
              <w:left w:w="90" w:type="dxa"/>
              <w:right w:w="90" w:type="dxa"/>
            </w:tcMar>
          </w:tcPr>
          <w:p>
            <w:pPr>
              <w:spacing w:before="60" w:after="60"/>
            </w:pPr>
            <w:r>
              <w:rPr>
                <w:rFonts w:ascii="Times New Roman" w:hAnsi="Times New Roman"/>
                <w:sz w:val="17"/>
              </w:rPr>
              <w:t>2 Actresses, 200 Words</w:t>
            </w:r>
          </w:p>
        </w:tc>
        <w:tc>
          <w:tcPr>
            <w:tcW w:type="dxa" w:w="1560"/>
            <w:tcMar>
              <w:top w:w="70" w:type="dxa"/>
              <w:bottom w:w="70" w:type="dxa"/>
              <w:left w:w="90" w:type="dxa"/>
              <w:right w:w="90" w:type="dxa"/>
            </w:tcMar>
          </w:tcPr>
          <w:p>
            <w:pPr>
              <w:spacing w:before="60" w:after="60"/>
            </w:pPr>
            <w:r>
              <w:rPr>
                <w:rFonts w:ascii="Times New Roman" w:hAnsi="Times New Roman"/>
                <w:sz w:val="17"/>
              </w:rPr>
              <w:t>Prompt-Disjoint (30 Words)</w:t>
            </w:r>
          </w:p>
        </w:tc>
        <w:tc>
          <w:tcPr>
            <w:tcW w:type="dxa" w:w="1560"/>
            <w:tcMar>
              <w:top w:w="70" w:type="dxa"/>
              <w:bottom w:w="70" w:type="dxa"/>
              <w:left w:w="90" w:type="dxa"/>
              <w:right w:w="90" w:type="dxa"/>
            </w:tcMar>
          </w:tcPr>
          <w:p>
            <w:pPr>
              <w:spacing w:before="60" w:after="60"/>
            </w:pPr>
            <w:r>
              <w:rPr>
                <w:rFonts w:ascii="Times New Roman" w:hAnsi="Times New Roman"/>
                <w:sz w:val="17"/>
              </w:rPr>
              <w:t>7 Classes</w:t>
            </w:r>
          </w:p>
        </w:tc>
      </w:tr>
      <w:tr>
        <w:tc>
          <w:tcPr>
            <w:tcW w:type="dxa" w:w="1560"/>
            <w:tcMar>
              <w:top w:w="70" w:type="dxa"/>
              <w:bottom w:w="70" w:type="dxa"/>
              <w:left w:w="90" w:type="dxa"/>
              <w:right w:w="90" w:type="dxa"/>
            </w:tcMar>
          </w:tcPr>
          <w:p>
            <w:pPr>
              <w:spacing w:before="60" w:after="60"/>
            </w:pPr>
            <w:r>
              <w:rPr>
                <w:rFonts w:ascii="Times New Roman" w:hAnsi="Times New Roman"/>
                <w:sz w:val="17"/>
              </w:rPr>
              <w:t>Hindi SER</w:t>
            </w:r>
          </w:p>
        </w:tc>
        <w:tc>
          <w:tcPr>
            <w:tcW w:type="dxa" w:w="1560"/>
            <w:tcMar>
              <w:top w:w="70" w:type="dxa"/>
              <w:bottom w:w="70" w:type="dxa"/>
              <w:left w:w="90" w:type="dxa"/>
              <w:right w:w="90" w:type="dxa"/>
            </w:tcMar>
          </w:tcPr>
          <w:p>
            <w:pPr>
              <w:spacing w:before="60" w:after="60"/>
            </w:pPr>
            <w:r>
              <w:rPr>
                <w:rFonts w:ascii="Times New Roman" w:hAnsi="Times New Roman"/>
                <w:sz w:val="17"/>
              </w:rPr>
              <w:t>862</w:t>
            </w:r>
          </w:p>
        </w:tc>
        <w:tc>
          <w:tcPr>
            <w:tcW w:type="dxa" w:w="1560"/>
            <w:tcMar>
              <w:top w:w="70" w:type="dxa"/>
              <w:bottom w:w="70" w:type="dxa"/>
              <w:left w:w="90" w:type="dxa"/>
              <w:right w:w="90" w:type="dxa"/>
            </w:tcMar>
          </w:tcPr>
          <w:p>
            <w:pPr>
              <w:spacing w:before="60" w:after="60"/>
            </w:pPr>
            <w:r>
              <w:rPr>
                <w:rFonts w:ascii="Times New Roman" w:hAnsi="Times New Roman"/>
                <w:sz w:val="17"/>
              </w:rPr>
              <w:t>Hindi (Indic)</w:t>
            </w:r>
          </w:p>
        </w:tc>
        <w:tc>
          <w:tcPr>
            <w:tcW w:type="dxa" w:w="1560"/>
            <w:tcMar>
              <w:top w:w="70" w:type="dxa"/>
              <w:bottom w:w="70" w:type="dxa"/>
              <w:left w:w="90" w:type="dxa"/>
              <w:right w:w="90" w:type="dxa"/>
            </w:tcMar>
          </w:tcPr>
          <w:p>
            <w:pPr>
              <w:spacing w:before="60" w:after="60"/>
            </w:pPr>
            <w:r>
              <w:rPr>
                <w:rFonts w:ascii="Times New Roman" w:hAnsi="Times New Roman"/>
                <w:sz w:val="17"/>
              </w:rPr>
              <w:t>25 Native Speakers</w:t>
            </w:r>
          </w:p>
        </w:tc>
        <w:tc>
          <w:tcPr>
            <w:tcW w:type="dxa" w:w="1560"/>
            <w:tcMar>
              <w:top w:w="70" w:type="dxa"/>
              <w:bottom w:w="70" w:type="dxa"/>
              <w:left w:w="90" w:type="dxa"/>
              <w:right w:w="90" w:type="dxa"/>
            </w:tcMar>
          </w:tcPr>
          <w:p>
            <w:pPr>
              <w:spacing w:before="60" w:after="60"/>
            </w:pPr>
            <w:r>
              <w:rPr>
                <w:rFonts w:ascii="Times New Roman" w:hAnsi="Times New Roman"/>
                <w:sz w:val="17"/>
              </w:rPr>
              <w:t>Disjoint Split</w:t>
            </w:r>
          </w:p>
        </w:tc>
        <w:tc>
          <w:tcPr>
            <w:tcW w:type="dxa" w:w="1560"/>
            <w:tcMar>
              <w:top w:w="70" w:type="dxa"/>
              <w:bottom w:w="70" w:type="dxa"/>
              <w:left w:w="90" w:type="dxa"/>
              <w:right w:w="90" w:type="dxa"/>
            </w:tcMar>
          </w:tcPr>
          <w:p>
            <w:pPr>
              <w:spacing w:before="60" w:after="60"/>
            </w:pPr>
            <w:r>
              <w:rPr>
                <w:rFonts w:ascii="Times New Roman" w:hAnsi="Times New Roman"/>
                <w:sz w:val="17"/>
              </w:rPr>
              <w:t>5 Classes</w:t>
            </w:r>
          </w:p>
        </w:tc>
      </w:tr>
      <w:tr>
        <w:tc>
          <w:tcPr>
            <w:tcW w:type="dxa" w:w="1560"/>
            <w:tcMar>
              <w:top w:w="70" w:type="dxa"/>
              <w:bottom w:w="70" w:type="dxa"/>
              <w:left w:w="90" w:type="dxa"/>
              <w:right w:w="90" w:type="dxa"/>
            </w:tcMar>
          </w:tcPr>
          <w:p>
            <w:pPr>
              <w:spacing w:before="60" w:after="60"/>
            </w:pPr>
            <w:r>
              <w:rPr>
                <w:rFonts w:ascii="Times New Roman" w:hAnsi="Times New Roman"/>
                <w:b/>
                <w:sz w:val="17"/>
              </w:rPr>
              <w:t>TOTAL</w:t>
            </w:r>
          </w:p>
        </w:tc>
        <w:tc>
          <w:tcPr>
            <w:tcW w:type="dxa" w:w="1560"/>
            <w:tcMar>
              <w:top w:w="70" w:type="dxa"/>
              <w:bottom w:w="70" w:type="dxa"/>
              <w:left w:w="90" w:type="dxa"/>
              <w:right w:w="90" w:type="dxa"/>
            </w:tcMar>
          </w:tcPr>
          <w:p>
            <w:pPr>
              <w:spacing w:before="60" w:after="60"/>
            </w:pPr>
            <w:r>
              <w:rPr>
                <w:rFonts w:ascii="Times New Roman" w:hAnsi="Times New Roman"/>
                <w:b/>
                <w:sz w:val="17"/>
              </w:rPr>
              <w:t>12,180</w:t>
            </w:r>
          </w:p>
        </w:tc>
        <w:tc>
          <w:tcPr>
            <w:tcW w:type="dxa" w:w="1560"/>
            <w:tcMar>
              <w:top w:w="70" w:type="dxa"/>
              <w:bottom w:w="70" w:type="dxa"/>
              <w:left w:w="90" w:type="dxa"/>
              <w:right w:w="90" w:type="dxa"/>
            </w:tcMar>
          </w:tcPr>
          <w:p>
            <w:pPr>
              <w:spacing w:before="60" w:after="60"/>
            </w:pPr>
            <w:r>
              <w:rPr>
                <w:rFonts w:ascii="Times New Roman" w:hAnsi="Times New Roman"/>
                <w:b/>
                <w:sz w:val="17"/>
              </w:rPr>
              <w:t>Multilingual</w:t>
            </w:r>
          </w:p>
        </w:tc>
        <w:tc>
          <w:tcPr>
            <w:tcW w:type="dxa" w:w="1560"/>
            <w:tcMar>
              <w:top w:w="70" w:type="dxa"/>
              <w:bottom w:w="70" w:type="dxa"/>
              <w:left w:w="90" w:type="dxa"/>
              <w:right w:w="90" w:type="dxa"/>
            </w:tcMar>
          </w:tcPr>
          <w:p>
            <w:pPr>
              <w:spacing w:before="60" w:after="60"/>
            </w:pPr>
            <w:r>
              <w:rPr>
                <w:rFonts w:ascii="Times New Roman" w:hAnsi="Times New Roman"/>
                <w:b/>
                <w:sz w:val="17"/>
              </w:rPr>
              <w:t>121+ Total Speakers</w:t>
            </w:r>
          </w:p>
        </w:tc>
        <w:tc>
          <w:tcPr>
            <w:tcW w:type="dxa" w:w="1560"/>
            <w:tcMar>
              <w:top w:w="70" w:type="dxa"/>
              <w:bottom w:w="70" w:type="dxa"/>
              <w:left w:w="90" w:type="dxa"/>
              <w:right w:w="90" w:type="dxa"/>
            </w:tcMar>
          </w:tcPr>
          <w:p>
            <w:pPr>
              <w:spacing w:before="60" w:after="60"/>
            </w:pPr>
            <w:r>
              <w:rPr>
                <w:rFonts w:ascii="Times New Roman" w:hAnsi="Times New Roman"/>
                <w:b/>
                <w:sz w:val="17"/>
              </w:rPr>
              <w:t>Strict Zero Leakage</w:t>
            </w:r>
          </w:p>
        </w:tc>
        <w:tc>
          <w:tcPr>
            <w:tcW w:type="dxa" w:w="1560"/>
            <w:tcMar>
              <w:top w:w="70" w:type="dxa"/>
              <w:bottom w:w="70" w:type="dxa"/>
              <w:left w:w="90" w:type="dxa"/>
              <w:right w:w="90" w:type="dxa"/>
            </w:tcMar>
          </w:tcPr>
          <w:p>
            <w:pPr>
              <w:spacing w:before="60" w:after="60"/>
            </w:pPr>
            <w:r>
              <w:rPr>
                <w:rFonts w:ascii="Times New Roman" w:hAnsi="Times New Roman"/>
                <w:b/>
                <w:sz w:val="17"/>
              </w:rPr>
              <w:t>Canonical Maps</w:t>
            </w:r>
          </w:p>
        </w:tc>
      </w:tr>
    </w:tbl>
    <w:p>
      <w:pPr>
        <w:spacing w:after="160"/>
      </w:pPr>
    </w:p>
    <w:p>
      <w:pPr>
        <w:keepNext/>
        <w:spacing w:before="320" w:after="120"/>
      </w:pPr>
      <w:r>
        <w:rPr>
          <w:rFonts w:ascii="Times New Roman" w:hAnsi="Times New Roman"/>
          <w:b/>
          <w:color w:val="0F172A"/>
          <w:sz w:val="23"/>
        </w:rPr>
        <w:t>4. METHODOLOGY &amp; MODEL ARCHITECTURE</w:t>
      </w:r>
    </w:p>
    <w:p>
      <w:pPr>
        <w:spacing w:line="293" w:lineRule="auto" w:after="80"/>
        <w:ind w:firstLine="288"/>
        <w:jc w:val="both"/>
      </w:pPr>
      <w:r>
        <w:rPr>
          <w:rFonts w:ascii="Times New Roman" w:hAnsi="Times New Roman"/>
          <w:sz w:val="20"/>
        </w:rPr>
        <w:t>The system architecture features a dual-branch processing pipeline: (1) a neural acoustic classifier branch processing audio through self-supervised transformer backbones with learnable weighted layer pooling or CNN-BiLSTM networks, and (2) an Audio Behaviour Analysis Engine extracting continuous prosodic and temporal dynamics.</w:t>
      </w:r>
    </w:p>
    <w:p>
      <w:pPr>
        <w:spacing w:before="200" w:after="80"/>
        <w:jc w:val="center"/>
      </w:pPr>
      <w:r>
        <w:drawing>
          <wp:inline xmlns:a="http://schemas.openxmlformats.org/drawingml/2006/main" xmlns:pic="http://schemas.openxmlformats.org/drawingml/2006/picture">
            <wp:extent cx="5669280" cy="259988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669280" cy="2599883"/>
                    </a:xfrm>
                    <a:prstGeom prst="rect"/>
                  </pic:spPr>
                </pic:pic>
              </a:graphicData>
            </a:graphic>
          </wp:inline>
        </w:drawing>
      </w:r>
    </w:p>
    <w:p>
      <w:pPr>
        <w:spacing w:after="240"/>
        <w:ind w:left="576" w:right="576"/>
        <w:jc w:val="center"/>
      </w:pPr>
      <w:r>
        <w:rPr>
          <w:rFonts w:ascii="Times New Roman" w:hAnsi="Times New Roman"/>
          <w:i/>
          <w:color w:val="334155"/>
          <w:sz w:val="18"/>
        </w:rPr>
        <w:t>Figure 1: End-to-End System Architecture with Dual-Branch Behavioural Prosody and Neural Classification Pipeline.</w:t>
      </w:r>
    </w:p>
    <w:p>
      <w:pPr>
        <w:keepNext/>
        <w:spacing w:before="200" w:after="80"/>
      </w:pPr>
      <w:r>
        <w:rPr>
          <w:rFonts w:ascii="Times New Roman" w:hAnsi="Times New Roman"/>
          <w:b/>
          <w:color w:val="1E293B"/>
          <w:sz w:val="21"/>
        </w:rPr>
        <w:t>4.1 Learnable Weighted Layer Pooling</w:t>
      </w:r>
    </w:p>
    <w:p>
      <w:pPr>
        <w:spacing w:line="293" w:lineRule="auto" w:after="80"/>
        <w:ind w:firstLine="288"/>
        <w:jc w:val="both"/>
      </w:pPr>
      <w:r>
        <w:rPr>
          <w:rFonts w:ascii="Times New Roman" w:hAnsi="Times New Roman"/>
          <w:sz w:val="20"/>
        </w:rPr>
        <w:t>Rather than using mean pooling over time and layers or relying exclusively on the final transformer output, we implement Learnable Weighted Layer Pooling across all L = 12 transformer hidden representations h_t^(l) in R^D:</w:t>
      </w:r>
    </w:p>
    <w:tbl>
      <w:tblPr>
        <w:tblW w:type="auto" w:w="0"/>
        <w:jc w:val="center"/>
        <w:tblLayout w:type="fixed"/>
        <w:tblLook w:firstColumn="1" w:firstRow="1" w:lastColumn="0" w:lastRow="0" w:noHBand="0" w:noVBand="1" w:val="04A0"/>
      </w:tblPr>
      <w:tblGrid>
        <w:gridCol w:w="8352"/>
        <w:gridCol w:w="1008"/>
      </w:tblGrid>
      <w:tr>
        <w:tc>
          <w:tcPr>
            <w:tcW w:type="dxa" w:w="4680"/>
          </w:tcPr>
          <w:p>
            <w:pPr>
              <w:spacing w:before="60" w:after="60"/>
              <w:jc w:val="center"/>
            </w:pPr>
            <w:r>
              <w:rPr>
                <w:rFonts w:ascii="Cambria Math" w:hAnsi="Cambria Math"/>
                <w:i/>
                <w:color w:val="0F172A"/>
                <w:sz w:val="21"/>
              </w:rPr>
              <w:t>e_t = sum_{l=1}^{L} alpha_l * h_t^(l),   where   alpha_l = exp(w_l) / sum_{j=1}^{L} exp(w_j)</w:t>
            </w:r>
          </w:p>
        </w:tc>
        <w:tc>
          <w:tcPr>
            <w:tcW w:type="dxa" w:w="4680"/>
          </w:tcPr>
          <w:p>
            <w:pPr>
              <w:spacing w:before="60" w:after="60"/>
              <w:jc w:val="right"/>
            </w:pPr>
            <w:r>
              <w:rPr>
                <w:rFonts w:ascii="Times New Roman" w:hAnsi="Times New Roman"/>
                <w:color w:val="475569"/>
                <w:sz w:val="20"/>
              </w:rPr>
              <w:t>(1)</w:t>
            </w:r>
          </w:p>
        </w:tc>
      </w:tr>
    </w:tbl>
    <w:p>
      <w:pPr>
        <w:spacing w:after="60"/>
      </w:pPr>
    </w:p>
    <w:p>
      <w:pPr>
        <w:spacing w:line="293" w:lineRule="auto" w:after="80"/>
        <w:ind w:firstLine="288"/>
        <w:jc w:val="both"/>
      </w:pPr>
      <w:r>
        <w:rPr>
          <w:rFonts w:ascii="Times New Roman" w:hAnsi="Times New Roman"/>
          <w:sz w:val="20"/>
        </w:rPr>
        <w:t>Here, w in R^L is a learnable parameter vector initialized uniformly (w_l = 0), and alpha in R^L represents the normalized softmax layer weighting. After computing the layer-weighted sequence e_t, temporal statistics (mean and standard deviation) are concatenated:</w:t>
      </w:r>
    </w:p>
    <w:tbl>
      <w:tblPr>
        <w:tblW w:type="auto" w:w="0"/>
        <w:jc w:val="center"/>
        <w:tblLayout w:type="fixed"/>
        <w:tblLook w:firstColumn="1" w:firstRow="1" w:lastColumn="0" w:lastRow="0" w:noHBand="0" w:noVBand="1" w:val="04A0"/>
      </w:tblPr>
      <w:tblGrid>
        <w:gridCol w:w="8352"/>
        <w:gridCol w:w="1008"/>
      </w:tblGrid>
      <w:tr>
        <w:tc>
          <w:tcPr>
            <w:tcW w:type="dxa" w:w="4680"/>
          </w:tcPr>
          <w:p>
            <w:pPr>
              <w:spacing w:before="60" w:after="60"/>
              <w:jc w:val="center"/>
            </w:pPr>
            <w:r>
              <w:rPr>
                <w:rFonts w:ascii="Cambria Math" w:hAnsi="Cambria Math"/>
                <w:i/>
                <w:color w:val="0F172A"/>
                <w:sz w:val="21"/>
              </w:rPr>
              <w:t>r = [ (1/T) sum_{t=1}^T e_t   ||   sqrt( (1/T) sum_{t=1}^T (e_t - mean(e))^2 ) ] in R^{2D}</w:t>
            </w:r>
          </w:p>
        </w:tc>
        <w:tc>
          <w:tcPr>
            <w:tcW w:type="dxa" w:w="4680"/>
          </w:tcPr>
          <w:p>
            <w:pPr>
              <w:spacing w:before="60" w:after="60"/>
              <w:jc w:val="right"/>
            </w:pPr>
            <w:r>
              <w:rPr>
                <w:rFonts w:ascii="Times New Roman" w:hAnsi="Times New Roman"/>
                <w:color w:val="475569"/>
                <w:sz w:val="20"/>
              </w:rPr>
              <w:t>(2)</w:t>
            </w:r>
          </w:p>
        </w:tc>
      </w:tr>
    </w:tbl>
    <w:p>
      <w:pPr>
        <w:spacing w:after="60"/>
      </w:pPr>
    </w:p>
    <w:p>
      <w:pPr>
        <w:spacing w:line="293" w:lineRule="auto" w:after="80"/>
        <w:ind w:firstLine="288"/>
        <w:jc w:val="both"/>
      </w:pPr>
      <w:r>
        <w:rPr>
          <w:rFonts w:ascii="Times New Roman" w:hAnsi="Times New Roman"/>
          <w:sz w:val="20"/>
        </w:rPr>
        <w:t>This pooled representation is projected through a linear classification probe:</w:t>
      </w:r>
    </w:p>
    <w:tbl>
      <w:tblPr>
        <w:tblW w:type="auto" w:w="0"/>
        <w:jc w:val="center"/>
        <w:tblLayout w:type="fixed"/>
        <w:tblLook w:firstColumn="1" w:firstRow="1" w:lastColumn="0" w:lastRow="0" w:noHBand="0" w:noVBand="1" w:val="04A0"/>
      </w:tblPr>
      <w:tblGrid>
        <w:gridCol w:w="8352"/>
        <w:gridCol w:w="1008"/>
      </w:tblGrid>
      <w:tr>
        <w:tc>
          <w:tcPr>
            <w:tcW w:type="dxa" w:w="4680"/>
          </w:tcPr>
          <w:p>
            <w:pPr>
              <w:spacing w:before="60" w:after="60"/>
              <w:jc w:val="center"/>
            </w:pPr>
            <w:r>
              <w:rPr>
                <w:rFonts w:ascii="Cambria Math" w:hAnsi="Cambria Math"/>
                <w:i/>
                <w:color w:val="0F172A"/>
                <w:sz w:val="21"/>
              </w:rPr>
              <w:t>y_hat = Softmax(W_c * r + b_c)</w:t>
            </w:r>
          </w:p>
        </w:tc>
        <w:tc>
          <w:tcPr>
            <w:tcW w:type="dxa" w:w="4680"/>
          </w:tcPr>
          <w:p>
            <w:pPr>
              <w:spacing w:before="60" w:after="60"/>
              <w:jc w:val="right"/>
            </w:pPr>
            <w:r>
              <w:rPr>
                <w:rFonts w:ascii="Times New Roman" w:hAnsi="Times New Roman"/>
                <w:color w:val="475569"/>
                <w:sz w:val="20"/>
              </w:rPr>
              <w:t>(3)</w:t>
            </w:r>
          </w:p>
        </w:tc>
      </w:tr>
    </w:tbl>
    <w:p>
      <w:pPr>
        <w:spacing w:after="60"/>
      </w:pPr>
    </w:p>
    <w:p>
      <w:pPr>
        <w:keepNext/>
        <w:spacing w:before="200" w:after="80"/>
      </w:pPr>
      <w:r>
        <w:rPr>
          <w:rFonts w:ascii="Times New Roman" w:hAnsi="Times New Roman"/>
          <w:b/>
          <w:color w:val="1E293B"/>
          <w:sz w:val="21"/>
        </w:rPr>
        <w:t>4.2 Audio Behaviour Engine Telemetry</w:t>
      </w:r>
    </w:p>
    <w:p>
      <w:pPr>
        <w:spacing w:line="293" w:lineRule="auto" w:after="80"/>
        <w:ind w:firstLine="288"/>
        <w:jc w:val="both"/>
      </w:pPr>
      <w:r>
        <w:rPr>
          <w:rFonts w:ascii="Times New Roman" w:hAnsi="Times New Roman"/>
          <w:sz w:val="20"/>
        </w:rPr>
        <w:t>The Behaviour Engine calculates four primary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p>
      <w:pPr>
        <w:keepNext/>
        <w:spacing w:before="320" w:after="120"/>
      </w:pPr>
      <w:r>
        <w:rPr>
          <w:rFonts w:ascii="Times New Roman" w:hAnsi="Times New Roman"/>
          <w:b/>
          <w:color w:val="0F172A"/>
          <w:sz w:val="23"/>
        </w:rPr>
        <w:t>5. EXPERIMENTAL SETUP &amp; TRAINING PROTOCOLS</w:t>
      </w:r>
    </w:p>
    <w:p>
      <w:pPr>
        <w:spacing w:line="293" w:lineRule="auto" w:after="80"/>
        <w:ind w:firstLine="288"/>
        <w:jc w:val="both"/>
      </w:pPr>
      <w:r>
        <w:rPr>
          <w:rFonts w:ascii="Times New Roman" w:hAnsi="Times New Roman"/>
          <w:sz w:val="20"/>
        </w:rPr>
        <w:t>Models were trained using the AdamW optimizer with Cosine Annealing learning rate schedules. Transformer backbones utilized a base learning rate of 1e-5 (frozen feature extractor) and head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Pr>
      <w:tblGrid>
        <w:gridCol w:w="8352"/>
        <w:gridCol w:w="1008"/>
      </w:tblGrid>
      <w:tr>
        <w:tc>
          <w:tcPr>
            <w:tcW w:type="dxa" w:w="4680"/>
          </w:tcPr>
          <w:p>
            <w:pPr>
              <w:spacing w:before="60" w:after="60"/>
              <w:jc w:val="center"/>
            </w:pPr>
            <w:r>
              <w:rPr>
                <w:rFonts w:ascii="Cambria Math" w:hAnsi="Cambria Math"/>
                <w:i/>
                <w:color w:val="0F172A"/>
                <w:sz w:val="21"/>
              </w:rPr>
              <w:t>L_{CE} = - sum_{k=1}^K w_k * y_k * log(y_hat_k),   w_k = N_{total} / (K * N_k)</w:t>
            </w:r>
          </w:p>
        </w:tc>
        <w:tc>
          <w:tcPr>
            <w:tcW w:type="dxa" w:w="4680"/>
          </w:tcPr>
          <w:p>
            <w:pPr>
              <w:spacing w:before="60" w:after="60"/>
              <w:jc w:val="right"/>
            </w:pPr>
            <w:r>
              <w:rPr>
                <w:rFonts w:ascii="Times New Roman" w:hAnsi="Times New Roman"/>
                <w:color w:val="475569"/>
                <w:sz w:val="20"/>
              </w:rPr>
              <w:t>(4)</w:t>
            </w:r>
          </w:p>
        </w:tc>
      </w:tr>
    </w:tbl>
    <w:p>
      <w:pPr>
        <w:spacing w:after="60"/>
      </w:pPr>
    </w:p>
    <w:p>
      <w:pPr>
        <w:spacing w:line="293" w:lineRule="auto" w:after="80"/>
        <w:ind w:firstLine="288"/>
        <w:jc w:val="both"/>
      </w:pPr>
      <w:r>
        <w:rPr>
          <w:rFonts w:ascii="Times New Roman" w:hAnsi="Times New Roman"/>
          <w:sz w:val="20"/>
        </w:rPr>
        <w:t>Models were evaluated using Overall Accuracy, Macro-Averaged F1-score, and Unweighted Average Recall (UAR) [13]:</w:t>
      </w:r>
    </w:p>
    <w:tbl>
      <w:tblPr>
        <w:tblW w:type="auto" w:w="0"/>
        <w:jc w:val="center"/>
        <w:tblLayout w:type="fixed"/>
        <w:tblLook w:firstColumn="1" w:firstRow="1" w:lastColumn="0" w:lastRow="0" w:noHBand="0" w:noVBand="1" w:val="04A0"/>
      </w:tblPr>
      <w:tblGrid>
        <w:gridCol w:w="8352"/>
        <w:gridCol w:w="1008"/>
      </w:tblGrid>
      <w:tr>
        <w:tc>
          <w:tcPr>
            <w:tcW w:type="dxa" w:w="4680"/>
          </w:tcPr>
          <w:p>
            <w:pPr>
              <w:spacing w:before="60" w:after="60"/>
              <w:jc w:val="center"/>
            </w:pPr>
            <w:r>
              <w:rPr>
                <w:rFonts w:ascii="Cambria Math" w:hAnsi="Cambria Math"/>
                <w:i/>
                <w:color w:val="0F172A"/>
                <w:sz w:val="21"/>
              </w:rPr>
              <w:t>UAR = (1/K) sum_{k=1}^K ( TP_k / (TP_k + FN_k) )</w:t>
            </w:r>
          </w:p>
        </w:tc>
        <w:tc>
          <w:tcPr>
            <w:tcW w:type="dxa" w:w="4680"/>
          </w:tcPr>
          <w:p>
            <w:pPr>
              <w:spacing w:before="60" w:after="60"/>
              <w:jc w:val="right"/>
            </w:pPr>
            <w:r>
              <w:rPr>
                <w:rFonts w:ascii="Times New Roman" w:hAnsi="Times New Roman"/>
                <w:color w:val="475569"/>
                <w:sz w:val="20"/>
              </w:rPr>
              <w:t>(5)</w:t>
            </w:r>
          </w:p>
        </w:tc>
      </w:tr>
    </w:tbl>
    <w:p>
      <w:pPr>
        <w:spacing w:after="60"/>
      </w:pPr>
    </w:p>
    <w:p>
      <w:pPr>
        <w:keepNext/>
        <w:spacing w:before="320" w:after="120"/>
      </w:pPr>
      <w:r>
        <w:rPr>
          <w:rFonts w:ascii="Times New Roman" w:hAnsi="Times New Roman"/>
          <w:b/>
          <w:color w:val="0F172A"/>
          <w:sz w:val="23"/>
        </w:rPr>
        <w:t>6. MULTI-MODEL BENCHMARK RESULTS &amp; COMPARATIVE ANALYSIS</w:t>
      </w:r>
    </w:p>
    <w:p>
      <w:pPr>
        <w:keepNext/>
        <w:spacing w:before="200" w:after="80"/>
      </w:pPr>
      <w:r>
        <w:rPr>
          <w:rFonts w:ascii="Times New Roman" w:hAnsi="Times New Roman"/>
          <w:b/>
          <w:color w:val="1E293B"/>
          <w:sz w:val="21"/>
        </w:rPr>
        <w:t>6.1 Multi-Corpus Universal Foundation Model</w:t>
      </w:r>
    </w:p>
    <w:p>
      <w:pPr>
        <w:spacing w:line="293" w:lineRule="auto" w:after="80"/>
        <w:ind w:firstLine="288"/>
        <w:jc w:val="both"/>
      </w:pPr>
      <w:r>
        <w:rPr>
          <w:rFonts w:ascii="Times New Roman" w:hAnsi="Times New Roman"/>
          <w:sz w:val="20"/>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w:t>
      </w:r>
    </w:p>
    <w:p>
      <w:pPr>
        <w:spacing w:before="160" w:after="60"/>
        <w:jc w:val="center"/>
      </w:pPr>
      <w:r>
        <w:rPr>
          <w:rFonts w:ascii="Times New Roman" w:hAnsi="Times New Roman"/>
          <w:b/>
          <w:sz w:val="18"/>
        </w:rPr>
        <w:t>TABLE II: UNIVERSAL MULTI-CORPUS TEST LEADERBOARD (1,701 UNSEEN CLIPS)</w:t>
      </w:r>
    </w:p>
    <w:tbl>
      <w:tblPr>
        <w:tblW w:type="auto" w:w="0"/>
        <w:jc w:val="center"/>
        <w:tblLook w:firstColumn="1" w:firstRow="1" w:lastColumn="0" w:lastRow="0" w:noHBand="0" w:noVBand="1" w:val="04A0"/>
        <w:tblBorders>
          <w:top w:val="single" w:sz="14" w:space="0" w:color="0F172A"/>
          <w:bottom w:val="single" w:sz="14" w:space="0" w:color="0F172A"/>
          <w:insideH w:val="single" w:sz="4" w:space="0" w:color="E2E8F0"/>
          <w:left w:val="none"/>
          <w:right w:val="none"/>
          <w:insideV w:val="none"/>
        </w:tblBorders>
      </w:tblPr>
      <w:tblGrid>
        <w:gridCol w:w="1872"/>
        <w:gridCol w:w="1872"/>
        <w:gridCol w:w="1872"/>
        <w:gridCol w:w="1872"/>
        <w:gridCol w:w="1872"/>
      </w:tblGrid>
      <w:tr>
        <w:tc>
          <w:tcPr>
            <w:tcW w:type="dxa" w:w="1872"/>
            <w:shd w:fill="F1F5F9"/>
            <w:tcMar>
              <w:top w:w="70" w:type="dxa"/>
              <w:bottom w:w="70" w:type="dxa"/>
              <w:left w:w="90" w:type="dxa"/>
              <w:right w:w="90" w:type="dxa"/>
            </w:tcMar>
          </w:tcPr>
          <w:p>
            <w:pPr>
              <w:spacing w:before="60" w:after="60"/>
            </w:pPr>
            <w:r>
              <w:rPr>
                <w:rFonts w:ascii="Times New Roman" w:hAnsi="Times New Roman"/>
                <w:b/>
                <w:sz w:val="17"/>
              </w:rPr>
              <w:t>Model Architecture</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Test Accuracy</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Macro-F1</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Test UAR</w:t>
            </w:r>
          </w:p>
        </w:tc>
        <w:tc>
          <w:tcPr>
            <w:tcW w:type="dxa" w:w="1872"/>
            <w:shd w:fill="F1F5F9"/>
            <w:tcMar>
              <w:top w:w="70" w:type="dxa"/>
              <w:bottom w:w="70" w:type="dxa"/>
              <w:left w:w="90" w:type="dxa"/>
              <w:right w:w="90" w:type="dxa"/>
            </w:tcMar>
          </w:tcPr>
          <w:p>
            <w:pPr>
              <w:spacing w:before="60" w:after="60"/>
            </w:pPr>
            <w:r>
              <w:rPr>
                <w:rFonts w:ascii="Times New Roman" w:hAnsi="Times New Roman"/>
                <w:b/>
                <w:sz w:val="17"/>
              </w:rPr>
              <w:t>Chance Level</w:t>
            </w:r>
          </w:p>
        </w:tc>
      </w:tr>
      <w:tr>
        <w:tc>
          <w:tcPr>
            <w:tcW w:type="dxa" w:w="1872"/>
            <w:tcMar>
              <w:top w:w="70" w:type="dxa"/>
              <w:bottom w:w="70" w:type="dxa"/>
              <w:left w:w="90" w:type="dxa"/>
              <w:right w:w="90" w:type="dxa"/>
            </w:tcMar>
          </w:tcPr>
          <w:p>
            <w:pPr>
              <w:spacing w:before="60" w:after="60"/>
            </w:pPr>
            <w:r>
              <w:rPr>
                <w:rFonts w:ascii="Times New Roman" w:hAnsi="Times New Roman"/>
                <w:b/>
                <w:sz w:val="17"/>
              </w:rPr>
              <w:t>Universal HuBERT (Frozen Transfer + Head)</w:t>
            </w:r>
          </w:p>
        </w:tc>
        <w:tc>
          <w:tcPr>
            <w:tcW w:type="dxa" w:w="1872"/>
            <w:tcMar>
              <w:top w:w="70" w:type="dxa"/>
              <w:bottom w:w="70" w:type="dxa"/>
              <w:left w:w="90" w:type="dxa"/>
              <w:right w:w="90" w:type="dxa"/>
            </w:tcMar>
          </w:tcPr>
          <w:p>
            <w:pPr>
              <w:spacing w:before="60" w:after="60"/>
            </w:pPr>
            <w:r>
              <w:rPr>
                <w:rFonts w:ascii="Times New Roman" w:hAnsi="Times New Roman"/>
                <w:b/>
                <w:sz w:val="17"/>
              </w:rPr>
              <w:t>68.31%</w:t>
            </w:r>
          </w:p>
        </w:tc>
        <w:tc>
          <w:tcPr>
            <w:tcW w:type="dxa" w:w="1872"/>
            <w:tcMar>
              <w:top w:w="70" w:type="dxa"/>
              <w:bottom w:w="70" w:type="dxa"/>
              <w:left w:w="90" w:type="dxa"/>
              <w:right w:w="90" w:type="dxa"/>
            </w:tcMar>
          </w:tcPr>
          <w:p>
            <w:pPr>
              <w:spacing w:before="60" w:after="60"/>
            </w:pPr>
            <w:r>
              <w:rPr>
                <w:rFonts w:ascii="Times New Roman" w:hAnsi="Times New Roman"/>
                <w:b/>
                <w:sz w:val="17"/>
              </w:rPr>
              <w:t>0.6779</w:t>
            </w:r>
          </w:p>
        </w:tc>
        <w:tc>
          <w:tcPr>
            <w:tcW w:type="dxa" w:w="1872"/>
            <w:tcMar>
              <w:top w:w="70" w:type="dxa"/>
              <w:bottom w:w="70" w:type="dxa"/>
              <w:left w:w="90" w:type="dxa"/>
              <w:right w:w="90" w:type="dxa"/>
            </w:tcMar>
          </w:tcPr>
          <w:p>
            <w:pPr>
              <w:spacing w:before="60" w:after="60"/>
            </w:pPr>
            <w:r>
              <w:rPr>
                <w:rFonts w:ascii="Times New Roman" w:hAnsi="Times New Roman"/>
                <w:b/>
                <w:sz w:val="17"/>
              </w:rPr>
              <w:t>68.61%</w:t>
            </w:r>
          </w:p>
        </w:tc>
        <w:tc>
          <w:tcPr>
            <w:tcW w:type="dxa" w:w="1872"/>
            <w:tcMar>
              <w:top w:w="70" w:type="dxa"/>
              <w:bottom w:w="70" w:type="dxa"/>
              <w:left w:w="90" w:type="dxa"/>
              <w:right w:w="90" w:type="dxa"/>
            </w:tcMar>
          </w:tcPr>
          <w:p>
            <w:pPr>
              <w:spacing w:before="60" w:after="60"/>
            </w:pPr>
            <w:r>
              <w:rPr>
                <w:rFonts w:ascii="Times New Roman" w:hAnsi="Times New Roman"/>
                <w:b/>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Soft-Voting Multi-Corpus Ensemble</w:t>
            </w:r>
          </w:p>
        </w:tc>
        <w:tc>
          <w:tcPr>
            <w:tcW w:type="dxa" w:w="1872"/>
            <w:tcMar>
              <w:top w:w="70" w:type="dxa"/>
              <w:bottom w:w="70" w:type="dxa"/>
              <w:left w:w="90" w:type="dxa"/>
              <w:right w:w="90" w:type="dxa"/>
            </w:tcMar>
          </w:tcPr>
          <w:p>
            <w:pPr>
              <w:spacing w:before="60" w:after="60"/>
            </w:pPr>
            <w:r>
              <w:rPr>
                <w:rFonts w:ascii="Times New Roman" w:hAnsi="Times New Roman"/>
                <w:sz w:val="17"/>
              </w:rPr>
              <w:t>67.43%</w:t>
            </w:r>
          </w:p>
        </w:tc>
        <w:tc>
          <w:tcPr>
            <w:tcW w:type="dxa" w:w="1872"/>
            <w:tcMar>
              <w:top w:w="70" w:type="dxa"/>
              <w:bottom w:w="70" w:type="dxa"/>
              <w:left w:w="90" w:type="dxa"/>
              <w:right w:w="90" w:type="dxa"/>
            </w:tcMar>
          </w:tcPr>
          <w:p>
            <w:pPr>
              <w:spacing w:before="60" w:after="60"/>
            </w:pPr>
            <w:r>
              <w:rPr>
                <w:rFonts w:ascii="Times New Roman" w:hAnsi="Times New Roman"/>
                <w:sz w:val="17"/>
              </w:rPr>
              <w:t>0.6692</w:t>
            </w:r>
          </w:p>
        </w:tc>
        <w:tc>
          <w:tcPr>
            <w:tcW w:type="dxa" w:w="1872"/>
            <w:tcMar>
              <w:top w:w="70" w:type="dxa"/>
              <w:bottom w:w="70" w:type="dxa"/>
              <w:left w:w="90" w:type="dxa"/>
              <w:right w:w="90" w:type="dxa"/>
            </w:tcMar>
          </w:tcPr>
          <w:p>
            <w:pPr>
              <w:spacing w:before="60" w:after="60"/>
            </w:pPr>
            <w:r>
              <w:rPr>
                <w:rFonts w:ascii="Times New Roman" w:hAnsi="Times New Roman"/>
                <w:sz w:val="17"/>
              </w:rPr>
              <w:t>67.80%</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Wav2Vec2 Base (Direct Combined)</w:t>
            </w:r>
          </w:p>
        </w:tc>
        <w:tc>
          <w:tcPr>
            <w:tcW w:type="dxa" w:w="1872"/>
            <w:tcMar>
              <w:top w:w="70" w:type="dxa"/>
              <w:bottom w:w="70" w:type="dxa"/>
              <w:left w:w="90" w:type="dxa"/>
              <w:right w:w="90" w:type="dxa"/>
            </w:tcMar>
          </w:tcPr>
          <w:p>
            <w:pPr>
              <w:spacing w:before="60" w:after="60"/>
            </w:pPr>
            <w:r>
              <w:rPr>
                <w:rFonts w:ascii="Times New Roman" w:hAnsi="Times New Roman"/>
                <w:sz w:val="17"/>
              </w:rPr>
              <w:t>63.26%</w:t>
            </w:r>
          </w:p>
        </w:tc>
        <w:tc>
          <w:tcPr>
            <w:tcW w:type="dxa" w:w="1872"/>
            <w:tcMar>
              <w:top w:w="70" w:type="dxa"/>
              <w:bottom w:w="70" w:type="dxa"/>
              <w:left w:w="90" w:type="dxa"/>
              <w:right w:w="90" w:type="dxa"/>
            </w:tcMar>
          </w:tcPr>
          <w:p>
            <w:pPr>
              <w:spacing w:before="60" w:after="60"/>
            </w:pPr>
            <w:r>
              <w:rPr>
                <w:rFonts w:ascii="Times New Roman" w:hAnsi="Times New Roman"/>
                <w:sz w:val="17"/>
              </w:rPr>
              <w:t>0.6215</w:t>
            </w:r>
          </w:p>
        </w:tc>
        <w:tc>
          <w:tcPr>
            <w:tcW w:type="dxa" w:w="1872"/>
            <w:tcMar>
              <w:top w:w="70" w:type="dxa"/>
              <w:bottom w:w="70" w:type="dxa"/>
              <w:left w:w="90" w:type="dxa"/>
              <w:right w:w="90" w:type="dxa"/>
            </w:tcMar>
          </w:tcPr>
          <w:p>
            <w:pPr>
              <w:spacing w:before="60" w:after="60"/>
            </w:pPr>
            <w:r>
              <w:rPr>
                <w:rFonts w:ascii="Times New Roman" w:hAnsi="Times New Roman"/>
                <w:sz w:val="17"/>
              </w:rPr>
              <w:t>63.50%</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MFCC + LSTM Multi-Corpus Baseline</w:t>
            </w:r>
          </w:p>
        </w:tc>
        <w:tc>
          <w:tcPr>
            <w:tcW w:type="dxa" w:w="1872"/>
            <w:tcMar>
              <w:top w:w="70" w:type="dxa"/>
              <w:bottom w:w="70" w:type="dxa"/>
              <w:left w:w="90" w:type="dxa"/>
              <w:right w:w="90" w:type="dxa"/>
            </w:tcMar>
          </w:tcPr>
          <w:p>
            <w:pPr>
              <w:spacing w:before="60" w:after="60"/>
            </w:pPr>
            <w:r>
              <w:rPr>
                <w:rFonts w:ascii="Times New Roman" w:hAnsi="Times New Roman"/>
                <w:sz w:val="17"/>
              </w:rPr>
              <w:t>44.15%</w:t>
            </w:r>
          </w:p>
        </w:tc>
        <w:tc>
          <w:tcPr>
            <w:tcW w:type="dxa" w:w="1872"/>
            <w:tcMar>
              <w:top w:w="70" w:type="dxa"/>
              <w:bottom w:w="70" w:type="dxa"/>
              <w:left w:w="90" w:type="dxa"/>
              <w:right w:w="90" w:type="dxa"/>
            </w:tcMar>
          </w:tcPr>
          <w:p>
            <w:pPr>
              <w:spacing w:before="60" w:after="60"/>
            </w:pPr>
            <w:r>
              <w:rPr>
                <w:rFonts w:ascii="Times New Roman" w:hAnsi="Times New Roman"/>
                <w:sz w:val="17"/>
              </w:rPr>
              <w:t>0.4120</w:t>
            </w:r>
          </w:p>
        </w:tc>
        <w:tc>
          <w:tcPr>
            <w:tcW w:type="dxa" w:w="1872"/>
            <w:tcMar>
              <w:top w:w="70" w:type="dxa"/>
              <w:bottom w:w="70" w:type="dxa"/>
              <w:left w:w="90" w:type="dxa"/>
              <w:right w:w="90" w:type="dxa"/>
            </w:tcMar>
          </w:tcPr>
          <w:p>
            <w:pPr>
              <w:spacing w:before="60" w:after="60"/>
            </w:pPr>
            <w:r>
              <w:rPr>
                <w:rFonts w:ascii="Times New Roman" w:hAnsi="Times New Roman"/>
                <w:sz w:val="17"/>
              </w:rPr>
              <w:t>43.82%</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r>
        <w:tc>
          <w:tcPr>
            <w:tcW w:type="dxa" w:w="1872"/>
            <w:tcMar>
              <w:top w:w="70" w:type="dxa"/>
              <w:bottom w:w="70" w:type="dxa"/>
              <w:left w:w="90" w:type="dxa"/>
              <w:right w:w="90" w:type="dxa"/>
            </w:tcMar>
          </w:tcPr>
          <w:p>
            <w:pPr>
              <w:spacing w:before="60" w:after="60"/>
            </w:pPr>
            <w:r>
              <w:rPr>
                <w:rFonts w:ascii="Times New Roman" w:hAnsi="Times New Roman"/>
                <w:sz w:val="17"/>
              </w:rPr>
              <w:t>Random Chance Baseline</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c>
          <w:tcPr>
            <w:tcW w:type="dxa" w:w="1872"/>
            <w:tcMar>
              <w:top w:w="70" w:type="dxa"/>
              <w:bottom w:w="70" w:type="dxa"/>
              <w:left w:w="90" w:type="dxa"/>
              <w:right w:w="90" w:type="dxa"/>
            </w:tcMar>
          </w:tcPr>
          <w:p>
            <w:pPr>
              <w:spacing w:before="60" w:after="60"/>
            </w:pPr>
            <w:r>
              <w:rPr>
                <w:rFonts w:ascii="Times New Roman" w:hAnsi="Times New Roman"/>
                <w:sz w:val="17"/>
              </w:rPr>
              <w:t>0.1667</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c>
          <w:tcPr>
            <w:tcW w:type="dxa" w:w="1872"/>
            <w:tcMar>
              <w:top w:w="70" w:type="dxa"/>
              <w:bottom w:w="70" w:type="dxa"/>
              <w:left w:w="90" w:type="dxa"/>
              <w:right w:w="90" w:type="dxa"/>
            </w:tcMar>
          </w:tcPr>
          <w:p>
            <w:pPr>
              <w:spacing w:before="60" w:after="60"/>
            </w:pPr>
            <w:r>
              <w:rPr>
                <w:rFonts w:ascii="Times New Roman" w:hAnsi="Times New Roman"/>
                <w:sz w:val="17"/>
              </w:rPr>
              <w:t>16.67%</w:t>
            </w:r>
          </w:p>
        </w:tc>
      </w:tr>
    </w:tbl>
    <w:p>
      <w:pPr>
        <w:spacing w:after="160"/>
      </w:pPr>
    </w:p>
    <w:p>
      <w:pPr>
        <w:spacing w:before="200" w:after="80"/>
        <w:jc w:val="center"/>
      </w:pPr>
      <w:r>
        <w:drawing>
          <wp:inline xmlns:a="http://schemas.openxmlformats.org/drawingml/2006/main" xmlns:pic="http://schemas.openxmlformats.org/drawingml/2006/picture">
            <wp:extent cx="5486400" cy="2900309"/>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486400" cy="2900309"/>
                    </a:xfrm>
                    <a:prstGeom prst="rect"/>
                  </pic:spPr>
                </pic:pic>
              </a:graphicData>
            </a:graphic>
          </wp:inline>
        </w:drawing>
      </w:r>
    </w:p>
    <w:p>
      <w:pPr>
        <w:spacing w:after="240"/>
        <w:ind w:left="576" w:right="576"/>
        <w:jc w:val="center"/>
      </w:pPr>
      <w:r>
        <w:rPr>
          <w:rFonts w:ascii="Times New Roman" w:hAnsi="Times New Roman"/>
          <w:i/>
          <w:color w:val="334155"/>
          <w:sz w:val="18"/>
        </w:rPr>
        <w:t>Figure 2: Multi-Corpus Benchmark Leaderboard Across Evaluated Speech Corpora.</w:t>
      </w:r>
    </w:p>
    <w:p>
      <w:pPr>
        <w:keepNext/>
        <w:spacing w:before="200" w:after="80"/>
      </w:pPr>
      <w:r>
        <w:rPr>
          <w:rFonts w:ascii="Times New Roman" w:hAnsi="Times New Roman"/>
          <w:b/>
          <w:color w:val="1E293B"/>
          <w:sz w:val="21"/>
        </w:rPr>
        <w:t>6.2 In-Domain Multi-Corpus Summary &amp; Architectural Ablations</w:t>
      </w:r>
    </w:p>
    <w:p>
      <w:pPr>
        <w:spacing w:line="293" w:lineRule="auto" w:after="80"/>
        <w:ind w:firstLine="288"/>
        <w:jc w:val="both"/>
      </w:pPr>
      <w:r>
        <w:rPr>
          <w:rFonts w:ascii="Times New Roman" w:hAnsi="Times New Roman"/>
          <w:sz w:val="20"/>
        </w:rPr>
        <w:t>• CREMA-D (91 Actors, 13 Unseen Test Actors): Soft-Voting Top-5 Ensemble achieved 75.57% Accuracy, 0.7594 Macro-F1, and 75.40% UAR. HuBERT with Learnable Layer Pooling reached 71.98% Accuracy, outperforming Wav2Vec2 Base (69.25%) and MFCC+CNN-BiLSTM (62.80%). Wav2Vec2-XLS-R-300M (Frozen Baseline) reached only 24.43% Accuracy (near chance level of 16.67%).</w:t>
        <w:br/>
        <w:t>• RAVDESS (24 Actors, Actors 21 to 24 Unseen): Transfer ensemble achieved 73.75% Accuracy. Transfer from CREMA-D pre-training to RAVDESS produced 72.92% Accuracy, compared to 32.50% when trained from scratch on RAVDESS alone. Wav2Vec2-XLS-R-300M collapsed to 13.33% Accuracy (barely above chance level of 12.50%).</w:t>
        <w:br/>
        <w:t>• SAVEE (4 Actors, Actor KL Unseen): Transfer ensemble reached 51.67% Accuracy and 0.3860 Macro-F1, doubling the scratch baseline of 25.0% which suffered from vocal tract overfitting. Wav2Vec2-XLS-R-300M achieved 12.50% Accuracy (chance level is 14.29%).</w:t>
        <w:br/>
        <w:t>• TESS (2 Actresses, 200 Words, 30 Unseen Target Words): All SSL foundation models achieved 100.00% Accuracy and 1.0000 Macro-F1. However, this result reflects the inherent ceiling effect and low acoustic complexity of the TESS dataset (only 2 speakers, carrier phrases, pristine studio acoustics) rather than architectural invincibility.</w:t>
      </w:r>
    </w:p>
    <w:p>
      <w:pPr>
        <w:keepNext/>
        <w:spacing w:before="200" w:after="80"/>
      </w:pPr>
      <w:r>
        <w:rPr>
          <w:rFonts w:ascii="Times New Roman" w:hAnsi="Times New Roman"/>
          <w:b/>
          <w:color w:val="1E293B"/>
          <w:sz w:val="21"/>
        </w:rPr>
        <w:t>6.3 Analysis of Wav2Vec2-XLS-R-300M Failure</w:t>
      </w:r>
    </w:p>
    <w:p>
      <w:pPr>
        <w:spacing w:line="293" w:lineRule="auto" w:after="80"/>
        <w:ind w:firstLine="288"/>
        <w:jc w:val="both"/>
      </w:pPr>
      <w:r>
        <w:rPr>
          <w:rFonts w:ascii="Times New Roman" w:hAnsi="Times New Roman"/>
          <w:sz w:val="20"/>
        </w:rPr>
        <w:t>Across all evaluated corpora, Wav2Vec2-XLS-R-300M performed near random chance (13.33% on RAVDESS, 24.43% on CREMA-D, 12.50% on SAVEE, and 19.76% on TESS), underperforming even shallow MFCC baselines. Three primary technical factors explain this behavior: (1) its 128-language pre-training objective optimizes for phonetic invariance, treating prosodic pitch modulations as acoustic noise; (2) extracting exclusively from its 24th layer discards affective representations that reside in intermediate layers; and (3) projecting a frozen 1024-dimensional space from a 317M parameter model onto small sample cohorts creates an acute capacity-to-sample mismatch.</w:t>
      </w:r>
    </w:p>
    <w:p>
      <w:pPr>
        <w:keepNext/>
        <w:spacing w:before="320" w:after="120"/>
      </w:pPr>
      <w:r>
        <w:rPr>
          <w:rFonts w:ascii="Times New Roman" w:hAnsi="Times New Roman"/>
          <w:b/>
          <w:color w:val="0F172A"/>
          <w:sz w:val="23"/>
        </w:rPr>
        <w:t>7. EMPIRICAL FINDINGS &amp; ABLATION STUDIES</w:t>
      </w:r>
    </w:p>
    <w:p>
      <w:pPr>
        <w:keepNext/>
        <w:spacing w:before="200" w:after="80"/>
      </w:pPr>
      <w:r>
        <w:rPr>
          <w:rFonts w:ascii="Times New Roman" w:hAnsi="Times New Roman"/>
          <w:b/>
          <w:color w:val="1E293B"/>
          <w:sz w:val="21"/>
        </w:rPr>
        <w:t>7.1 The Speaker Diversity Effect</w:t>
      </w:r>
    </w:p>
    <w:p>
      <w:pPr>
        <w:spacing w:line="293" w:lineRule="auto" w:after="80"/>
        <w:ind w:firstLine="288"/>
        <w:jc w:val="both"/>
      </w:pPr>
      <w:r>
        <w:rPr>
          <w:rFonts w:ascii="Times New Roman" w:hAnsi="Times New Roman"/>
          <w:sz w:val="20"/>
        </w:rP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spacing w:before="200" w:after="8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after="240"/>
        <w:ind w:left="576" w:right="576"/>
        <w:jc w:val="center"/>
      </w:pPr>
      <w:r>
        <w:rPr>
          <w:rFonts w:ascii="Times New Roman" w:hAnsi="Times New Roman"/>
          <w:i/>
          <w:color w:val="334155"/>
          <w:sz w:val="18"/>
        </w:rPr>
        <w:t>Figure 3: Empirical Layer Weight Distribution in Learnable Weighted Layer Pooling (Layers 9-11 Carry 31.95% of Total Weight, Sum strictly = 100.00%).</w:t>
      </w:r>
    </w:p>
    <w:p>
      <w:pPr>
        <w:keepNext/>
        <w:spacing w:before="200" w:after="80"/>
      </w:pPr>
      <w:r>
        <w:rPr>
          <w:rFonts w:ascii="Times New Roman" w:hAnsi="Times New Roman"/>
          <w:b/>
          <w:color w:val="1E293B"/>
          <w:sz w:val="21"/>
        </w:rPr>
        <w:t>7.2 Layer Weight Distribution Across Transformer Depth</w:t>
      </w:r>
    </w:p>
    <w:p>
      <w:pPr>
        <w:spacing w:line="293" w:lineRule="auto" w:after="80"/>
        <w:ind w:firstLine="288"/>
        <w:jc w:val="both"/>
      </w:pPr>
      <w:r>
        <w:rPr>
          <w:rFonts w:ascii="Times New Roman" w:hAnsi="Times New Roman"/>
          <w:sz w:val="20"/>
        </w:rPr>
        <w:t>Figure 3 illustrates the learned softmax weights alpha across the 12 transformer encoder blocks. Layers 1 to 4 receive basal weights (alpha_1 = 0.0707 to alpha_4 = 0.0712, ~7.1% each), encoding low-level spectro-temporal features. Layers 5 to 8 demonstrate steady acoustic refinement (alpha_5 = 0.0713 to alpha_8 = 0.0757). Layers 9 to 11 reach empirical maximum weighting (alpha_9 = 0.1002, alpha_10 = 0.1107, alpha_11 = 0.1086), capturing exactly 31.95% of the total layer weight. Layer 10 serves as the primary focal point (11.07%), encoding intonation and prosodic trajectories. Layer 12 decreases to 0.1053 (10.53%) as representation space shifts toward discrete phonetic classification. Crucially, the 12 layer weights sum strictly to 100.00% (sum = 1.0000), verifying normalization consistency.</w:t>
      </w:r>
    </w:p>
    <w:p>
      <w:pPr>
        <w:keepNext/>
        <w:spacing w:before="200" w:after="80"/>
      </w:pPr>
      <w:r>
        <w:rPr>
          <w:rFonts w:ascii="Times New Roman" w:hAnsi="Times New Roman"/>
          <w:b/>
          <w:color w:val="1E293B"/>
          <w:sz w:val="21"/>
        </w:rPr>
        <w:t>7.3 Hindi Speech Emotion: Zero-Shot vs. Supervised Adaptation</w:t>
      </w:r>
    </w:p>
    <w:p>
      <w:pPr>
        <w:spacing w:line="293" w:lineRule="auto" w:after="80"/>
        <w:ind w:firstLine="288"/>
        <w:jc w:val="both"/>
      </w:pPr>
      <w:r>
        <w:rPr>
          <w:rFonts w:ascii="Times New Roman" w:hAnsi="Times New Roman"/>
          <w:sz w:val="20"/>
        </w:rPr>
        <w:t>Evaluating the English-trained Universal HuBERT model zero-shot on native Hindi speech yielded 27.62% accuracy and 31.76% UAR (above 25.0% chance).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normalized confusion matrix.</w:t>
      </w:r>
    </w:p>
    <w:p>
      <w:pPr>
        <w:spacing w:before="200" w:after="80"/>
        <w:jc w:val="center"/>
      </w:pPr>
      <w:r>
        <w:drawing>
          <wp:inline xmlns:a="http://schemas.openxmlformats.org/drawingml/2006/main" xmlns:pic="http://schemas.openxmlformats.org/drawingml/2006/picture">
            <wp:extent cx="4937760" cy="3042863"/>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4937760" cy="3042863"/>
                    </a:xfrm>
                    <a:prstGeom prst="rect"/>
                  </pic:spPr>
                </pic:pic>
              </a:graphicData>
            </a:graphic>
          </wp:inline>
        </w:drawing>
      </w:r>
    </w:p>
    <w:p>
      <w:pPr>
        <w:spacing w:after="240"/>
        <w:ind w:left="576" w:right="576"/>
        <w:jc w:val="center"/>
      </w:pPr>
      <w:r>
        <w:rPr>
          <w:rFonts w:ascii="Times New Roman" w:hAnsi="Times New Roman"/>
          <w:i/>
          <w:color w:val="334155"/>
          <w:sz w:val="18"/>
        </w:rPr>
        <w:t>Figure 4: Cross-Lingual Adaptation to Indic Hindi Speech (Zero-Shot Transfer vs. Supervised Native Adaptation).</w:t>
      </w:r>
    </w:p>
    <w:p>
      <w:pPr>
        <w:spacing w:before="200" w:after="80"/>
        <w:jc w:val="center"/>
      </w:pPr>
      <w:r>
        <w:drawing>
          <wp:inline xmlns:a="http://schemas.openxmlformats.org/drawingml/2006/main" xmlns:pic="http://schemas.openxmlformats.org/drawingml/2006/picture">
            <wp:extent cx="4206240" cy="3809962"/>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206240" cy="3809962"/>
                    </a:xfrm>
                    <a:prstGeom prst="rect"/>
                  </pic:spPr>
                </pic:pic>
              </a:graphicData>
            </a:graphic>
          </wp:inline>
        </w:drawing>
      </w:r>
    </w:p>
    <w:p>
      <w:pPr>
        <w:spacing w:after="240"/>
        <w:ind w:left="576" w:right="576"/>
        <w:jc w:val="center"/>
      </w:pPr>
      <w:r>
        <w:rPr>
          <w:rFonts w:ascii="Times New Roman" w:hAnsi="Times New Roman"/>
          <w:i/>
          <w:color w:val="334155"/>
          <w:sz w:val="18"/>
        </w:rPr>
        <w:t>Figure 5: Normalized Confusion Matrix for the Hindi Emotion Specialist Model (75.19% Test Accuracy).</w:t>
      </w:r>
    </w:p>
    <w:p>
      <w:pPr>
        <w:keepNext/>
        <w:spacing w:before="320" w:after="120"/>
      </w:pPr>
      <w:r>
        <w:rPr>
          <w:rFonts w:ascii="Times New Roman" w:hAnsi="Times New Roman"/>
          <w:b/>
          <w:color w:val="0F172A"/>
          <w:sz w:val="23"/>
        </w:rPr>
        <w:t>8. SPEECH BEHAVIOURAL INTELLIGENCE PROFILING</w:t>
      </w:r>
    </w:p>
    <w:p>
      <w:pPr>
        <w:spacing w:line="293" w:lineRule="auto" w:after="80"/>
        <w:ind w:firstLine="288"/>
        <w:jc w:val="both"/>
      </w:pPr>
      <w:r>
        <w:rPr>
          <w:rFonts w:ascii="Times New Roman" w:hAnsi="Times New Roman"/>
          <w:sz w:val="20"/>
        </w:rPr>
        <w:t>Figure 6 summarizes the objective acoustic patterns extracted across emotion categories by the Behaviour Engine: Anger is characterized by elevated speaking rate (4.2 syl/s), minimal pause ratios (12.4%), and high energy (-16.2 dB). Sadness exhibits slow speech velocity (2.2 syl/s), frequent pauses (31.8% silence ratio), and depressed pitch (108 Hz). Calm recordings show relaxed tempo (2.3 syl/s) with gentle energy (-31.4 dB). Combining discrete classifications with continuous prosodic metrics creates multidimensional behavioral profiles.</w:t>
      </w:r>
    </w:p>
    <w:p>
      <w:pPr>
        <w:spacing w:before="200" w:after="80"/>
        <w:jc w:val="center"/>
      </w:pPr>
      <w:r>
        <w:drawing>
          <wp:inline xmlns:a="http://schemas.openxmlformats.org/drawingml/2006/main" xmlns:pic="http://schemas.openxmlformats.org/drawingml/2006/picture">
            <wp:extent cx="5669280" cy="3928805"/>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669280" cy="3928805"/>
                    </a:xfrm>
                    <a:prstGeom prst="rect"/>
                  </pic:spPr>
                </pic:pic>
              </a:graphicData>
            </a:graphic>
          </wp:inline>
        </w:drawing>
      </w:r>
    </w:p>
    <w:p>
      <w:pPr>
        <w:spacing w:after="240"/>
        <w:ind w:left="576" w:right="576"/>
        <w:jc w:val="center"/>
      </w:pPr>
      <w:r>
        <w:rPr>
          <w:rFonts w:ascii="Times New Roman" w:hAnsi="Times New Roman"/>
          <w:i/>
          <w:color w:val="334155"/>
          <w:sz w:val="18"/>
        </w:rPr>
        <w:t>Figure 6: Multimodal Speech Behaviour Telemetry across Emotion Categories (Speaking Rate, Silence Ratio, Loudness, and Pitch Intonation).</w:t>
      </w:r>
    </w:p>
    <w:p>
      <w:pPr>
        <w:keepNext/>
        <w:spacing w:before="320" w:after="120"/>
      </w:pPr>
      <w:r>
        <w:rPr>
          <w:rFonts w:ascii="Times New Roman" w:hAnsi="Times New Roman"/>
          <w:b/>
          <w:color w:val="0F172A"/>
          <w:sz w:val="23"/>
        </w:rPr>
        <w:t>9. SYSTEM DEPLOYMENT ARCHITECTURE</w:t>
      </w:r>
    </w:p>
    <w:p>
      <w:pPr>
        <w:spacing w:line="293" w:lineRule="auto" w:after="80"/>
        <w:ind w:firstLine="288"/>
        <w:jc w:val="both"/>
      </w:pPr>
      <w:r>
        <w:rPr>
          <w:rFonts w:ascii="Times New Roman" w:hAnsi="Times New Roman"/>
          <w:sz w:val="20"/>
        </w:rPr>
        <w:t>The end-to-end system is deployed as an Apple Silicon accelerated microservice paired with a minimal web application: (1) Frontend UI in Next.js / TypeScript featuring a minimal white-mode layout and real-time Web Audio API frequency visualizer (AudioWaveformVisualizer); and (2) Backend Microservice in FastAPI serving model registries with Metal Performance Shaders (mps) acceleration, achieving 38.4 ms average inference latency.</w:t>
      </w:r>
    </w:p>
    <w:p>
      <w:pPr>
        <w:keepNext/>
        <w:spacing w:before="320" w:after="120"/>
      </w:pPr>
      <w:r>
        <w:rPr>
          <w:rFonts w:ascii="Times New Roman" w:hAnsi="Times New Roman"/>
          <w:b/>
          <w:color w:val="0F172A"/>
          <w:sz w:val="23"/>
        </w:rPr>
        <w:t>10. DISCUSSION &amp; LIMITATIONS</w:t>
      </w:r>
    </w:p>
    <w:p>
      <w:pPr>
        <w:spacing w:line="293" w:lineRule="auto" w:after="80"/>
        <w:ind w:firstLine="288"/>
        <w:jc w:val="both"/>
      </w:pPr>
      <w:r>
        <w:rPr>
          <w:rFonts w:ascii="Times New Roman" w:hAnsi="Times New Roman"/>
          <w:sz w:val="20"/>
        </w:rPr>
        <w:t>While the experimental results validate the efficacy of learnable layer pooling and disjoint evaluation protocols, several limitations should be noted: (1) studio-recorded corpora such as TESS feature near-zero background acoustic noise; (2) the Hindi evaluation was restricted to 25 speakers; and (3) standard 16 kHz sampling truncates high-frequency spectral cues above 8 kHz.</w:t>
      </w:r>
    </w:p>
    <w:p>
      <w:pPr>
        <w:keepNext/>
        <w:spacing w:before="320" w:after="120"/>
      </w:pPr>
      <w:r>
        <w:rPr>
          <w:rFonts w:ascii="Times New Roman" w:hAnsi="Times New Roman"/>
          <w:b/>
          <w:color w:val="0F172A"/>
          <w:sz w:val="23"/>
        </w:rPr>
        <w:t>11. CONCLUSION</w:t>
      </w:r>
    </w:p>
    <w:p>
      <w:pPr>
        <w:spacing w:line="293" w:lineRule="auto" w:after="80"/>
        <w:ind w:firstLine="288"/>
        <w:jc w:val="both"/>
      </w:pPr>
      <w:r>
        <w:rPr>
          <w:rFonts w:ascii="Times New Roman" w:hAnsi="Times New Roman"/>
          <w:sz w:val="20"/>
        </w:rPr>
        <w:t>This research evaluated speech emotion recognition across multi-corpus and cross-lingual settings. The primary conclusions are: (1) Learnable Weighted Layer Pooling demonstrates that intermediate transformer layers (Layers 9 to 11) capture the highest concentration of emotional prosody (31.95%), outperforming top-layer pooling; (2) Speaker Diversity is essential for generalization: models trained on minimal speaker cohorts overfit speaker identity, whereas pre-training across larger cohorts supports speaker-independent evaluation; (3) Cross-Lingual Transfer from English multi-corpus models transfers moderately above chance to native Hindi speech, but supervised adaptation achieves 75.19% accuracy; and (4) Combining discrete emotion classification with continuous acoustic measurements provides a more comprehensive vocal assessment.</w:t>
      </w:r>
    </w:p>
    <w:p>
      <w:pPr>
        <w:keepNext/>
        <w:spacing w:before="320" w:after="120"/>
      </w:pPr>
      <w:r>
        <w:rPr>
          <w:rFonts w:ascii="Times New Roman" w:hAnsi="Times New Roman"/>
          <w:b/>
          <w:color w:val="0F172A"/>
          <w:sz w:val="23"/>
        </w:rPr>
        <w:t>12. ACADEMIC REFERENCES (IEEE STYLE)</w:t>
      </w:r>
    </w:p>
    <w:p>
      <w:pPr>
        <w:spacing w:line="276" w:lineRule="auto" w:after="80"/>
        <w:ind w:left="504" w:hanging="504"/>
        <w:jc w:val="both"/>
      </w:pPr>
      <w:r>
        <w:rPr>
          <w:rFonts w:ascii="Times New Roman" w:hAnsi="Times New Roman"/>
          <w:color w:val="334155"/>
          <w:sz w:val="19"/>
        </w:rPr>
        <w:t>[1] S. Kotian and S. Singh, "Evaluating the Impact of Behavioural Features on Hindi Speech Emotion Recognition: A Multimodal Deep Learning Approach," Journal of Tianjin University Science and Technology, vol. 59, no. 2, pp. 1-10, 2026 (also documented in International Journal of Applied Artificial Intelligence and Robotics, vol. 2, no. 1, 2026).</w:t>
      </w:r>
    </w:p>
    <w:p>
      <w:pPr>
        <w:spacing w:line="276" w:lineRule="auto" w:after="80"/>
        <w:ind w:left="504" w:hanging="504"/>
        <w:jc w:val="both"/>
      </w:pPr>
      <w:r>
        <w:rPr>
          <w:rFonts w:ascii="Times New Roman" w:hAnsi="Times New Roman"/>
          <w:color w:val="334155"/>
          <w:sz w:val="19"/>
        </w:rPr>
        <w:t>[2] S. Kotian and S. Singh, "Benchmarking Classical, Deep Learning and Transformer Models for Hindi Speech Emotion Recognition: A Multimodal Analysis," Interdisciplinary Journal of AI, Machine Learning &amp; Data Science (IJAIMLDS), vol. 1, no. 1, art. e001, pp. 1-24, 2026, doi: 10.66261/fetdj998.</w:t>
      </w:r>
    </w:p>
    <w:p>
      <w:pPr>
        <w:spacing w:line="276" w:lineRule="auto" w:after="80"/>
        <w:ind w:left="504" w:hanging="504"/>
        <w:jc w:val="both"/>
      </w:pPr>
      <w:r>
        <w:rPr>
          <w:rFonts w:ascii="Times New Roman" w:hAnsi="Times New Roman"/>
          <w:color w:val="334155"/>
          <w:sz w:val="19"/>
        </w:rPr>
        <w:t>[3] K. Chauhan and M. Sharma, "MNITJ-SEHSD: A Hindi Emotional Speech Database," in Proc. 2023 International Conference on Communication, Circuits, and Systems (IC3S), Bhubaneswar, India, 2023, pp. 1-5, doi: 10.1109/IC3S57698.2023.10169497.</w:t>
      </w:r>
    </w:p>
    <w:p>
      <w:pPr>
        <w:spacing w:line="276" w:lineRule="auto" w:after="80"/>
        <w:ind w:left="504" w:hanging="504"/>
        <w:jc w:val="both"/>
      </w:pPr>
      <w:r>
        <w:rPr>
          <w:rFonts w:ascii="Times New Roman" w:hAnsi="Times New Roman"/>
          <w:color w:val="334155"/>
          <w:sz w:val="19"/>
        </w:rPr>
        <w:t>[4] P. Mehra and S. K. Verma, "BERIS: An mBERT-based Emotion Recognition Algorithm from Indian Speech," ACM Transactions on Asian and Low-Resource Language Information Processing, vol. 21, no. 6, art. 106, pp. 1-21, 2022, doi: 10.1145/3517195.</w:t>
      </w:r>
    </w:p>
    <w:p>
      <w:pPr>
        <w:spacing w:line="276" w:lineRule="auto" w:after="80"/>
        <w:ind w:left="504" w:hanging="504"/>
        <w:jc w:val="both"/>
      </w:pPr>
      <w:r>
        <w:rPr>
          <w:rFonts w:ascii="Times New Roman" w:hAnsi="Times New Roman"/>
          <w:color w:val="334155"/>
          <w:sz w:val="19"/>
        </w:rPr>
        <w:t>[5] R. Kawade and S. Jagtap, "Indian Cross Corpus Speech Emotion Recognition Using Multiple Spectral-Temporal-Voice Quality Acoustic Features and Deep Convolution Neural Network," Revue d'Intelligence Artificielle, vol. 38, no. 3, pp. 939-947, 2024, doi: 10.18280/ria.380318.</w:t>
      </w:r>
    </w:p>
    <w:p>
      <w:pPr>
        <w:spacing w:line="276" w:lineRule="auto" w:after="80"/>
        <w:ind w:left="504" w:hanging="504"/>
        <w:jc w:val="both"/>
      </w:pPr>
      <w:r>
        <w:rPr>
          <w:rFonts w:ascii="Times New Roman" w:hAnsi="Times New Roman"/>
          <w:color w:val="334155"/>
          <w:sz w:val="19"/>
        </w:rPr>
        <w:t>[6] Z. Ma, Z. Zheng, J. Ye, J. Li, Y. Guan, and S. Zhang, "emotion2vec: Self-Supervised Pre-Training for Speech Emotion Representation," in Findings of the Association for Computational Linguistics: ACL 2024, Bangkok, Thailand, 2024, pp. 15747-15760.</w:t>
      </w:r>
    </w:p>
    <w:p>
      <w:pPr>
        <w:spacing w:line="276" w:lineRule="auto" w:after="80"/>
        <w:ind w:left="504" w:hanging="504"/>
        <w:jc w:val="both"/>
      </w:pPr>
      <w:r>
        <w:rPr>
          <w:rFonts w:ascii="Times New Roman" w:hAnsi="Times New Roman"/>
          <w:color w:val="334155"/>
          <w:sz w:val="19"/>
        </w:rPr>
        <w:t>[7] S. Chen, Y. Wu, C. Wang, S. Liu, D. Tompkins, Z. Chen, and F. Wei, "BEATs: Audio Pre-Training with Acoustic Tokenizers," in Proc. 40th International Conference on Machine Learning (ICML), PMLR vol. 202, 2023, pp. 5178-5193.</w:t>
      </w:r>
    </w:p>
    <w:p>
      <w:pPr>
        <w:spacing w:line="276" w:lineRule="auto" w:after="80"/>
        <w:ind w:left="504" w:hanging="504"/>
        <w:jc w:val="both"/>
      </w:pPr>
      <w:r>
        <w:rPr>
          <w:rFonts w:ascii="Times New Roman" w:hAnsi="Times New Roman"/>
          <w:color w:val="334155"/>
          <w:sz w:val="19"/>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76" w:lineRule="auto" w:after="80"/>
        <w:ind w:left="504" w:hanging="504"/>
        <w:jc w:val="both"/>
      </w:pPr>
      <w:r>
        <w:rPr>
          <w:rFonts w:ascii="Times New Roman" w:hAnsi="Times New Roman"/>
          <w:color w:val="334155"/>
          <w:sz w:val="19"/>
        </w:rPr>
        <w:t>[9] A. Baevski, Y. Zhou, A. Mohamed, and M. Auli, "wav2vec 2.0: A Framework for Self-Supervised Learning of Speech Representations," in Advances in Neural Information Processing Systems (NeurIPS), vol. 33, 2020, pp. 12449-12460.</w:t>
      </w:r>
    </w:p>
    <w:p>
      <w:pPr>
        <w:spacing w:line="276" w:lineRule="auto" w:after="80"/>
        <w:ind w:left="504" w:hanging="504"/>
        <w:jc w:val="both"/>
      </w:pPr>
      <w:r>
        <w:rPr>
          <w:rFonts w:ascii="Times New Roman" w:hAnsi="Times New Roman"/>
          <w:color w:val="334155"/>
          <w:sz w:val="19"/>
        </w:rPr>
        <w:t>[10] A. Radford, J. W. Kim, T. Xu, G. Brockman, C. McLeavey, and I. Sutskever, "Robust Speech Recognition via Large-Scale Weak Supervision," in Proc. 40th International Conference on Machine Learning (ICML), PMLR vol. 202, 2023, pp. 28492-28518.</w:t>
      </w:r>
    </w:p>
    <w:p>
      <w:pPr>
        <w:spacing w:line="276" w:lineRule="auto" w:after="80"/>
        <w:ind w:left="504" w:hanging="504"/>
        <w:jc w:val="both"/>
      </w:pPr>
      <w:r>
        <w:rPr>
          <w:rFonts w:ascii="Times New Roman" w:hAnsi="Times New Roman"/>
          <w:color w:val="334155"/>
          <w:sz w:val="19"/>
        </w:rPr>
        <w:t>[11] J. H. Chowdhury, S. Ramanna, and K. Kotecha, "Speech emotion recognition with light weight deep neural ensemble model using hand crafted features," Scientific Reports, vol. 15, no. 1, art. 8546, pp. 1-17, 2025, doi: 10.1038/s41598-025-95734-z.</w:t>
      </w:r>
    </w:p>
    <w:p>
      <w:pPr>
        <w:spacing w:line="276" w:lineRule="auto" w:after="80"/>
        <w:ind w:left="504" w:hanging="504"/>
        <w:jc w:val="both"/>
      </w:pPr>
      <w:r>
        <w:rPr>
          <w:rFonts w:ascii="Times New Roman" w:hAnsi="Times New Roman"/>
          <w:color w:val="334155"/>
          <w:sz w:val="19"/>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2016, doi: 10.1109/TAFFC.2015.2457417.</w:t>
      </w:r>
    </w:p>
    <w:p>
      <w:pPr>
        <w:spacing w:line="276" w:lineRule="auto" w:after="80"/>
        <w:ind w:left="504" w:hanging="504"/>
        <w:jc w:val="both"/>
      </w:pPr>
      <w:r>
        <w:rPr>
          <w:rFonts w:ascii="Times New Roman" w:hAnsi="Times New Roman"/>
          <w:color w:val="334155"/>
          <w:sz w:val="19"/>
        </w:rPr>
        <w:t>[13] B. Schuller, S. Steidl, A. Batliner, A. Vinciarelli, K. Scherer, F. Ringeval, E. Marchi et al., "The INTERSPEECH Computational Paralinguistics Challenge: A 10-Year Retrospective," Computer Speech &amp; Language, vol. 62, art. 101050, 2020, doi: 10.1016/j.csl.2020.101050.</w:t>
      </w:r>
    </w:p>
    <w:p>
      <w:pPr>
        <w:spacing w:line="276" w:lineRule="auto" w:after="80"/>
        <w:ind w:left="504" w:hanging="504"/>
        <w:jc w:val="both"/>
      </w:pPr>
      <w:r>
        <w:rPr>
          <w:rFonts w:ascii="Times New Roman" w:hAnsi="Times New Roman"/>
          <w:color w:val="334155"/>
          <w:sz w:val="19"/>
        </w:rPr>
        <w:t>[14] N. Wang and D. Yang, "Speech emotion recognition using fine-tuned Wav2vec2 and Conformer," PLOS ONE, vol. 20, no. 2, art. e0318297, pp. 1-20, 2025, doi: 10.1371/journal.pone.0318297.</w:t>
      </w:r>
    </w:p>
    <w:p>
      <w:pPr>
        <w:spacing w:line="276" w:lineRule="auto" w:after="80"/>
        <w:ind w:left="504" w:hanging="504"/>
        <w:jc w:val="both"/>
      </w:pPr>
      <w:r>
        <w:rPr>
          <w:rFonts w:ascii="Times New Roman" w:hAnsi="Times New Roman"/>
          <w:color w:val="334155"/>
          <w:sz w:val="19"/>
        </w:rPr>
        <w:t>[15] A. Hashem, S. Mirsamadi, and C. Busso, "Cross-Corpus Speech Emotion Recognition: Mitigating Domain Shift via Adversarial Training," IEEE/ACM Transactions on Audio, Speech, and Language Processing, vol. 31, pp. 2380-2392, 2023, doi: 10.1109/TASLP.2023.3283287.</w:t>
      </w:r>
    </w:p>
    <w:p>
      <w:pPr>
        <w:spacing w:line="276" w:lineRule="auto" w:after="80"/>
        <w:ind w:left="504" w:hanging="504"/>
        <w:jc w:val="both"/>
      </w:pPr>
      <w:r>
        <w:rPr>
          <w:rFonts w:ascii="Times New Roman" w:hAnsi="Times New Roman"/>
          <w:color w:val="334155"/>
          <w:sz w:val="19"/>
        </w:rPr>
        <w:t>[16] A. Akçay and K. Oğuz, "Speech emotion recognition: Emotional models, databases, features, preprocessing methods, supporting modalities, and classifiers," Speech Communication, vol. 116, pp. 56-76, 2020, doi: 10.1016/j.specom.2019.12.001.</w:t>
      </w:r>
    </w:p>
    <w:p>
      <w:pPr>
        <w:spacing w:line="276" w:lineRule="auto" w:after="80"/>
        <w:ind w:left="504" w:hanging="504"/>
        <w:jc w:val="both"/>
      </w:pPr>
      <w:r>
        <w:rPr>
          <w:rFonts w:ascii="Times New Roman" w:hAnsi="Times New Roman"/>
          <w:color w:val="334155"/>
          <w:sz w:val="19"/>
        </w:rPr>
        <w:t>[17] H. Cao, D. G. Cooper, M. K. Keutmann, R. C. Gur, A. Nenkova, and R. Verma, "CREMA-D: Crowd-sourced Emotional Multimodal Actors Dataset," IEEE Transactions on Affective Computing, vol. 5, no. 4, pp. 377-390, 2014, doi: 10.1109/TAFFC.2014.2336940.</w:t>
      </w:r>
    </w:p>
    <w:p>
      <w:pPr>
        <w:spacing w:line="276" w:lineRule="auto" w:after="80"/>
        <w:ind w:left="504" w:hanging="504"/>
        <w:jc w:val="both"/>
      </w:pPr>
      <w:r>
        <w:rPr>
          <w:rFonts w:ascii="Times New Roman" w:hAnsi="Times New Roman"/>
          <w:color w:val="334155"/>
          <w:sz w:val="19"/>
        </w:rPr>
        <w:t>[18] S. R. Livingstone and F. A. Russo, "The Ryerson Audio-Visual Database of Emotional Speech and Song (RAVDESS): A dynamic, multimodal set of facial and vocal expressions in North American English," PLOS ONE, vol. 13, no. 5, art. e0196391, 2018, doi: 10.1371/journal.pone.0196391.</w:t>
      </w:r>
    </w:p>
    <w:p>
      <w:pPr>
        <w:spacing w:line="276" w:lineRule="auto" w:after="80"/>
        <w:ind w:left="504" w:hanging="504"/>
        <w:jc w:val="both"/>
      </w:pPr>
      <w:r>
        <w:rPr>
          <w:rFonts w:ascii="Times New Roman" w:hAnsi="Times New Roman"/>
          <w:color w:val="334155"/>
          <w:sz w:val="19"/>
        </w:rPr>
        <w:t>[19] P. Jackson and S. Haq, "Surrey Audio-Visual Expressed Emotion (SAVEE) Database," University of Surrey, Guildford, UK, Tech. Rep., 2014.</w:t>
      </w:r>
    </w:p>
    <w:p>
      <w:pPr>
        <w:spacing w:line="276" w:lineRule="auto" w:after="80"/>
        <w:ind w:left="504" w:hanging="504"/>
        <w:jc w:val="both"/>
      </w:pPr>
      <w:r>
        <w:rPr>
          <w:rFonts w:ascii="Times New Roman" w:hAnsi="Times New Roman"/>
          <w:color w:val="334155"/>
          <w:sz w:val="19"/>
        </w:rPr>
        <w:t>[20] M. K. Pichora-Fuller and K. Dupuis, "Toronto emotional speech set (TESS)," Data in Brief, University of Toronto Psychology, 2020, doi: 10.5683/SP2/E8H2MF.</w:t>
      </w:r>
    </w:p>
    <w:p>
      <w:pPr>
        <w:spacing w:line="276" w:lineRule="auto" w:after="80"/>
        <w:ind w:left="504" w:hanging="504"/>
        <w:jc w:val="both"/>
      </w:pPr>
      <w:r>
        <w:rPr>
          <w:rFonts w:ascii="Times New Roman" w:hAnsi="Times New Roman"/>
          <w:color w:val="334155"/>
          <w:sz w:val="19"/>
        </w:rPr>
        <w:t>[21] A. Goel, M. Hira, and A. Gupta, "Exploring Multilingual Unseen Speaker Emotion Recognition: Leveraging Co-Attention Cues in Multitask Learning," in Proc. Interspeech 2024, Kos Island, Greece, 2024, pp. 4888-4892.</w:t>
      </w:r>
    </w:p>
    <w:p>
      <w:pPr>
        <w:spacing w:line="276" w:lineRule="auto" w:after="80"/>
        <w:ind w:left="504" w:hanging="504"/>
        <w:jc w:val="both"/>
      </w:pPr>
      <w:r>
        <w:rPr>
          <w:rFonts w:ascii="Times New Roman" w:hAnsi="Times New Roman"/>
          <w:color w:val="334155"/>
          <w:sz w:val="19"/>
        </w:rPr>
        <w:t>[22] S. T. Alam Monisha, S. Sultana, M. A. Kabir, and M. R. Huq, "A review on speech emotion recognition for low-resource and Indigenous languages," Speech Communication, vol. 168, art. 103342, pp. 1-25, 2025, doi: 10.1016/j.specom.2025.103342.</w:t>
      </w:r>
    </w:p>
    <w:p>
      <w:pPr>
        <w:spacing w:line="276" w:lineRule="auto" w:after="80"/>
        <w:ind w:left="504" w:hanging="504"/>
        <w:jc w:val="both"/>
      </w:pPr>
      <w:r>
        <w:rPr>
          <w:rFonts w:ascii="Times New Roman" w:hAnsi="Times New Roman"/>
          <w:color w:val="334155"/>
          <w:sz w:val="19"/>
        </w:rPr>
        <w:t>[23] S. T. Alam Monisha and S. Sultana, "A Review of the Advancement in Speech Emotion Recognition for Indo-Aryan and Dravidian Languages," Advances in Human-Computer Interaction, vol. 2022, art. 9602429, pp. 1-22, 2022, doi: 10.1155/2022/9602429.</w:t>
      </w:r>
    </w:p>
    <w:p>
      <w:pPr>
        <w:spacing w:line="276" w:lineRule="auto" w:after="80"/>
        <w:ind w:left="504" w:hanging="504"/>
        <w:jc w:val="both"/>
      </w:pPr>
      <w:r>
        <w:rPr>
          <w:rFonts w:ascii="Times New Roman" w:hAnsi="Times New Roman"/>
          <w:color w:val="334155"/>
          <w:sz w:val="19"/>
        </w:rPr>
        <w:t>[24] A. Pasad, J.-C. Chou, and K. Livescu, "Layer-wise Analysis of a Pre-trained Speech Representation Model," in Proc. IEEE Automatic Speech Recognition and Understanding Workshop (ASRU), Cartagena, Colombia, 2021, pp. 914-921, doi: 10.1109/ASRU51503.2021.9688082.</w:t>
      </w:r>
    </w:p>
    <w:p>
      <w:pPr>
        <w:spacing w:line="276" w:lineRule="auto" w:after="80"/>
        <w:ind w:left="504" w:hanging="504"/>
        <w:jc w:val="both"/>
      </w:pPr>
      <w:r>
        <w:rPr>
          <w:rFonts w:ascii="Times New Roman" w:hAnsi="Times New Roman"/>
          <w:color w:val="334155"/>
          <w:sz w:val="19"/>
        </w:rPr>
        <w:t>[25] J. Wagner, D. Schiller, A. Seiderer, and E. André, "Deep Learning in Speech Emotion Recognition: A Survey of Architectures and Multimodal Approaches," IEEE Transactions on Affective Computing, vol. 14, no. 1, pp. 34-52, 2023, doi: 10.1109/TAFFC.2023.3248639.</w:t>
      </w:r>
    </w:p>
    <w:p>
      <w:pPr>
        <w:spacing w:line="276" w:lineRule="auto" w:after="80"/>
        <w:ind w:left="504" w:hanging="504"/>
        <w:jc w:val="both"/>
      </w:pPr>
      <w:r>
        <w:rPr>
          <w:rFonts w:ascii="Times New Roman" w:hAnsi="Times New Roman"/>
          <w:color w:val="334155"/>
          <w:sz w:val="19"/>
        </w:rPr>
        <w:t>[26] S. Latif, R. Rana, S. Khalifa, R. Jurdak, J. Qadir, and B. W. Schuller, "Survey of Deep Learning on Audio Data: Paradigms, Applications, and Benchmarks," IEEE Transactions on Neural Networks and Learning Systems, vol. 34, no. 9, pp. 5411-5431, 2023, doi: 10.1109/TNNLS.2021.3129994.</w:t>
      </w:r>
    </w:p>
    <w:p>
      <w:pPr>
        <w:spacing w:line="276" w:lineRule="auto" w:after="80"/>
        <w:ind w:left="504" w:hanging="504"/>
        <w:jc w:val="both"/>
      </w:pPr>
      <w:r>
        <w:rPr>
          <w:rFonts w:ascii="Times New Roman" w:hAnsi="Times New Roman"/>
          <w:color w:val="334155"/>
          <w:sz w:val="19"/>
        </w:rPr>
        <w:t>[27] L. Pepino, P. Riera, and L. Ferrer, "Emotion Recognition from Speech Using wav2vec 2.0 Embeddings," in Proc. Interspeech 2021, Brno, Czech Republic, 2021, pp. 3400-3404, doi: 10.21437/Interspeech.2021-1250.</w:t>
      </w:r>
    </w:p>
    <w:p>
      <w:pPr>
        <w:spacing w:line="276" w:lineRule="auto" w:after="80"/>
        <w:ind w:left="504" w:hanging="504"/>
        <w:jc w:val="both"/>
      </w:pPr>
      <w:r>
        <w:rPr>
          <w:rFonts w:ascii="Times New Roman" w:hAnsi="Times New Roman"/>
          <w:color w:val="334155"/>
          <w:sz w:val="19"/>
        </w:rPr>
        <w:t>[28] C. Busso, M. Bulut, C.-C. Lee, A. Kazemzadeh, E. Mower, S. Kim, J. N. Chang, S. Lee, and S. S. Narayanan, "IEMOCAP: Interactive emotional dyadic motion capture database," Language Resources and Evaluation, vol. 42, no. 4, pp. 335-359, 2008, doi: 10.1007/s10579-008-9076-6.</w:t>
      </w:r>
    </w:p>
    <w:p>
      <w:pPr>
        <w:spacing w:line="276" w:lineRule="auto" w:after="80"/>
        <w:ind w:left="504" w:hanging="504"/>
        <w:jc w:val="both"/>
      </w:pPr>
      <w:r>
        <w:rPr>
          <w:rFonts w:ascii="Times New Roman" w:hAnsi="Times New Roman"/>
          <w:color w:val="334155"/>
          <w:sz w:val="19"/>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76" w:lineRule="auto" w:after="80"/>
        <w:ind w:left="504" w:hanging="504"/>
        <w:jc w:val="both"/>
      </w:pPr>
      <w:r>
        <w:rPr>
          <w:rFonts w:ascii="Times New Roman" w:hAnsi="Times New Roman"/>
          <w:color w:val="334155"/>
          <w:sz w:val="19"/>
        </w:rPr>
        <w:t>[30] C. Sun, Y. Zhou, X. Huang, J. Yang, and X. Hou, "Combining wav2vec 2.0 Fine-Tuning and ConLearnNet for Speech Emotion Recognition," Electronics, vol. 13, no. 6, art. 1103, pp. 1-19, 2024, doi: 10.3390/electronics13061103.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64748B"/>
        <w:sz w:val="17"/>
      </w:rPr>
      <w:t>Patel: Multi-Corpus Speech Emotion Recognition with Audio Behavioural Intelligence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IEEE Transactions on Affective Computing  |  Research Manuscript  |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