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Bdr>
          <w:bottom w:val="single" w:sz="8" w:space="5" w:color="000000"/>
        </w:pBdr>
      </w:pPr>
      <w:r>
        <w:rPr>
          <w:rFonts w:ascii="Times New Roman" w:hAnsi="Times New Roman"/>
          <w:b/>
          <w:color w:val="000000"/>
          <w:sz w:val="18"/>
        </w:rPr>
        <w:t>IEEE TRANSACTIONS ON AFFECTIVE COMPUTING  •  RESEARCH MANUSCRIPT</w:t>
      </w:r>
    </w:p>
    <w:p>
      <w:pPr>
        <w:spacing w:before="120" w:after="160" w:line="288" w:lineRule="auto"/>
        <w:jc w:val="center"/>
      </w:pPr>
      <w:r>
        <w:rPr>
          <w:rFonts w:ascii="Times New Roman" w:hAnsi="Times New Roman"/>
          <w:b/>
          <w:color w:val="000000"/>
          <w:sz w:val="36"/>
        </w:rPr>
        <w:t>Multi-Corpus and Multilingual Speech Emotion Recognition with Audio Behavioural Intelligence: A Cross-Lingual Evaluation and Learnable Weighted Layer Pooling Study</w:t>
      </w:r>
    </w:p>
    <w:p>
      <w:pPr>
        <w:spacing w:before="0" w:after="60"/>
        <w:jc w:val="center"/>
      </w:pPr>
      <w:r>
        <w:rPr>
          <w:rFonts w:ascii="Times New Roman" w:hAnsi="Times New Roman"/>
          <w:b/>
          <w:color w:val="000000"/>
          <w:sz w:val="24"/>
        </w:rPr>
        <w:t>Himanshi Patel</w:t>
      </w:r>
    </w:p>
    <w:p>
      <w:pPr>
        <w:spacing w:before="0" w:after="280"/>
        <w:jc w:val="center"/>
      </w:pPr>
      <w:r>
        <w:rPr>
          <w:rFonts w:ascii="Times New Roman" w:hAnsi="Times New Roman"/>
          <w:i/>
          <w:color w:val="000000"/>
          <w:sz w:val="19"/>
        </w:rPr>
        <w:t>Department of Computer Science and Engineering</w:t>
        <w:br/>
        <w:t>Project Repository: speech_emotion_detection (Branch: develop-v3)  •  E-mail: himanshipatel@academic.edu</w:t>
      </w:r>
    </w:p>
    <w:p>
      <w:pPr>
        <w:spacing w:line="276" w:lineRule="auto" w:before="0" w:after="80"/>
        <w:ind w:left="504" w:right="504"/>
        <w:jc w:val="both"/>
      </w:pPr>
      <w:r>
        <w:rPr>
          <w:rFonts w:ascii="Times New Roman" w:hAnsi="Times New Roman"/>
          <w:b/>
          <w:color w:val="000000"/>
          <w:sz w:val="18"/>
        </w:rPr>
        <w:t xml:space="preserve">Abstract: </w:t>
      </w:r>
      <w:r>
        <w:rPr>
          <w:rFonts w:ascii="Times New Roman" w:hAnsi="Times New Roman"/>
          <w:color w:val="000000"/>
          <w:sz w:val="18"/>
        </w:rPr>
        <w:t>Speech Emotion Recognition (SER) is an active area of investigation within human-computer interaction, psychiatric diagnostics, and automated voice analysis. However, contemporary SER research faces several methodological constraints. First, randomized dataset partitioning causes speaker identity leakage, which inflates experimental accuracy by 15% to 35% compared to real-world performance on novel speakers. Second, deep architectures remain susceptible to acoustic overfitting when trained on constrained speech cohorts. Third, the literature exhibits a pronounced focus on Germanic and Romance languages, offering limited empirical evidence on cross-lingual transferability to morphologically rich Indic languages such as Hindi. Finally, categorical classification schemes fail to provide actionable acoustic metrics concerning speaker vocal dynamics.</w:t>
        <w:br/>
        <w:br/>
        <w:t>To address these limitations, this study presents a standardized empirical evaluation comprising two decoupled experimental protocols across five speech corpora totaling 12,180 standardized audio recordings: (1) a multi-corpus English benchmark combining four established corpora (CREMA-D, RAVDESS, SAVEE, and TESS, totaling 11,318 clips across 121 speakers) to evaluate cross-corpus generalization and layer-pooling dynamics under strict speaker-disjoint splits, and (2) a standalone cross-lingual transfer and native adaptation study on an Indic speech corpus (862 native Hindi utterances across 25 speakers). We enforce speaker-independent partitions (with unseen test actors) and prompt-independent splits (with unseen vocabulary) to prevent data leakage. We implement a Learnable Weighted Layer Pooling mechanism coupled with a linear classification probe across the 12 transformer hidden layers of a frozen self-supervised foundation backbone (HuBERT-Base, training only 4,626 parameters). Empirical probing reveals that intermediate layers (Layers 9 to 11) capture 31.95% of the total emotional discrimination weight (with all 12 layer weights summing strictly to 100.00%), outperforming the final classification layer.</w:t>
        <w:br/>
        <w:br/>
        <w:t>Additionally, cross-lingual transfer from the English multi-corpus foundation model yields 27.62% accuracy and 31.76% Unweighted Average Recall (UAR) on native Hindi speech under a zero-shot regime. Supervised adaptation using a specialized CNN-BiLSTM architecture increases test accuracy to 75.19% and UAR to 70.56%. Furthermore, we introduce an Audio Behaviour Analysis Engine that extracts syllabic speaking rate, pause frequency, root-mean-square (RMS) energy, and fundamental frequency (F0) intonation to generate structured behavioral profiles. The full system is deployed as an Apple Silicon accelerated microservice paired with a minimal web application featuring real-time audio waveform visualization.</w:t>
      </w:r>
    </w:p>
    <w:p>
      <w:pPr>
        <w:spacing w:line="276" w:lineRule="auto" w:before="40" w:after="280"/>
        <w:ind w:left="504" w:right="504"/>
        <w:jc w:val="both"/>
      </w:pPr>
      <w:r>
        <w:rPr>
          <w:rFonts w:ascii="Times New Roman" w:hAnsi="Times New Roman"/>
          <w:b/>
          <w:color w:val="000000"/>
          <w:sz w:val="18"/>
        </w:rPr>
        <w:t xml:space="preserve">Index Terms: </w:t>
      </w:r>
      <w:r>
        <w:rPr>
          <w:rFonts w:ascii="Times New Roman" w:hAnsi="Times New Roman"/>
          <w:color w:val="000000"/>
          <w:sz w:val="18"/>
        </w:rPr>
        <w:t>Speech Emotion Recognition, Self-Supervised Learning, Learnable Layer Pooling, Linear Probe, Hindi Speech Emotion, Cross-Lingual Transfer, Vocal Behaviour, Speaker Disjoint Split, HuBERT, Wav2Vec 2.0, CNN-BiLSTM.</w:t>
      </w:r>
    </w:p>
    <w:p>
      <w:pPr>
        <w:keepNext/>
        <w:spacing w:before="280" w:after="100"/>
        <w:jc w:val="center"/>
      </w:pPr>
      <w:r>
        <w:rPr>
          <w:rFonts w:ascii="Times New Roman" w:hAnsi="Times New Roman"/>
          <w:b/>
          <w:color w:val="000000"/>
          <w:sz w:val="21"/>
        </w:rPr>
        <w:t>I. INTRODUCTION &amp; RESEARCH MOTIVATION</w:t>
      </w:r>
    </w:p>
    <w:p>
      <w:pPr>
        <w:spacing w:line="276" w:lineRule="auto" w:before="0" w:after="60"/>
        <w:ind w:firstLine="288"/>
        <w:jc w:val="both"/>
      </w:pPr>
      <w:r>
        <w:rPr>
          <w:rFonts w:ascii="Times New Roman" w:hAnsi="Times New Roman"/>
          <w:color w:val="000000"/>
          <w:sz w:val="20"/>
        </w:rPr>
        <w:t>Spoken human communication comprises both lexical content (the verbal message) and paralinguistic modulations (vocal tone, cadence, and inflection) [6], [16]. Speech Emotion Recognition (SER) aims to identify affective states (such as anger, joy, sadness, fear, or neutrality) from acoustic speech signals. While automatic speech recognition (ASR) systems have matured significantly, SER remains challenging because emotional expression varies substantially across speakers, regional dialects, and recording conditions [1], [13].</w:t>
      </w:r>
    </w:p>
    <w:p>
      <w:pPr>
        <w:keepNext/>
        <w:spacing w:before="180" w:after="60"/>
        <w:jc w:val="left"/>
      </w:pPr>
      <w:r>
        <w:rPr>
          <w:rFonts w:ascii="Times New Roman" w:hAnsi="Times New Roman"/>
          <w:b/>
          <w:i/>
          <w:color w:val="000000"/>
          <w:sz w:val="20"/>
        </w:rPr>
        <w:t>A. The Problem of Speaker Identity Leakage</w:t>
      </w:r>
    </w:p>
    <w:p>
      <w:pPr>
        <w:spacing w:line="276" w:lineRule="auto" w:before="0" w:after="60"/>
        <w:ind w:firstLine="288"/>
        <w:jc w:val="both"/>
      </w:pPr>
      <w:r>
        <w:rPr>
          <w:rFonts w:ascii="Times New Roman" w:hAnsi="Times New Roman"/>
          <w:color w:val="000000"/>
          <w:sz w:val="20"/>
        </w:rPr>
        <w:t>A critical limitation in existing SER benchmarks is the use of randomized cross-validation [14], [16]. When speech segments from the same speaker appear in both the training and testing partitions, neural models tend to memorize speaker-specific vocal tract characteristics rather than generalizable emotional features. Consequently, models that report over 90% accuracy in random split evaluations frequently suffer substantial performance drops when tested on novel speakers. Valid evaluation necessitates strict speaker-independent partitions in which test speakers are entirely withheld during training [15], [30].</w:t>
      </w:r>
    </w:p>
    <w:p>
      <w:pPr>
        <w:keepNext/>
        <w:spacing w:before="180" w:after="60"/>
        <w:jc w:val="left"/>
      </w:pPr>
      <w:r>
        <w:rPr>
          <w:rFonts w:ascii="Times New Roman" w:hAnsi="Times New Roman"/>
          <w:b/>
          <w:i/>
          <w:color w:val="000000"/>
          <w:sz w:val="20"/>
        </w:rPr>
        <w:t>B. Indic and Low-Resource Language Representation</w:t>
      </w:r>
    </w:p>
    <w:p>
      <w:pPr>
        <w:spacing w:line="276" w:lineRule="auto" w:before="0" w:after="60"/>
        <w:ind w:firstLine="288"/>
        <w:jc w:val="both"/>
      </w:pPr>
      <w:r>
        <w:rPr>
          <w:rFonts w:ascii="Times New Roman" w:hAnsi="Times New Roman"/>
          <w:color w:val="000000"/>
          <w:sz w:val="20"/>
        </w:rPr>
        <w:t>Most accessible SER benchmarks rely on English (e.g., IEMOCAP, RAVDESS, CREMA-D) or German (e.g., EMO-DB) [16], [28]. Indic languages, spoken by over 1.4 billion individuals, remain underrepresented in speech research [1], [3]. Hindi exhibits distinctive phonological properties, including phonemic vowel length contrasts, retroflex consonants, and syllable-timed stress patterns, which diverge from English speech dynamics [2], [4]. Establishing whether pre-trained English acoustic models transfer to Hindi speech, and measuring the quantitative improvement achievable through supervised adaptation, is essential for multilingual affective computing [1], [18].</w:t>
      </w:r>
    </w:p>
    <w:p>
      <w:pPr>
        <w:keepNext/>
        <w:spacing w:before="180" w:after="60"/>
        <w:jc w:val="left"/>
      </w:pPr>
      <w:r>
        <w:rPr>
          <w:rFonts w:ascii="Times New Roman" w:hAnsi="Times New Roman"/>
          <w:b/>
          <w:i/>
          <w:color w:val="000000"/>
          <w:sz w:val="20"/>
        </w:rPr>
        <w:t>C. Integrating Objective Vocal Metrics</w:t>
      </w:r>
    </w:p>
    <w:p>
      <w:pPr>
        <w:spacing w:line="276" w:lineRule="auto" w:before="0" w:after="60"/>
        <w:ind w:firstLine="288"/>
        <w:jc w:val="both"/>
      </w:pPr>
      <w:r>
        <w:rPr>
          <w:rFonts w:ascii="Times New Roman" w:hAnsi="Times New Roman"/>
          <w:color w:val="000000"/>
          <w:sz w:val="20"/>
        </w:rPr>
        <w:t>Standard SER architectures typically output discrete emotion class probabilities, such as P(Happy) = 0.85. However, clinical diagnostic applications, tele-counseling, and automated conversational systems benefit from continuous, interpretable acoustic measurements [5], [11]:</w:t>
      </w:r>
    </w:p>
    <w:p>
      <w:pPr>
        <w:spacing w:before="40" w:after="80"/>
        <w:ind w:left="360"/>
      </w:pPr>
      <w:r>
        <w:rPr>
          <w:rFonts w:ascii="Times New Roman" w:hAnsi="Times New Roman"/>
          <w:color w:val="000000"/>
          <w:sz w:val="19"/>
        </w:rPr>
        <w:t>1. Speech Velocity (syllables per second) indicates psychomotor state.</w:t>
        <w:br/>
        <w:t>2. Pause Frequency and duration reflect hesitation or cognitive processing load.</w:t>
        <w:br/>
        <w:t>3. Vocal Energy Variation indicates engagement level.</w:t>
        <w:br/>
        <w:t>4. Fundamental Pitch (F0) variation differentiates dynamic intonation from flattened vocal affect.</w:t>
      </w:r>
    </w:p>
    <w:p>
      <w:pPr>
        <w:spacing w:line="276" w:lineRule="auto" w:before="0" w:after="60"/>
        <w:ind w:firstLine="288"/>
        <w:jc w:val="both"/>
      </w:pPr>
      <w:r>
        <w:rPr>
          <w:rFonts w:ascii="Times New Roman" w:hAnsi="Times New Roman"/>
          <w:color w:val="000000"/>
          <w:sz w:val="20"/>
        </w:rPr>
        <w:t>Coupling categorical emotion classification with systematic behavioral feature extraction provides a more informative assessment of speech recordings [1], [11].</w:t>
      </w:r>
    </w:p>
    <w:p>
      <w:pPr>
        <w:keepNext/>
        <w:spacing w:before="180" w:after="60"/>
        <w:jc w:val="left"/>
      </w:pPr>
      <w:r>
        <w:rPr>
          <w:rFonts w:ascii="Times New Roman" w:hAnsi="Times New Roman"/>
          <w:b/>
          <w:i/>
          <w:color w:val="000000"/>
          <w:sz w:val="20"/>
        </w:rPr>
        <w:t>D. Research Questions (RQ)</w:t>
      </w:r>
    </w:p>
    <w:p>
      <w:pPr>
        <w:spacing w:line="276" w:lineRule="auto" w:before="0" w:after="60"/>
        <w:ind w:firstLine="288"/>
        <w:jc w:val="both"/>
      </w:pPr>
      <w:r>
        <w:rPr>
          <w:rFonts w:ascii="Times New Roman" w:hAnsi="Times New Roman"/>
          <w:color w:val="000000"/>
          <w:sz w:val="20"/>
        </w:rPr>
        <w:t>This study addresses four primary research questions:</w:t>
      </w:r>
    </w:p>
    <w:p>
      <w:pPr>
        <w:spacing w:before="40" w:after="80"/>
        <w:ind w:left="360"/>
      </w:pPr>
      <w:r>
        <w:rPr>
          <w:rFonts w:ascii="Times New Roman" w:hAnsi="Times New Roman"/>
          <w:color w:val="000000"/>
          <w:sz w:val="19"/>
        </w:rPr>
        <w:t>• RQ1 (Layer Pooling Dynamics): Does learnable weighted pooling across all transformer hidden layers outperform standard mean pooling or top-layer classification, and which layers encode the most discriminative emotional information?</w:t>
        <w:br/>
        <w:t>• RQ2 (Speaker Diversity Law): What is the relationship between the number of training speakers and out-of-domain generalization performance on strictly unseen actors?</w:t>
        <w:br/>
        <w:t>• RQ3 (Cross-Lingual Transfer to Indic Speech): To what degree do English multi-corpus representations transfer zero-shot to native Hindi speech, and what performance gain is achieved via supervised adaptation?</w:t>
        <w:br/>
        <w:t>• RQ4 (Behavioral Telemetry Integration): How effectively do continuous acoustic features (speech tempo, pause ratio, energy, and pitch intonation) correlate with categorical emotion classifications?</w:t>
      </w:r>
    </w:p>
    <w:p>
      <w:pPr>
        <w:keepNext/>
        <w:spacing w:before="280" w:after="100"/>
        <w:jc w:val="center"/>
      </w:pPr>
      <w:r>
        <w:rPr>
          <w:rFonts w:ascii="Times New Roman" w:hAnsi="Times New Roman"/>
          <w:b/>
          <w:color w:val="000000"/>
          <w:sz w:val="21"/>
        </w:rPr>
        <w:t>II. RELATED WORK &amp; LITERATURE SURVEY</w:t>
      </w:r>
    </w:p>
    <w:p>
      <w:pPr>
        <w:spacing w:line="276" w:lineRule="auto" w:before="0" w:after="60"/>
        <w:ind w:firstLine="288"/>
        <w:jc w:val="both"/>
      </w:pPr>
      <w:r>
        <w:rPr>
          <w:rFonts w:ascii="Times New Roman" w:hAnsi="Times New Roman"/>
          <w:color w:val="000000"/>
          <w:sz w:val="20"/>
        </w:rPr>
        <w:t>This investigation synthesizes 39 peer-reviewed publications across four core theoretical domains:</w:t>
      </w:r>
    </w:p>
    <w:p>
      <w:pPr>
        <w:keepNext/>
        <w:spacing w:before="180" w:after="60"/>
        <w:jc w:val="left"/>
      </w:pPr>
      <w:r>
        <w:rPr>
          <w:rFonts w:ascii="Times New Roman" w:hAnsi="Times New Roman"/>
          <w:b/>
          <w:i/>
          <w:color w:val="000000"/>
          <w:sz w:val="20"/>
        </w:rPr>
        <w:t>A. Indic and Hindi Speech Emotion Recognition</w:t>
      </w:r>
    </w:p>
    <w:p>
      <w:pPr>
        <w:spacing w:line="276" w:lineRule="auto" w:before="0" w:after="60"/>
        <w:ind w:firstLine="288"/>
        <w:jc w:val="both"/>
      </w:pPr>
      <w:r>
        <w:rPr>
          <w:rFonts w:ascii="Times New Roman" w:hAnsi="Times New Roman"/>
          <w:color w:val="000000"/>
          <w:sz w:val="20"/>
        </w:rPr>
        <w:t>Early speech emotion recognition research in India relied predominantly on small private datasets evaluated with conventional classifiers such as Support Vector Machines (SVM) and Multi-Layer Perceptrons [4], [18]. Kotian and Singh (2026) [1] demonstrated that concatenating prosodic-behavioral descriptors (speaking rate, pitch perturbation, pause ratio, and energy dynamics) with spectral features increased classification accuracy to 83.9% and Macro-F1 to 0.81 on Hindi speech. In a subsequent benchmarking study, Kotian and Singh (2026) [2] compared classical, deep learning, and transformer architectures, finding that CNN-BiLSTM networks provided an optimal balance of accuracy and computational efficiency for Hindi speech under constrained sample sizes.</w:t>
      </w:r>
    </w:p>
    <w:p>
      <w:pPr>
        <w:spacing w:line="276" w:lineRule="auto" w:before="0" w:after="60"/>
        <w:ind w:firstLine="288"/>
        <w:jc w:val="both"/>
      </w:pPr>
      <w:r>
        <w:rPr>
          <w:rFonts w:ascii="Times New Roman" w:hAnsi="Times New Roman"/>
          <w:color w:val="000000"/>
          <w:sz w:val="20"/>
        </w:rPr>
        <w:t>Chauhan and Sharma (2023) [3] introduced the MNITJ-SEHSD database, standardizing an Indic emotion corpus and highlighting acoustic overlap between anger and disgust resulting from shared high vocal intensity. Kawade and Jagtap (2024) [5] evaluated cross-lingual acoustic modeling across Hindi, Marathi, and Tamil, observing that while global pitch trends transfer across languages, syllable timing and vowel nasalization require local supervised fine-tuning.</w:t>
      </w:r>
    </w:p>
    <w:p>
      <w:pPr>
        <w:keepNext/>
        <w:spacing w:before="180" w:after="60"/>
        <w:jc w:val="left"/>
      </w:pPr>
      <w:r>
        <w:rPr>
          <w:rFonts w:ascii="Times New Roman" w:hAnsi="Times New Roman"/>
          <w:b/>
          <w:i/>
          <w:color w:val="000000"/>
          <w:sz w:val="20"/>
        </w:rPr>
        <w:t>B. Self-Supervised Speech Representation Models</w:t>
      </w:r>
    </w:p>
    <w:p>
      <w:pPr>
        <w:spacing w:line="276" w:lineRule="auto" w:before="0" w:after="60"/>
        <w:ind w:firstLine="288"/>
        <w:jc w:val="both"/>
      </w:pPr>
      <w:r>
        <w:rPr>
          <w:rFonts w:ascii="Times New Roman" w:hAnsi="Times New Roman"/>
          <w:color w:val="000000"/>
          <w:sz w:val="20"/>
        </w:rPr>
        <w:t>Self-supervised learning has established powerful baseline representations for speech tasks. Models such as Wav2Vec 2.0 (Baevski et al., 2020) [9] and HuBERT (Hsu et al., 2021) [8] learn representations from thousands of hours of unlabeled audio through contrastive loss or masked cluster prediction. However, recent studies by Ma et al. on emotion2vec [6] and Chen et al. on BEATs [7] demonstrate that standard speech models optimize for phonetic invariance, which can suppress emotional cues in upper transformer layers. Probing studies by Pasad et al. (2021) [24] confirmed that acoustic and prosodic properties are concentrated within intermediate transformer layers, whereas the final layers focus on lexical identity. These findings motivate the Learnable Weighted Layer Pooling approach used in this work.</w:t>
      </w:r>
    </w:p>
    <w:p>
      <w:pPr>
        <w:keepNext/>
        <w:spacing w:before="180" w:after="60"/>
        <w:jc w:val="left"/>
      </w:pPr>
      <w:r>
        <w:rPr>
          <w:rFonts w:ascii="Times New Roman" w:hAnsi="Times New Roman"/>
          <w:b/>
          <w:i/>
          <w:color w:val="000000"/>
          <w:sz w:val="20"/>
        </w:rPr>
        <w:t>C. Vocal Behavioural Feature Integration</w:t>
      </w:r>
    </w:p>
    <w:p>
      <w:pPr>
        <w:spacing w:line="276" w:lineRule="auto" w:before="0" w:after="60"/>
        <w:ind w:firstLine="288"/>
        <w:jc w:val="both"/>
      </w:pPr>
      <w:r>
        <w:rPr>
          <w:rFonts w:ascii="Times New Roman" w:hAnsi="Times New Roman"/>
          <w:color w:val="000000"/>
          <w:sz w:val="20"/>
        </w:rPr>
        <w:t>Standardized acoustic parameter sets have long provided interpretable metrics for speech analysis. Eyben et al. (2016) defined the Geneva Minimalistic Acoustic Parameter Set (eGeMAPS) [12], standardizing 88 acoustic descriptors across frequency, energy, and temporal domains. Chowdhury et al. (2025) [11] showed that integrating acoustic prosody with deep learning architectures improved diagnostic reliability in clinical speech evaluations.</w:t>
      </w:r>
    </w:p>
    <w:p>
      <w:pPr>
        <w:keepNext/>
        <w:spacing w:before="180" w:after="60"/>
        <w:jc w:val="left"/>
      </w:pPr>
      <w:r>
        <w:rPr>
          <w:rFonts w:ascii="Times New Roman" w:hAnsi="Times New Roman"/>
          <w:b/>
          <w:i/>
          <w:color w:val="000000"/>
          <w:sz w:val="20"/>
        </w:rPr>
        <w:t>D. Speaker Disjoint Protocols and Generalization</w:t>
      </w:r>
    </w:p>
    <w:p>
      <w:pPr>
        <w:spacing w:line="276" w:lineRule="auto" w:before="0" w:after="60"/>
        <w:ind w:firstLine="288"/>
        <w:jc w:val="both"/>
      </w:pPr>
      <w:r>
        <w:rPr>
          <w:rFonts w:ascii="Times New Roman" w:hAnsi="Times New Roman"/>
          <w:color w:val="000000"/>
          <w:sz w:val="20"/>
        </w:rPr>
        <w:t>Wang and Yang (2025) [14] examined the effect of speaker identity leakage in SER, showing that random train/test splits can inflate accuracy scores by up to 34.2 percentage points because classifiers exploit speaker-specific spectral patterns. Hashem et al. (2023) [15] and Akcay and Oguz (2020) [16] similarly emphasized that only speaker-disjoint evaluation protocols reflect genuine clinical or real-world capability.</w:t>
      </w:r>
    </w:p>
    <w:p>
      <w:pPr>
        <w:keepNext/>
        <w:spacing w:before="280" w:after="100"/>
        <w:jc w:val="center"/>
      </w:pPr>
      <w:r>
        <w:rPr>
          <w:rFonts w:ascii="Times New Roman" w:hAnsi="Times New Roman"/>
          <w:b/>
          <w:color w:val="000000"/>
          <w:sz w:val="21"/>
        </w:rPr>
        <w:t>III. DATASET ECOSYSTEM &amp; PARTITIONING PROTOCOLS</w:t>
      </w:r>
    </w:p>
    <w:p>
      <w:pPr>
        <w:spacing w:line="276" w:lineRule="auto" w:before="0" w:after="60"/>
        <w:ind w:firstLine="288"/>
        <w:jc w:val="both"/>
      </w:pPr>
      <w:r>
        <w:rPr>
          <w:rFonts w:ascii="Times New Roman" w:hAnsi="Times New Roman"/>
          <w:color w:val="000000"/>
          <w:sz w:val="20"/>
        </w:rPr>
        <w:t>To ensure rigorous evaluation, five distinct corpora comprising 12,180 audio files were curated, preprocessed, and partitioned. Audio files were resampled to a standardized format: 16,000 Hz sampling rate, single-channel (mono), 16-bit PCM WAV, with Voice Activity Detection (VAD) silence trimming and amplitude normalization. Table I summarizes the dataset ecosystem.</w:t>
      </w:r>
    </w:p>
    <w:p>
      <w:pPr>
        <w:spacing w:before="160" w:after="40"/>
        <w:jc w:val="center"/>
      </w:pPr>
      <w:r>
        <w:rPr>
          <w:rFonts w:ascii="Times New Roman" w:hAnsi="Times New Roman"/>
          <w:b/>
          <w:color w:val="000000"/>
          <w:sz w:val="18"/>
        </w:rPr>
        <w:t>TABLE I</w:t>
        <w:br/>
      </w:r>
      <w:r>
        <w:rPr>
          <w:rFonts w:ascii="Times New Roman" w:hAnsi="Times New Roman"/>
          <w:color w:val="000000"/>
          <w:sz w:val="16"/>
        </w:rPr>
        <w:t>STANDARDIZED DATASET ECOSYSTEM AND PARTITIONING SPECIFICATIONS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560"/>
        <w:gridCol w:w="1560"/>
        <w:gridCol w:w="1560"/>
        <w:gridCol w:w="1560"/>
        <w:gridCol w:w="1560"/>
        <w:gridCol w:w="1560"/>
      </w:tblGrid>
      <w:tr>
        <w:tc>
          <w:tcPr>
            <w:tcW w:type="dxa" w:w="1560"/>
            <w:tcMar>
              <w:top w:w="60" w:type="dxa"/>
              <w:bottom w:w="60" w:type="dxa"/>
              <w:left w:w="80" w:type="dxa"/>
              <w:right w:w="80" w:type="dxa"/>
            </w:tcMar>
          </w:tcPr>
          <w:p>
            <w:pPr>
              <w:spacing w:before="40" w:after="40"/>
            </w:pPr>
            <w:r>
              <w:rPr>
                <w:rFonts w:ascii="Times New Roman" w:hAnsi="Times New Roman"/>
                <w:b/>
                <w:color w:val="000000"/>
                <w:sz w:val="17"/>
              </w:rPr>
              <w:t>Corpus</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Utterances</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Language</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Speakers / Scope</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Split Protocol</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Classes</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CREMA-D</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7,442</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English (US)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91 Diverse Actors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Actor-Disjoint (13 Unseen)</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6 Classes</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RAVDESS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1,440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English (NA)</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24 Professional Actors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Actor-Disjoint (4 Unseen)</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8 Classes</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SAVEE</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480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English (UK)</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4 British Actors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Actor-Disjoint (1 Unseen)</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 Classes</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TESS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2,800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English (CA)</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2 Actresses, 200 Words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Prompt-Disjoint (30 Words)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 Classes</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Hindi SER</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862</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Hindi (Indic)</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25 Native Speakers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Disjoint Split</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5 Classes</w:t>
            </w:r>
          </w:p>
        </w:tc>
      </w:tr>
      <w:tr>
        <w:tc>
          <w:tcPr>
            <w:tcW w:type="dxa" w:w="1560"/>
            <w:tcMar>
              <w:top w:w="60" w:type="dxa"/>
              <w:bottom w:w="60" w:type="dxa"/>
              <w:left w:w="80" w:type="dxa"/>
              <w:right w:w="80" w:type="dxa"/>
            </w:tcMar>
          </w:tcPr>
          <w:p>
            <w:pPr>
              <w:spacing w:before="40" w:after="40"/>
            </w:pPr>
            <w:r>
              <w:rPr>
                <w:rFonts w:ascii="Times New Roman" w:hAnsi="Times New Roman"/>
                <w:b/>
                <w:color w:val="000000"/>
                <w:sz w:val="17"/>
              </w:rPr>
              <w:t>Total</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12,180</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Multilingual</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121+ Total Speakers</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Strict Zero Leakage</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Canonical Maps</w:t>
            </w:r>
          </w:p>
        </w:tc>
      </w:tr>
    </w:tbl>
    <w:p>
      <w:pPr>
        <w:spacing w:after="80"/>
      </w:pPr>
    </w:p>
    <w:p>
      <w:pPr>
        <w:keepNext/>
        <w:spacing w:before="280" w:after="100"/>
        <w:jc w:val="center"/>
      </w:pPr>
      <w:r>
        <w:rPr>
          <w:rFonts w:ascii="Times New Roman" w:hAnsi="Times New Roman"/>
          <w:b/>
          <w:color w:val="000000"/>
          <w:sz w:val="21"/>
        </w:rPr>
        <w:t>IV. METHODOLOGY &amp; MODEL ARCHITECTURE</w:t>
      </w:r>
    </w:p>
    <w:p>
      <w:pPr>
        <w:spacing w:line="276" w:lineRule="auto" w:before="0" w:after="60"/>
        <w:ind w:firstLine="288"/>
        <w:jc w:val="both"/>
      </w:pPr>
      <w:r>
        <w:rPr>
          <w:rFonts w:ascii="Times New Roman" w:hAnsi="Times New Roman"/>
          <w:color w:val="000000"/>
          <w:sz w:val="20"/>
        </w:rPr>
        <w:t>The system architecture features a dual-branch processing pipeline: (1) a Neural Acoustic Classifier Branch processing audio through pre-trained self-supervised transformer backbones with learnable weighted layer pooling or CNN-BiLSTM networks, and (2) an Audio Behaviour Analysis Engine extracting continuous prosodic and temporal dynamics (F0 intonation, syllabic tempo, pause frequency, and RMS loudness).</w:t>
      </w:r>
    </w:p>
    <w:p>
      <w:pPr>
        <w:spacing w:before="160" w:after="60"/>
        <w:jc w:val="center"/>
      </w:pPr>
      <w:r>
        <w:drawing>
          <wp:inline xmlns:a="http://schemas.openxmlformats.org/drawingml/2006/main" xmlns:pic="http://schemas.openxmlformats.org/drawingml/2006/picture">
            <wp:extent cx="5486400" cy="2516015"/>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486400" cy="2516015"/>
                    </a:xfrm>
                    <a:prstGeom prst="rect"/>
                  </pic:spPr>
                </pic:pic>
              </a:graphicData>
            </a:graphic>
          </wp:inline>
        </w:drawing>
      </w:r>
    </w:p>
    <w:p>
      <w:pPr>
        <w:spacing w:before="40" w:after="200"/>
        <w:ind w:left="432" w:right="432"/>
        <w:jc w:val="center"/>
      </w:pPr>
      <w:r>
        <w:rPr>
          <w:rFonts w:ascii="Times New Roman" w:hAnsi="Times New Roman"/>
          <w:i/>
          <w:color w:val="000000"/>
          <w:sz w:val="17"/>
        </w:rPr>
        <w:t>Fig. 1.  End-to-End System Architecture with Dual-Branch Behavioural Prosody and Neural Classification Pipeline.</w:t>
      </w:r>
    </w:p>
    <w:p>
      <w:pPr>
        <w:keepNext/>
        <w:spacing w:before="180" w:after="60"/>
        <w:jc w:val="left"/>
      </w:pPr>
      <w:r>
        <w:rPr>
          <w:rFonts w:ascii="Times New Roman" w:hAnsi="Times New Roman"/>
          <w:b/>
          <w:i/>
          <w:color w:val="000000"/>
          <w:sz w:val="20"/>
        </w:rPr>
        <w:t>A. Learnable Weighted Layer Pooling</w:t>
      </w:r>
    </w:p>
    <w:p>
      <w:pPr>
        <w:spacing w:line="276" w:lineRule="auto" w:before="0" w:after="60"/>
        <w:ind w:firstLine="288"/>
        <w:jc w:val="both"/>
      </w:pPr>
      <w:r>
        <w:rPr>
          <w:rFonts w:ascii="Times New Roman" w:hAnsi="Times New Roman"/>
          <w:color w:val="000000"/>
          <w:sz w:val="20"/>
        </w:rPr>
        <w:t>Rather than using mean pooling over time and layers or relying exclusively on the final transformer output, we implement Learnable Weighted Layer Pooling across all L = 12 transformer hidden representations h_t^(l) in R^D (l in {1, ..., L}):</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8208"/>
        <w:gridCol w:w="1152"/>
      </w:tblGrid>
      <w:tr>
        <w:tc>
          <w:tcPr>
            <w:tcW w:type="dxa" w:w="4680"/>
          </w:tcPr>
          <w:p>
            <w:pPr>
              <w:spacing w:before="60" w:after="60"/>
              <w:jc w:val="center"/>
            </w:pPr>
            <m:oMathPara>
              <m:oMath>
                <m:sSub>
                  <m:e>
                    <m:r>
                      <m:rPr>
                        <m:sty m:val="b"/>
                      </m:rPr>
                      <m:t>e</m:t>
                    </m:r>
                  </m:e>
                  <m:sub>
                    <m:r>
                      <m:t>t</m:t>
                    </m:r>
                  </m:sub>
                </m:sSub>
                <m:r>
                  <m:t> = </m:t>
                </m:r>
                <m:nary>
                  <m:naryPr>
                    <m:chr m:val="∑"/>
                    <m:limLoc m:val="undOvr"/>
                  </m:naryPr>
                  <m:sub>
                    <m:r>
                      <m:t>l=1</m:t>
                    </m:r>
                  </m:sub>
                  <m:sup>
                    <m:r>
                      <m:t>L</m:t>
                    </m:r>
                  </m:sup>
                  <m:e>
                    <m:sSub>
                      <m:e>
                        <m:r>
                          <m:t>α</m:t>
                        </m:r>
                      </m:e>
                      <m:sub>
                        <m:r>
                          <m:t>l</m:t>
                        </m:r>
                      </m:sub>
                    </m:sSub>
                    <m:sSubSup>
                      <m:e>
                        <m:r>
                          <m:rPr>
                            <m:sty m:val="b"/>
                          </m:rPr>
                          <m:t>h</m:t>
                        </m:r>
                      </m:e>
                      <m:sub>
                        <m:r>
                          <m:t>t</m:t>
                        </m:r>
                      </m:sub>
                      <m:sup>
                        <m:r>
                          <m:t>(l)</m:t>
                        </m:r>
                      </m:sup>
                    </m:sSubSup>
                  </m:e>
                </m:nary>
                <m:r>
                  <m:t>,   where   </m:t>
                </m:r>
                <m:sSub>
                  <m:e>
                    <m:r>
                      <m:t>α</m:t>
                    </m:r>
                  </m:e>
                  <m:sub>
                    <m:r>
                      <m:t>l</m:t>
                    </m:r>
                  </m:sub>
                </m:sSub>
                <m:r>
                  <m:t> = </m:t>
                </m:r>
                <m:f>
                  <m:num>
                    <m:r>
                      <m:t>exp(</m:t>
                    </m:r>
                    <m:sSub>
                      <m:e>
                        <m:r>
                          <m:t>w</m:t>
                        </m:r>
                      </m:e>
                      <m:sub>
                        <m:r>
                          <m:t>l</m:t>
                        </m:r>
                      </m:sub>
                    </m:sSub>
                    <m:r>
                      <m:t>)</m:t>
                    </m:r>
                  </m:num>
                  <m:den>
                    <m:nary>
                      <m:naryPr>
                        <m:chr m:val="∑"/>
                        <m:limLoc m:val="undOvr"/>
                      </m:naryPr>
                      <m:sub>
                        <m:r>
                          <m:t>j=1</m:t>
                        </m:r>
                      </m:sub>
                      <m:sup>
                        <m:r>
                          <m:t>L</m:t>
                        </m:r>
                      </m:sup>
                      <m:e>
                        <m:r>
                          <m:t>exp(</m:t>
                        </m:r>
                        <m:sSub>
                          <m:e>
                            <m:r>
                              <m:t>w</m:t>
                            </m:r>
                          </m:e>
                          <m:sub>
                            <m:r>
                              <m:t>j</m:t>
                            </m:r>
                          </m:sub>
                        </m:sSub>
                        <m:r>
                          <m:t>)</m:t>
                        </m:r>
                      </m:e>
                    </m:nary>
                  </m:den>
                </m:f>
              </m:oMath>
            </m:oMathPara>
          </w:p>
        </w:tc>
        <w:tc>
          <w:tcPr>
            <w:tcW w:type="dxa" w:w="4680"/>
          </w:tcPr>
          <w:p>
            <w:pPr>
              <w:spacing w:before="60" w:after="60"/>
              <w:jc w:val="right"/>
            </w:pPr>
            <w:r>
              <w:rPr>
                <w:rFonts w:ascii="Times New Roman" w:hAnsi="Times New Roman"/>
                <w:color w:val="000000"/>
                <w:sz w:val="20"/>
              </w:rPr>
              <w:t>(1)</w:t>
            </w:r>
          </w:p>
        </w:tc>
      </w:tr>
    </w:tbl>
    <w:p>
      <w:pPr>
        <w:spacing w:after="40"/>
      </w:pPr>
    </w:p>
    <w:p>
      <w:pPr>
        <w:spacing w:line="276" w:lineRule="auto" w:before="0" w:after="60"/>
        <w:ind w:firstLine="288"/>
        <w:jc w:val="both"/>
      </w:pPr>
      <w:r>
        <w:rPr>
          <w:rFonts w:ascii="Times New Roman" w:hAnsi="Times New Roman"/>
          <w:color w:val="000000"/>
          <w:sz w:val="20"/>
        </w:rPr>
        <w:t>Here, w in R^L is a learnable parameter vector initialized uniformly (w_l = 0), and alpha in R^L represents the normalized layer weighting. After computing the layer-weighted sequence e_t, temporal statistics (mean and standard deviation) are concatenated:</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8208"/>
        <w:gridCol w:w="1152"/>
      </w:tblGrid>
      <w:tr>
        <w:tc>
          <w:tcPr>
            <w:tcW w:type="dxa" w:w="4680"/>
          </w:tcPr>
          <w:p>
            <w:pPr>
              <w:spacing w:before="60" w:after="60"/>
              <w:jc w:val="center"/>
            </w:pPr>
            <m:oMathPara>
              <m:oMath>
                <m:r>
                  <m:rPr>
                    <m:sty m:val="b"/>
                  </m:rPr>
                  <m:t>r</m:t>
                </m:r>
                <m:r>
                  <m:t> = </m:t>
                </m:r>
                <m:d>
                  <m:dPr>
                    <m:begChr m:val="["/>
                    <m:endChr m:val="]"/>
                  </m:dPr>
                  <m:e>
                    <m:f>
                      <m:num>
                        <m:r>
                          <m:t>1</m:t>
                        </m:r>
                      </m:num>
                      <m:den>
                        <m:r>
                          <m:t>T</m:t>
                        </m:r>
                      </m:den>
                    </m:f>
                    <m:nary>
                      <m:naryPr>
                        <m:chr m:val="∑"/>
                        <m:limLoc m:val="undOvr"/>
                      </m:naryPr>
                      <m:sub>
                        <m:r>
                          <m:t>t=1</m:t>
                        </m:r>
                      </m:sub>
                      <m:sup>
                        <m:r>
                          <m:t>T</m:t>
                        </m:r>
                      </m:sup>
                      <m:e>
                        <m:sSub>
                          <m:e>
                            <m:r>
                              <m:rPr>
                                <m:sty m:val="b"/>
                              </m:rPr>
                              <m:t>e</m:t>
                            </m:r>
                          </m:e>
                          <m:sub>
                            <m:r>
                              <m:t>t</m:t>
                            </m:r>
                          </m:sub>
                        </m:sSub>
                      </m:e>
                    </m:nary>
                    <m:r>
                      <m:t>   ‖   </m:t>
                    </m:r>
                    <m:rad>
                      <m:radPr>
                        <m:degHide m:val="1"/>
                      </m:radPr>
                      <m:deg/>
                      <m:e>
                        <m:f>
                          <m:num>
                            <m:r>
                              <m:t>1</m:t>
                            </m:r>
                          </m:num>
                          <m:den>
                            <m:r>
                              <m:t>T</m:t>
                            </m:r>
                          </m:den>
                        </m:f>
                        <m:nary>
                          <m:naryPr>
                            <m:chr m:val="∑"/>
                            <m:limLoc m:val="undOvr"/>
                          </m:naryPr>
                          <m:sub>
                            <m:r>
                              <m:t>t=1</m:t>
                            </m:r>
                          </m:sub>
                          <m:sup>
                            <m:r>
                              <m:t>T</m:t>
                            </m:r>
                          </m:sup>
                          <m:e>
                            <m:sSup>
                              <m:e>
                                <m:d>
                                  <m:dPr>
                                    <m:begChr m:val="("/>
                                    <m:endChr m:val=")"/>
                                  </m:dPr>
                                  <m:e>
                                    <m:sSub>
                                      <m:e>
                                        <m:r>
                                          <m:rPr>
                                            <m:sty m:val="b"/>
                                          </m:rPr>
                                          <m:t>e</m:t>
                                        </m:r>
                                      </m:e>
                                      <m:sub>
                                        <m:r>
                                          <m:t>t</m:t>
                                        </m:r>
                                      </m:sub>
                                    </m:sSub>
                                    <m:r>
                                      <m:t> - </m:t>
                                    </m:r>
                                    <m:bar>
                                      <m:barPr>
                                        <m:pos m:val="top"/>
                                      </m:barPr>
                                      <m:e>
                                        <m:r>
                                          <m:rPr>
                                            <m:sty m:val="b"/>
                                          </m:rPr>
                                          <m:t>e</m:t>
                                        </m:r>
                                      </m:e>
                                    </m:bar>
                                  </m:e>
                                </m:d>
                              </m:e>
                              <m:sup>
                                <m:r>
                                  <m:t>2</m:t>
                                </m:r>
                              </m:sup>
                            </m:sSup>
                          </m:e>
                        </m:nary>
                      </m:e>
                    </m:rad>
                  </m:e>
                </m:d>
                <m:r>
                  <m:t> ∈ </m:t>
                </m:r>
                <m:sSup>
                  <m:e>
                    <m:r>
                      <m:t>ℝ</m:t>
                    </m:r>
                  </m:e>
                  <m:sup>
                    <m:r>
                      <m:t>2D</m:t>
                    </m:r>
                  </m:sup>
                </m:sSup>
              </m:oMath>
            </m:oMathPara>
          </w:p>
        </w:tc>
        <w:tc>
          <w:tcPr>
            <w:tcW w:type="dxa" w:w="4680"/>
          </w:tcPr>
          <w:p>
            <w:pPr>
              <w:spacing w:before="60" w:after="60"/>
              <w:jc w:val="right"/>
            </w:pPr>
            <w:r>
              <w:rPr>
                <w:rFonts w:ascii="Times New Roman" w:hAnsi="Times New Roman"/>
                <w:color w:val="000000"/>
                <w:sz w:val="20"/>
              </w:rPr>
              <w:t>(2)</w:t>
            </w:r>
          </w:p>
        </w:tc>
      </w:tr>
    </w:tbl>
    <w:p>
      <w:pPr>
        <w:spacing w:after="40"/>
      </w:pPr>
    </w:p>
    <w:p>
      <w:pPr>
        <w:spacing w:line="276" w:lineRule="auto" w:before="0" w:after="60"/>
        <w:ind w:firstLine="288"/>
        <w:jc w:val="both"/>
      </w:pPr>
      <w:r>
        <w:rPr>
          <w:rFonts w:ascii="Times New Roman" w:hAnsi="Times New Roman"/>
          <w:color w:val="000000"/>
          <w:sz w:val="20"/>
        </w:rPr>
        <w:t>This representation is projected through a linear classification probe:</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8208"/>
        <w:gridCol w:w="1152"/>
      </w:tblGrid>
      <w:tr>
        <w:tc>
          <w:tcPr>
            <w:tcW w:type="dxa" w:w="4680"/>
          </w:tcPr>
          <w:p>
            <w:pPr>
              <w:spacing w:before="60" w:after="60"/>
              <w:jc w:val="center"/>
            </w:pPr>
            <m:oMathPara>
              <m:oMath>
                <m:acc>
                  <m:accPr>
                    <m:chr m:val="^"/>
                  </m:accPr>
                  <m:e>
                    <m:r>
                      <m:rPr>
                        <m:sty m:val="b"/>
                      </m:rPr>
                      <m:t>y</m:t>
                    </m:r>
                  </m:e>
                </m:acc>
                <m:r>
                  <m:t> = Softmax</m:t>
                </m:r>
                <m:d>
                  <m:dPr>
                    <m:begChr m:val="("/>
                    <m:endChr m:val=")"/>
                  </m:dPr>
                  <m:e>
                    <m:sSub>
                      <m:e>
                        <m:r>
                          <m:rPr>
                            <m:sty m:val="b"/>
                          </m:rPr>
                          <m:t>W</m:t>
                        </m:r>
                      </m:e>
                      <m:sub>
                        <m:r>
                          <m:t>c</m:t>
                        </m:r>
                      </m:sub>
                    </m:sSub>
                    <m:r>
                      <m:rPr>
                        <m:sty m:val="b"/>
                      </m:rPr>
                      <m:t>r</m:t>
                    </m:r>
                    <m:r>
                      <m:t> + </m:t>
                    </m:r>
                    <m:sSub>
                      <m:e>
                        <m:r>
                          <m:rPr>
                            <m:sty m:val="b"/>
                          </m:rPr>
                          <m:t>b</m:t>
                        </m:r>
                      </m:e>
                      <m:sub>
                        <m:r>
                          <m:t>c</m:t>
                        </m:r>
                      </m:sub>
                    </m:sSub>
                  </m:e>
                </m:d>
              </m:oMath>
            </m:oMathPara>
          </w:p>
        </w:tc>
        <w:tc>
          <w:tcPr>
            <w:tcW w:type="dxa" w:w="4680"/>
          </w:tcPr>
          <w:p>
            <w:pPr>
              <w:spacing w:before="60" w:after="60"/>
              <w:jc w:val="right"/>
            </w:pPr>
            <w:r>
              <w:rPr>
                <w:rFonts w:ascii="Times New Roman" w:hAnsi="Times New Roman"/>
                <w:color w:val="000000"/>
                <w:sz w:val="20"/>
              </w:rPr>
              <w:t>(3)</w:t>
            </w:r>
          </w:p>
        </w:tc>
      </w:tr>
    </w:tbl>
    <w:p>
      <w:pPr>
        <w:spacing w:after="40"/>
      </w:pPr>
    </w:p>
    <w:p>
      <w:pPr>
        <w:keepNext/>
        <w:spacing w:before="180" w:after="60"/>
        <w:jc w:val="left"/>
      </w:pPr>
      <w:r>
        <w:rPr>
          <w:rFonts w:ascii="Times New Roman" w:hAnsi="Times New Roman"/>
          <w:b/>
          <w:i/>
          <w:color w:val="000000"/>
          <w:sz w:val="20"/>
        </w:rPr>
        <w:t>B. Audio Behaviour Engine Telemetry</w:t>
      </w:r>
    </w:p>
    <w:p>
      <w:pPr>
        <w:spacing w:line="276" w:lineRule="auto" w:before="0" w:after="60"/>
        <w:ind w:firstLine="288"/>
        <w:jc w:val="both"/>
      </w:pPr>
      <w:r>
        <w:rPr>
          <w:rFonts w:ascii="Times New Roman" w:hAnsi="Times New Roman"/>
          <w:color w:val="000000"/>
          <w:sz w:val="20"/>
        </w:rPr>
        <w:t>The Behaviour Engine calculates four primary continuous acoustic descriptors: (1) Syllabic Speaking Speed (R_speech = N_syl / T_active in syllables/second), (2) Pause Frequency and Silence Ratio (P_ratio = T_silence / T_total * 100%), (3) Vocal Energy Dynamics (RMS_dB = 20 * log10(RMS_t + eps)), and (4) Fundamental Frequency Intonation (F0) computed via the probabilistic YIN (pYIN) algorithm [29].</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8208"/>
        <w:gridCol w:w="1152"/>
      </w:tblGrid>
      <w:tr>
        <w:tc>
          <w:tcPr>
            <w:tcW w:type="dxa" w:w="4680"/>
          </w:tcPr>
          <w:p>
            <w:pPr>
              <w:spacing w:before="60" w:after="60"/>
              <w:jc w:val="center"/>
            </w:pPr>
            <m:oMathPara>
              <m:oMath>
                <m:sSub>
                  <m:e>
                    <m:r>
                      <m:t>R</m:t>
                    </m:r>
                  </m:e>
                  <m:sub>
                    <m:r>
                      <m:t>speech</m:t>
                    </m:r>
                  </m:sub>
                </m:sSub>
                <m:r>
                  <m:t> = </m:t>
                </m:r>
                <m:f>
                  <m:num>
                    <m:sSub>
                      <m:e>
                        <m:r>
                          <m:t>N</m:t>
                        </m:r>
                      </m:e>
                      <m:sub>
                        <m:r>
                          <m:t>syl</m:t>
                        </m:r>
                      </m:sub>
                    </m:sSub>
                  </m:num>
                  <m:den>
                    <m:sSub>
                      <m:e>
                        <m:r>
                          <m:t>T</m:t>
                        </m:r>
                      </m:e>
                      <m:sub>
                        <m:r>
                          <m:t>active</m:t>
                        </m:r>
                      </m:sub>
                    </m:sSub>
                  </m:den>
                </m:f>
                <m:r>
                  <m:t>  (syl/s),    </m:t>
                </m:r>
                <m:sSub>
                  <m:e>
                    <m:r>
                      <m:t>P</m:t>
                    </m:r>
                  </m:e>
                  <m:sub>
                    <m:r>
                      <m:t>ratio</m:t>
                    </m:r>
                  </m:sub>
                </m:sSub>
                <m:r>
                  <m:t> = </m:t>
                </m:r>
                <m:f>
                  <m:num>
                    <m:sSub>
                      <m:e>
                        <m:r>
                          <m:t>T</m:t>
                        </m:r>
                      </m:e>
                      <m:sub>
                        <m:r>
                          <m:t>silence</m:t>
                        </m:r>
                      </m:sub>
                    </m:sSub>
                  </m:num>
                  <m:den>
                    <m:sSub>
                      <m:e>
                        <m:r>
                          <m:t>T</m:t>
                        </m:r>
                      </m:e>
                      <m:sub>
                        <m:r>
                          <m:t>total</m:t>
                        </m:r>
                      </m:sub>
                    </m:sSub>
                  </m:den>
                </m:f>
                <m:r>
                  <m:t> × 100%</m:t>
                </m:r>
              </m:oMath>
            </m:oMathPara>
          </w:p>
        </w:tc>
        <w:tc>
          <w:tcPr>
            <w:tcW w:type="dxa" w:w="4680"/>
          </w:tcPr>
          <w:p>
            <w:pPr>
              <w:spacing w:before="60" w:after="60"/>
              <w:jc w:val="right"/>
            </w:pPr>
            <w:r>
              <w:rPr>
                <w:rFonts w:ascii="Times New Roman" w:hAnsi="Times New Roman"/>
                <w:color w:val="000000"/>
                <w:sz w:val="20"/>
              </w:rPr>
              <w:t>(4)</w:t>
            </w:r>
          </w:p>
        </w:tc>
      </w:tr>
    </w:tbl>
    <w:p>
      <w:pPr>
        <w:spacing w:after="40"/>
      </w:pP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8208"/>
        <w:gridCol w:w="1152"/>
      </w:tblGrid>
      <w:tr>
        <w:tc>
          <w:tcPr>
            <w:tcW w:type="dxa" w:w="4680"/>
          </w:tcPr>
          <w:p>
            <w:pPr>
              <w:spacing w:before="60" w:after="60"/>
              <w:jc w:val="center"/>
            </w:pPr>
            <m:oMathPara>
              <m:oMath>
                <m:sSub>
                  <m:e>
                    <m:r>
                      <m:t>RMS</m:t>
                    </m:r>
                  </m:e>
                  <m:sub>
                    <m:r>
                      <m:t>dB</m:t>
                    </m:r>
                  </m:sub>
                </m:sSub>
                <m:r>
                  <m:t> = 20 </m:t>
                </m:r>
                <m:sSub>
                  <m:e>
                    <m:r>
                      <m:t>log</m:t>
                    </m:r>
                  </m:e>
                  <m:sub>
                    <m:r>
                      <m:t>10</m:t>
                    </m:r>
                  </m:sub>
                </m:sSub>
                <m:d>
                  <m:dPr>
                    <m:begChr m:val="("/>
                    <m:endChr m:val=")"/>
                  </m:dPr>
                  <m:e>
                    <m:sSub>
                      <m:e>
                        <m:r>
                          <m:t>RMS</m:t>
                        </m:r>
                      </m:e>
                      <m:sub>
                        <m:r>
                          <m:t>t</m:t>
                        </m:r>
                      </m:sub>
                    </m:sSub>
                    <m:r>
                      <m:t> + ε</m:t>
                    </m:r>
                  </m:e>
                </m:d>
                <m:r>
                  <m:t>,    </m:t>
                </m:r>
                <m:sSub>
                  <m:e>
                    <m:r>
                      <m:t>σ</m:t>
                    </m:r>
                  </m:e>
                  <m:sub>
                    <m:sSub>
                      <m:e>
                        <m:r>
                          <m:t>F</m:t>
                        </m:r>
                      </m:e>
                      <m:sub>
                        <m:r>
                          <m:t>0</m:t>
                        </m:r>
                      </m:sub>
                    </m:sSub>
                  </m:sub>
                </m:sSub>
                <m:r>
                  <m:t> = </m:t>
                </m:r>
                <m:rad>
                  <m:radPr>
                    <m:degHide m:val="1"/>
                  </m:radPr>
                  <m:deg/>
                  <m:e>
                    <m:f>
                      <m:num>
                        <m:r>
                          <m:t>1</m:t>
                        </m:r>
                      </m:num>
                      <m:den>
                        <m:r>
                          <m:t>M</m:t>
                        </m:r>
                      </m:den>
                    </m:f>
                    <m:nary>
                      <m:naryPr>
                        <m:chr m:val="∑"/>
                        <m:limLoc m:val="undOvr"/>
                      </m:naryPr>
                      <m:sub>
                        <m:r>
                          <m:t>m=1</m:t>
                        </m:r>
                      </m:sub>
                      <m:sup>
                        <m:r>
                          <m:t>M</m:t>
                        </m:r>
                      </m:sup>
                      <m:e>
                        <m:sSup>
                          <m:e>
                            <m:d>
                              <m:dPr>
                                <m:begChr m:val="("/>
                                <m:endChr m:val=")"/>
                              </m:dPr>
                              <m:e>
                                <m:sSub>
                                  <m:e>
                                    <m:r>
                                      <m:t>F</m:t>
                                    </m:r>
                                  </m:e>
                                  <m:sub>
                                    <m:r>
                                      <m:t>0</m:t>
                                    </m:r>
                                  </m:sub>
                                </m:sSub>
                                <m:d>
                                  <m:dPr>
                                    <m:begChr m:val="["/>
                                    <m:endChr m:val="]"/>
                                  </m:dPr>
                                  <m:e>
                                    <m:r>
                                      <m:t>m</m:t>
                                    </m:r>
                                  </m:e>
                                </m:d>
                                <m:r>
                                  <m:t> - </m:t>
                                </m:r>
                                <m:bar>
                                  <m:barPr>
                                    <m:pos m:val="top"/>
                                  </m:barPr>
                                  <m:e>
                                    <m:sSub>
                                      <m:e>
                                        <m:r>
                                          <m:t>F</m:t>
                                        </m:r>
                                      </m:e>
                                      <m:sub>
                                        <m:r>
                                          <m:t>0</m:t>
                                        </m:r>
                                      </m:sub>
                                    </m:sSub>
                                  </m:e>
                                </m:bar>
                              </m:e>
                            </m:d>
                          </m:e>
                          <m:sup>
                            <m:r>
                              <m:t>2</m:t>
                            </m:r>
                          </m:sup>
                        </m:sSup>
                      </m:e>
                    </m:nary>
                  </m:e>
                </m:rad>
              </m:oMath>
            </m:oMathPara>
          </w:p>
        </w:tc>
        <w:tc>
          <w:tcPr>
            <w:tcW w:type="dxa" w:w="4680"/>
          </w:tcPr>
          <w:p>
            <w:pPr>
              <w:spacing w:before="60" w:after="60"/>
              <w:jc w:val="right"/>
            </w:pPr>
            <w:r>
              <w:rPr>
                <w:rFonts w:ascii="Times New Roman" w:hAnsi="Times New Roman"/>
                <w:color w:val="000000"/>
                <w:sz w:val="20"/>
              </w:rPr>
              <w:t>(5)</w:t>
            </w:r>
          </w:p>
        </w:tc>
      </w:tr>
    </w:tbl>
    <w:p>
      <w:pPr>
        <w:spacing w:after="40"/>
      </w:pPr>
    </w:p>
    <w:p>
      <w:pPr>
        <w:keepNext/>
        <w:spacing w:before="280" w:after="100"/>
        <w:jc w:val="center"/>
      </w:pPr>
      <w:r>
        <w:rPr>
          <w:rFonts w:ascii="Times New Roman" w:hAnsi="Times New Roman"/>
          <w:b/>
          <w:color w:val="000000"/>
          <w:sz w:val="21"/>
        </w:rPr>
        <w:t>V. EXPERIMENTAL SETUP &amp; EVALUATION METRICS</w:t>
      </w:r>
    </w:p>
    <w:p>
      <w:pPr>
        <w:spacing w:line="276" w:lineRule="auto" w:before="0" w:after="60"/>
        <w:ind w:firstLine="288"/>
        <w:jc w:val="both"/>
      </w:pPr>
      <w:r>
        <w:rPr>
          <w:rFonts w:ascii="Times New Roman" w:hAnsi="Times New Roman"/>
          <w:color w:val="000000"/>
          <w:sz w:val="20"/>
        </w:rPr>
        <w:t>Models were trained using the AdamW optimizer with Cosine Annealing learning rate schedules. Transformer backbones utilized a base learning rate of 1e-5 (frozen feature extractor) and head rate of 1e-3. The CNN-BiLSTM was optimized at 5e-4 with ReduceLROnPlateau. Class-weighted cross-entropy loss was applied to mitigate class imbalances:</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8208"/>
        <w:gridCol w:w="1152"/>
      </w:tblGrid>
      <w:tr>
        <w:tc>
          <w:tcPr>
            <w:tcW w:type="dxa" w:w="4680"/>
          </w:tcPr>
          <w:p>
            <w:pPr>
              <w:spacing w:before="60" w:after="60"/>
              <w:jc w:val="center"/>
            </w:pPr>
            <m:oMathPara>
              <m:oMath>
                <m:sSub>
                  <m:e>
                    <m:r>
                      <m:t>ℒ</m:t>
                    </m:r>
                  </m:e>
                  <m:sub>
                    <m:r>
                      <m:t>CE</m:t>
                    </m:r>
                  </m:sub>
                </m:sSub>
                <m:r>
                  <m:t> = - </m:t>
                </m:r>
                <m:nary>
                  <m:naryPr>
                    <m:chr m:val="∑"/>
                    <m:limLoc m:val="undOvr"/>
                  </m:naryPr>
                  <m:sub>
                    <m:r>
                      <m:t>k=1</m:t>
                    </m:r>
                  </m:sub>
                  <m:sup>
                    <m:r>
                      <m:t>K</m:t>
                    </m:r>
                  </m:sup>
                  <m:e>
                    <m:sSub>
                      <m:e>
                        <m:r>
                          <m:t>w</m:t>
                        </m:r>
                      </m:e>
                      <m:sub>
                        <m:r>
                          <m:t>k</m:t>
                        </m:r>
                      </m:sub>
                    </m:sSub>
                    <m:sSub>
                      <m:e>
                        <m:r>
                          <m:t>y</m:t>
                        </m:r>
                      </m:e>
                      <m:sub>
                        <m:r>
                          <m:t>k</m:t>
                        </m:r>
                      </m:sub>
                    </m:sSub>
                    <m:r>
                      <m:t> log </m:t>
                    </m:r>
                    <m:sSub>
                      <m:e>
                        <m:acc>
                          <m:accPr>
                            <m:chr m:val="^"/>
                          </m:accPr>
                          <m:e>
                            <m:r>
                              <m:t>y</m:t>
                            </m:r>
                          </m:e>
                        </m:acc>
                      </m:e>
                      <m:sub>
                        <m:r>
                          <m:t>k</m:t>
                        </m:r>
                      </m:sub>
                    </m:sSub>
                  </m:e>
                </m:nary>
                <m:r>
                  <m:t>,   where   </m:t>
                </m:r>
                <m:sSub>
                  <m:e>
                    <m:r>
                      <m:t>w</m:t>
                    </m:r>
                  </m:e>
                  <m:sub>
                    <m:r>
                      <m:t>k</m:t>
                    </m:r>
                  </m:sub>
                </m:sSub>
                <m:r>
                  <m:t> = </m:t>
                </m:r>
                <m:f>
                  <m:num>
                    <m:sSub>
                      <m:e>
                        <m:r>
                          <m:t>N</m:t>
                        </m:r>
                      </m:e>
                      <m:sub>
                        <m:r>
                          <m:t>total</m:t>
                        </m:r>
                      </m:sub>
                    </m:sSub>
                  </m:num>
                  <m:den>
                    <m:r>
                      <m:t>K · </m:t>
                    </m:r>
                    <m:sSub>
                      <m:e>
                        <m:r>
                          <m:t>N</m:t>
                        </m:r>
                      </m:e>
                      <m:sub>
                        <m:r>
                          <m:t>k</m:t>
                        </m:r>
                      </m:sub>
                    </m:sSub>
                  </m:den>
                </m:f>
              </m:oMath>
            </m:oMathPara>
          </w:p>
        </w:tc>
        <w:tc>
          <w:tcPr>
            <w:tcW w:type="dxa" w:w="4680"/>
          </w:tcPr>
          <w:p>
            <w:pPr>
              <w:spacing w:before="60" w:after="60"/>
              <w:jc w:val="right"/>
            </w:pPr>
            <w:r>
              <w:rPr>
                <w:rFonts w:ascii="Times New Roman" w:hAnsi="Times New Roman"/>
                <w:color w:val="000000"/>
                <w:sz w:val="20"/>
              </w:rPr>
              <w:t>(6)</w:t>
            </w:r>
          </w:p>
        </w:tc>
      </w:tr>
    </w:tbl>
    <w:p>
      <w:pPr>
        <w:spacing w:after="40"/>
      </w:pPr>
    </w:p>
    <w:p>
      <w:pPr>
        <w:spacing w:line="276" w:lineRule="auto" w:before="0" w:after="60"/>
        <w:ind w:firstLine="288"/>
        <w:jc w:val="both"/>
      </w:pPr>
      <w:r>
        <w:rPr>
          <w:rFonts w:ascii="Times New Roman" w:hAnsi="Times New Roman"/>
          <w:color w:val="000000"/>
          <w:sz w:val="20"/>
        </w:rPr>
        <w:t>Models were evaluated using Overall Accuracy, Macro-Averaged F1-score, and Unweighted Average Recall (UAR) [13]:</w:t>
      </w:r>
    </w:p>
    <w:tbl>
      <w:tblPr>
        <w:tblW w:type="auto" w:w="0"/>
        <w:jc w:val="center"/>
        <w:tblLayout w:type="fixed"/>
        <w:tblLook w:firstColumn="1" w:firstRow="1" w:lastColumn="0" w:lastRow="0" w:noHBand="0" w:noVBand="1" w:val="04A0"/>
        <w:tblBorders>
          <w:top w:val="none"/>
          <w:bottom w:val="none"/>
          <w:insideH w:val="none"/>
          <w:left w:val="none"/>
          <w:right w:val="none"/>
          <w:insideV w:val="none"/>
        </w:tblBorders>
      </w:tblPr>
      <w:tblGrid>
        <w:gridCol w:w="8208"/>
        <w:gridCol w:w="1152"/>
      </w:tblGrid>
      <w:tr>
        <w:tc>
          <w:tcPr>
            <w:tcW w:type="dxa" w:w="4680"/>
          </w:tcPr>
          <w:p>
            <w:pPr>
              <w:spacing w:before="60" w:after="60"/>
              <w:jc w:val="center"/>
            </w:pPr>
            <m:oMathPara>
              <m:oMath>
                <m:r>
                  <m:t>UAR = </m:t>
                </m:r>
                <m:f>
                  <m:num>
                    <m:r>
                      <m:t>1</m:t>
                    </m:r>
                  </m:num>
                  <m:den>
                    <m:r>
                      <m:t>K</m:t>
                    </m:r>
                  </m:den>
                </m:f>
                <m:nary>
                  <m:naryPr>
                    <m:chr m:val="∑"/>
                    <m:limLoc m:val="undOvr"/>
                  </m:naryPr>
                  <m:sub>
                    <m:r>
                      <m:t>k=1</m:t>
                    </m:r>
                  </m:sub>
                  <m:sup>
                    <m:r>
                      <m:t>K</m:t>
                    </m:r>
                  </m:sup>
                  <m:e>
                    <m:f>
                      <m:num>
                        <m:sSub>
                          <m:e>
                            <m:r>
                              <m:t>TP</m:t>
                            </m:r>
                          </m:e>
                          <m:sub>
                            <m:r>
                              <m:t>k</m:t>
                            </m:r>
                          </m:sub>
                        </m:sSub>
                      </m:num>
                      <m:den>
                        <m:sSub>
                          <m:e>
                            <m:r>
                              <m:t>TP</m:t>
                            </m:r>
                          </m:e>
                          <m:sub>
                            <m:r>
                              <m:t>k</m:t>
                            </m:r>
                          </m:sub>
                        </m:sSub>
                        <m:r>
                          <m:t> + </m:t>
                        </m:r>
                        <m:sSub>
                          <m:e>
                            <m:r>
                              <m:t>FN</m:t>
                            </m:r>
                          </m:e>
                          <m:sub>
                            <m:r>
                              <m:t>k</m:t>
                            </m:r>
                          </m:sub>
                        </m:sSub>
                      </m:den>
                    </m:f>
                  </m:e>
                </m:nary>
              </m:oMath>
            </m:oMathPara>
          </w:p>
        </w:tc>
        <w:tc>
          <w:tcPr>
            <w:tcW w:type="dxa" w:w="4680"/>
          </w:tcPr>
          <w:p>
            <w:pPr>
              <w:spacing w:before="60" w:after="60"/>
              <w:jc w:val="right"/>
            </w:pPr>
            <w:r>
              <w:rPr>
                <w:rFonts w:ascii="Times New Roman" w:hAnsi="Times New Roman"/>
                <w:color w:val="000000"/>
                <w:sz w:val="20"/>
              </w:rPr>
              <w:t>(7)</w:t>
            </w:r>
          </w:p>
        </w:tc>
      </w:tr>
    </w:tbl>
    <w:p>
      <w:pPr>
        <w:spacing w:after="40"/>
      </w:pPr>
    </w:p>
    <w:p>
      <w:pPr>
        <w:keepNext/>
        <w:spacing w:before="280" w:after="100"/>
        <w:jc w:val="center"/>
      </w:pPr>
      <w:r>
        <w:rPr>
          <w:rFonts w:ascii="Times New Roman" w:hAnsi="Times New Roman"/>
          <w:b/>
          <w:color w:val="000000"/>
          <w:sz w:val="21"/>
        </w:rPr>
        <w:t>VI. BENCHMARK RESULTS &amp; COMPARATIVE ANALYSIS</w:t>
      </w:r>
    </w:p>
    <w:p>
      <w:pPr>
        <w:keepNext/>
        <w:spacing w:before="180" w:after="60"/>
        <w:jc w:val="left"/>
      </w:pPr>
      <w:r>
        <w:rPr>
          <w:rFonts w:ascii="Times New Roman" w:hAnsi="Times New Roman"/>
          <w:b/>
          <w:i/>
          <w:color w:val="000000"/>
          <w:sz w:val="20"/>
        </w:rPr>
        <w:t>A. Universal Multi-Corpus Linear Probe Benchmark</w:t>
      </w:r>
    </w:p>
    <w:p>
      <w:pPr>
        <w:spacing w:line="276" w:lineRule="auto" w:before="0" w:after="60"/>
        <w:ind w:firstLine="288"/>
        <w:jc w:val="both"/>
      </w:pPr>
      <w:r>
        <w:rPr>
          <w:rFonts w:ascii="Times New Roman" w:hAnsi="Times New Roman"/>
          <w:color w:val="000000"/>
          <w:sz w:val="20"/>
        </w:rPr>
        <w:t>To evaluate whether a unified representation can generalize across diverse acoustic environments, accents, and recording conditions, a Universal HuBERT Model was trained on the combined 4-corpus dataset (121 speakers across CREMA-D, RAVDESS, SAVEE, and TESS) and evaluated against 1,701 unseen multi-corpus test utterances.</w:t>
        <w:br/>
        <w:br/>
        <w:t>Architecturally, this model employs a frozen self-supervised HuBERT-Base backbone (94.7M parameters) coupled with our Learnable Weighted Layer Pooling module and a linear classification head. Only 4,626 parameters were trained, representing approximately 0.005% of the total network parameters. Freezing the backbone avoids catastrophic forgetting of generic acoustic representations while providing an efficient linear probe evaluation of the pre-trained features across diverse corpora. Table II reports the benchmark leaderboard.</w:t>
      </w:r>
    </w:p>
    <w:p>
      <w:pPr>
        <w:spacing w:before="160" w:after="40"/>
        <w:jc w:val="center"/>
      </w:pPr>
      <w:r>
        <w:rPr>
          <w:rFonts w:ascii="Times New Roman" w:hAnsi="Times New Roman"/>
          <w:b/>
          <w:color w:val="000000"/>
          <w:sz w:val="18"/>
        </w:rPr>
        <w:t>TABLE II</w:t>
        <w:br/>
      </w:r>
      <w:r>
        <w:rPr>
          <w:rFonts w:ascii="Times New Roman" w:hAnsi="Times New Roman"/>
          <w:color w:val="000000"/>
          <w:sz w:val="16"/>
        </w:rPr>
        <w:t>UNIVERSAL MULTI-CORPUS TEST LEADERBOARD (1,701 UNSEEN CLIPS)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872"/>
        <w:gridCol w:w="1872"/>
        <w:gridCol w:w="1872"/>
        <w:gridCol w:w="1872"/>
        <w:gridCol w:w="1872"/>
      </w:tblGrid>
      <w:tr>
        <w:tc>
          <w:tcPr>
            <w:tcW w:type="dxa" w:w="1872"/>
            <w:tcMar>
              <w:top w:w="60" w:type="dxa"/>
              <w:bottom w:w="60" w:type="dxa"/>
              <w:left w:w="80" w:type="dxa"/>
              <w:right w:w="80" w:type="dxa"/>
            </w:tcMar>
          </w:tcPr>
          <w:p>
            <w:pPr>
              <w:spacing w:before="40" w:after="40"/>
            </w:pPr>
            <w:r>
              <w:rPr>
                <w:rFonts w:ascii="Times New Roman" w:hAnsi="Times New Roman"/>
                <w:b/>
                <w:color w:val="000000"/>
                <w:sz w:val="17"/>
              </w:rPr>
              <w:t>Model Architecture</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Test Accuracy</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Macro-F1</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Test UAR</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Chance Level</w:t>
            </w:r>
          </w:p>
        </w:tc>
      </w:tr>
      <w:tr>
        <w:tc>
          <w:tcPr>
            <w:tcW w:type="dxa" w:w="1872"/>
            <w:tcMar>
              <w:top w:w="60" w:type="dxa"/>
              <w:bottom w:w="60" w:type="dxa"/>
              <w:left w:w="80" w:type="dxa"/>
              <w:right w:w="80" w:type="dxa"/>
            </w:tcMar>
          </w:tcPr>
          <w:p>
            <w:pPr>
              <w:spacing w:before="40" w:after="40"/>
            </w:pPr>
            <w:r>
              <w:rPr>
                <w:rFonts w:ascii="Times New Roman" w:hAnsi="Times New Roman"/>
                <w:b/>
                <w:color w:val="000000"/>
                <w:sz w:val="17"/>
              </w:rPr>
              <w:t>Universal HuBERT (Frozen Transfer + Head)</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68.31%</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0.6779</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68.61%</w:t>
            </w:r>
          </w:p>
        </w:tc>
        <w:tc>
          <w:tcPr>
            <w:tcW w:type="dxa" w:w="1872"/>
            <w:tcMar>
              <w:top w:w="60" w:type="dxa"/>
              <w:bottom w:w="60" w:type="dxa"/>
              <w:left w:w="80" w:type="dxa"/>
              <w:right w:w="80" w:type="dxa"/>
            </w:tcMar>
          </w:tcPr>
          <w:p>
            <w:pPr>
              <w:spacing w:before="40" w:after="40"/>
            </w:pPr>
            <w:r>
              <w:rPr>
                <w:rFonts w:ascii="Times New Roman" w:hAnsi="Times New Roman"/>
                <w:b/>
                <w:color w:val="000000"/>
                <w:sz w:val="17"/>
              </w:rPr>
              <w:t>16.67%</w:t>
            </w:r>
          </w:p>
        </w:tc>
      </w:tr>
      <w:tr>
        <w:tc>
          <w:tcPr>
            <w:tcW w:type="dxa" w:w="1872"/>
            <w:tcMar>
              <w:top w:w="60" w:type="dxa"/>
              <w:bottom w:w="60" w:type="dxa"/>
              <w:left w:w="80" w:type="dxa"/>
              <w:right w:w="80" w:type="dxa"/>
            </w:tcMar>
          </w:tcPr>
          <w:p>
            <w:pPr>
              <w:spacing w:before="40" w:after="40"/>
            </w:pPr>
            <w:r>
              <w:rPr>
                <w:rFonts w:ascii="Times New Roman" w:hAnsi="Times New Roman"/>
                <w:color w:val="000000"/>
                <w:sz w:val="17"/>
              </w:rPr>
              <w:t>Soft-Voting Multi-Corpus Ensemble</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67.43%</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0.6692</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67.80%</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16.67%</w:t>
            </w:r>
          </w:p>
        </w:tc>
      </w:tr>
      <w:tr>
        <w:tc>
          <w:tcPr>
            <w:tcW w:type="dxa" w:w="1872"/>
            <w:tcMar>
              <w:top w:w="60" w:type="dxa"/>
              <w:bottom w:w="60" w:type="dxa"/>
              <w:left w:w="80" w:type="dxa"/>
              <w:right w:w="80" w:type="dxa"/>
            </w:tcMar>
          </w:tcPr>
          <w:p>
            <w:pPr>
              <w:spacing w:before="40" w:after="40"/>
            </w:pPr>
            <w:r>
              <w:rPr>
                <w:rFonts w:ascii="Times New Roman" w:hAnsi="Times New Roman"/>
                <w:color w:val="000000"/>
                <w:sz w:val="17"/>
              </w:rPr>
              <w:t>Wav2Vec2 Base (Direct Combined)</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63.26%</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0.6215</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63.50%</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16.67%</w:t>
            </w:r>
          </w:p>
        </w:tc>
      </w:tr>
      <w:tr>
        <w:tc>
          <w:tcPr>
            <w:tcW w:type="dxa" w:w="1872"/>
            <w:tcMar>
              <w:top w:w="60" w:type="dxa"/>
              <w:bottom w:w="60" w:type="dxa"/>
              <w:left w:w="80" w:type="dxa"/>
              <w:right w:w="80" w:type="dxa"/>
            </w:tcMar>
          </w:tcPr>
          <w:p>
            <w:pPr>
              <w:spacing w:before="40" w:after="40"/>
            </w:pPr>
            <w:r>
              <w:rPr>
                <w:rFonts w:ascii="Times New Roman" w:hAnsi="Times New Roman"/>
                <w:color w:val="000000"/>
                <w:sz w:val="17"/>
              </w:rPr>
              <w:t>MFCC + LSTM Multi-Corpus Baseline</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44.15%</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0.4120</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43.82%</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16.67%</w:t>
            </w:r>
          </w:p>
        </w:tc>
      </w:tr>
      <w:tr>
        <w:tc>
          <w:tcPr>
            <w:tcW w:type="dxa" w:w="1872"/>
            <w:tcMar>
              <w:top w:w="60" w:type="dxa"/>
              <w:bottom w:w="60" w:type="dxa"/>
              <w:left w:w="80" w:type="dxa"/>
              <w:right w:w="80" w:type="dxa"/>
            </w:tcMar>
          </w:tcPr>
          <w:p>
            <w:pPr>
              <w:spacing w:before="40" w:after="40"/>
            </w:pPr>
            <w:r>
              <w:rPr>
                <w:rFonts w:ascii="Times New Roman" w:hAnsi="Times New Roman"/>
                <w:color w:val="000000"/>
                <w:sz w:val="17"/>
              </w:rPr>
              <w:t>Random Chance Baseline</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16.67%</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0.1667</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16.67%</w:t>
            </w:r>
          </w:p>
        </w:tc>
        <w:tc>
          <w:tcPr>
            <w:tcW w:type="dxa" w:w="1872"/>
            <w:tcMar>
              <w:top w:w="60" w:type="dxa"/>
              <w:bottom w:w="60" w:type="dxa"/>
              <w:left w:w="80" w:type="dxa"/>
              <w:right w:w="80" w:type="dxa"/>
            </w:tcMar>
          </w:tcPr>
          <w:p>
            <w:pPr>
              <w:spacing w:before="40" w:after="40"/>
            </w:pPr>
            <w:r>
              <w:rPr>
                <w:rFonts w:ascii="Times New Roman" w:hAnsi="Times New Roman"/>
                <w:color w:val="000000"/>
                <w:sz w:val="17"/>
              </w:rPr>
              <w:t>16.67%</w:t>
            </w:r>
          </w:p>
        </w:tc>
      </w:tr>
    </w:tbl>
    <w:p>
      <w:pPr>
        <w:spacing w:after="80"/>
      </w:pPr>
    </w:p>
    <w:p>
      <w:pPr>
        <w:spacing w:before="160" w:after="60"/>
        <w:jc w:val="center"/>
      </w:pPr>
      <w:r>
        <w:drawing>
          <wp:inline xmlns:a="http://schemas.openxmlformats.org/drawingml/2006/main" xmlns:pic="http://schemas.openxmlformats.org/drawingml/2006/picture">
            <wp:extent cx="5303520" cy="2803632"/>
            <wp:docPr id="2" name="Picture 2"/>
            <wp:cNvGraphicFramePr>
              <a:graphicFrameLocks noChangeAspect="1"/>
            </wp:cNvGraphicFramePr>
            <a:graphic>
              <a:graphicData uri="http://schemas.openxmlformats.org/drawingml/2006/picture">
                <pic:pic>
                  <pic:nvPicPr>
                    <pic:cNvPr id="0" name="fig3_benchmark_performance.png"/>
                    <pic:cNvPicPr/>
                  </pic:nvPicPr>
                  <pic:blipFill>
                    <a:blip r:embed="rId13"/>
                    <a:stretch>
                      <a:fillRect/>
                    </a:stretch>
                  </pic:blipFill>
                  <pic:spPr>
                    <a:xfrm>
                      <a:off x="0" y="0"/>
                      <a:ext cx="5303520" cy="2803632"/>
                    </a:xfrm>
                    <a:prstGeom prst="rect"/>
                  </pic:spPr>
                </pic:pic>
              </a:graphicData>
            </a:graphic>
          </wp:inline>
        </w:drawing>
      </w:r>
    </w:p>
    <w:p>
      <w:pPr>
        <w:spacing w:before="40" w:after="200"/>
        <w:ind w:left="432" w:right="432"/>
        <w:jc w:val="center"/>
      </w:pPr>
      <w:r>
        <w:rPr>
          <w:rFonts w:ascii="Times New Roman" w:hAnsi="Times New Roman"/>
          <w:i/>
          <w:color w:val="000000"/>
          <w:sz w:val="17"/>
        </w:rPr>
        <w:t>Fig. 2.  Benchmark Accuracy and Macro-F1 across English and Hindi Speech Corpora.</w:t>
      </w:r>
    </w:p>
    <w:p>
      <w:pPr>
        <w:keepNext/>
        <w:spacing w:before="180" w:after="60"/>
        <w:jc w:val="left"/>
      </w:pPr>
      <w:r>
        <w:rPr>
          <w:rFonts w:ascii="Times New Roman" w:hAnsi="Times New Roman"/>
          <w:b/>
          <w:i/>
          <w:color w:val="000000"/>
          <w:sz w:val="20"/>
        </w:rPr>
        <w:t>B. In-Domain Multi-Corpus Benchmark Summary</w:t>
      </w:r>
    </w:p>
    <w:p>
      <w:pPr>
        <w:spacing w:line="276" w:lineRule="auto" w:before="0" w:after="60"/>
        <w:ind w:firstLine="288"/>
        <w:jc w:val="both"/>
      </w:pPr>
      <w:r>
        <w:rPr>
          <w:rFonts w:ascii="Times New Roman" w:hAnsi="Times New Roman"/>
          <w:color w:val="000000"/>
          <w:sz w:val="20"/>
        </w:rPr>
        <w:t>Individual in-domain evaluations across all five corpora reveal consistent patterns:</w:t>
        <w:br/>
        <w:br/>
        <w:t>1. CREMA-D (91 Actors, 13 Unseen Test Actors): Soft-Voting Top-5 Ensemble achieved 75.57% Accuracy, 0.7594 Macro-F1, and 75.40% UAR. HuBERT with Learnable Layer Pooling reached 71.98% Accuracy, outperforming Wav2Vec2 Base (69.25%) and MFCC+CNN-BiLSTM (62.80%). Wav2Vec2-XLS-R-300M (Frozen Baseline) reached only 24.43% Accuracy (near chance level of 16.67%).</w:t>
        <w:br/>
        <w:br/>
        <w:t>2. RAVDESS (24 Actors, Actors 21 to 24 Unseen): Transfer Ensemble achieved 73.75% Accuracy and 0.7207 Macro-F1. Transfer from CREMA-D pre-training to RAVDESS produced 72.92% Accuracy, compared to 32.50% when trained from scratch on RAVDESS alone. Wav2Vec2-XLS-R-300M collapsed to 13.33% Accuracy (barely above chance level of 12.50%).</w:t>
        <w:br/>
        <w:br/>
        <w:t>3. SAVEE (4 Actors, Actor KL Unseen): Transfer ensemble reached 51.67% Accuracy and 0.3860 Macro-F1, doubling the scratch baseline of 25.0% which suffered from vocal tract overfitting. Wav2Vec2-XLS-R-300M achieved 12.50% Accuracy (chance level is 14.29%).</w:t>
        <w:br/>
        <w:br/>
        <w:t>4. TESS (2 Actresses, 200 Words, 30 Unseen Target Words): All SSL foundation models achieved 100.00% Accuracy and 1.0000 Macro-F1. However, this result reflects the inherent ceiling effect and low acoustic complexity of the TESS dataset (only 2 speakers, carrier phrases, pristine studio acoustics) rather than architectural invincibility. Table III reports the comprehensive multi-corpus benchmark.</w:t>
      </w:r>
    </w:p>
    <w:p>
      <w:pPr>
        <w:spacing w:before="160" w:after="40"/>
        <w:jc w:val="center"/>
      </w:pPr>
      <w:r>
        <w:rPr>
          <w:rFonts w:ascii="Times New Roman" w:hAnsi="Times New Roman"/>
          <w:b/>
          <w:color w:val="000000"/>
          <w:sz w:val="18"/>
        </w:rPr>
        <w:t>TABLE III</w:t>
        <w:br/>
      </w:r>
      <w:r>
        <w:rPr>
          <w:rFonts w:ascii="Times New Roman" w:hAnsi="Times New Roman"/>
          <w:color w:val="000000"/>
          <w:sz w:val="16"/>
        </w:rPr>
        <w:t>IN-DOMAIN BENCHMARK LEADERBOARD ACROSS 5 EVALUATED CORPORA</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1560"/>
        <w:gridCol w:w="1560"/>
        <w:gridCol w:w="1560"/>
        <w:gridCol w:w="1560"/>
        <w:gridCol w:w="1560"/>
        <w:gridCol w:w="1560"/>
      </w:tblGrid>
      <w:tr>
        <w:tc>
          <w:tcPr>
            <w:tcW w:type="dxa" w:w="1560"/>
            <w:tcMar>
              <w:top w:w="60" w:type="dxa"/>
              <w:bottom w:w="60" w:type="dxa"/>
              <w:left w:w="80" w:type="dxa"/>
              <w:right w:w="80" w:type="dxa"/>
            </w:tcMar>
          </w:tcPr>
          <w:p>
            <w:pPr>
              <w:spacing w:before="40" w:after="40"/>
            </w:pPr>
            <w:r>
              <w:rPr>
                <w:rFonts w:ascii="Times New Roman" w:hAnsi="Times New Roman"/>
                <w:b/>
                <w:color w:val="000000"/>
                <w:sz w:val="17"/>
              </w:rPr>
              <w:t>Dataset</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Best Model</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Accuracy</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Macro-F1</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UAR</w:t>
            </w:r>
          </w:p>
        </w:tc>
        <w:tc>
          <w:tcPr>
            <w:tcW w:type="dxa" w:w="1560"/>
            <w:tcMar>
              <w:top w:w="60" w:type="dxa"/>
              <w:bottom w:w="60" w:type="dxa"/>
              <w:left w:w="80" w:type="dxa"/>
              <w:right w:w="80" w:type="dxa"/>
            </w:tcMar>
          </w:tcPr>
          <w:p>
            <w:pPr>
              <w:spacing w:before="40" w:after="40"/>
            </w:pPr>
            <w:r>
              <w:rPr>
                <w:rFonts w:ascii="Times New Roman" w:hAnsi="Times New Roman"/>
                <w:b/>
                <w:color w:val="000000"/>
                <w:sz w:val="17"/>
              </w:rPr>
              <w:t>Chance</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CREMA-D</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Top-5 Soft-Voting Ensemble</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75.57%</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0.7594</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75.40%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16.67%</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RAVDESS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Transfer Ensemble (CREMA-D)</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73.75%</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0.7207</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73.12%</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12.50%</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SAVEE</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Transfer Ensemble (CREMA-D)</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51.67%</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0.3860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50.45%</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14.29%</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TESS</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Universal HuBERT / W2V2</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100.00%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1.0000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100.00%</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14.29%</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Hindi SER</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CNN-BiLSTM Specialist</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75.19%</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0.7018</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70.56%</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20.00%</w:t>
            </w:r>
          </w:p>
        </w:tc>
      </w:tr>
      <w:tr>
        <w:tc>
          <w:tcPr>
            <w:tcW w:type="dxa" w:w="1560"/>
            <w:tcMar>
              <w:top w:w="60" w:type="dxa"/>
              <w:bottom w:w="60" w:type="dxa"/>
              <w:left w:w="80" w:type="dxa"/>
              <w:right w:w="80" w:type="dxa"/>
            </w:tcMar>
          </w:tcPr>
          <w:p>
            <w:pPr>
              <w:spacing w:before="40" w:after="40"/>
            </w:pPr>
            <w:r>
              <w:rPr>
                <w:rFonts w:ascii="Times New Roman" w:hAnsi="Times New Roman"/>
                <w:color w:val="000000"/>
                <w:sz w:val="17"/>
              </w:rPr>
              <w:t>Combined</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Universal HuBERT (Frozen)</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68.31%</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0.6779</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68.61%</w:t>
            </w:r>
          </w:p>
        </w:tc>
        <w:tc>
          <w:tcPr>
            <w:tcW w:type="dxa" w:w="1560"/>
            <w:tcMar>
              <w:top w:w="60" w:type="dxa"/>
              <w:bottom w:w="60" w:type="dxa"/>
              <w:left w:w="80" w:type="dxa"/>
              <w:right w:w="80" w:type="dxa"/>
            </w:tcMar>
          </w:tcPr>
          <w:p>
            <w:pPr>
              <w:spacing w:before="40" w:after="40"/>
            </w:pPr>
            <w:r>
              <w:rPr>
                <w:rFonts w:ascii="Times New Roman" w:hAnsi="Times New Roman"/>
                <w:color w:val="000000"/>
                <w:sz w:val="17"/>
              </w:rPr>
              <w:t>16.67%</w:t>
            </w:r>
          </w:p>
        </w:tc>
      </w:tr>
    </w:tbl>
    <w:p>
      <w:pPr>
        <w:spacing w:after="80"/>
      </w:pPr>
    </w:p>
    <w:p>
      <w:pPr>
        <w:keepNext/>
        <w:spacing w:before="180" w:after="60"/>
        <w:jc w:val="left"/>
      </w:pPr>
      <w:r>
        <w:rPr>
          <w:rFonts w:ascii="Times New Roman" w:hAnsi="Times New Roman"/>
          <w:b/>
          <w:i/>
          <w:color w:val="000000"/>
          <w:sz w:val="20"/>
        </w:rPr>
        <w:t>C. Technical Analysis of Wav2Vec2-XLS-R-300M Failure</w:t>
      </w:r>
    </w:p>
    <w:p>
      <w:pPr>
        <w:spacing w:line="276" w:lineRule="auto" w:before="0" w:after="60"/>
        <w:ind w:firstLine="288"/>
        <w:jc w:val="both"/>
      </w:pPr>
      <w:r>
        <w:rPr>
          <w:rFonts w:ascii="Times New Roman" w:hAnsi="Times New Roman"/>
          <w:color w:val="000000"/>
          <w:sz w:val="20"/>
        </w:rPr>
        <w:t>Across all evaluated corpora, Wav2Vec2-XLS-R-300M performed near random chance (13.33% on RAVDESS, 24.43% on CREMA-D, 12.50% on SAVEE, and 19.76% on TESS), underperforming even shallow MFCC baselines. Three primary technical factors explain this behavior:</w:t>
        <w:br/>
        <w:br/>
        <w:t>1. ASR Invariant Pre-training Objective: XLS-R-300M was pre-trained across 128 languages using contrastive masked prediction to extract phonetic content. In cross-lingual speech recognition, speaker-specific pitch variations and emotional intonations are treated as nuisance parameters and filtered out to achieve cross-lingual phonetic invariance. Consequently, the frozen representations suppress paralinguistic and affective cues.</w:t>
        <w:br/>
        <w:br/>
        <w:t>2. Top-Layer Emotional Depletion: Unlike our HuBERT framework which incorporates learnable layer pooling across intermediate depths, the frozen XLS-R baseline extracted features exclusively from its 24th (final) layer. As demonstrated in Section VII-B, top transformer layers specialize in discrete phonetic tokens and exhibit lower emotional sensitivity than intermediate layers.</w:t>
        <w:br/>
        <w:br/>
        <w:t>3. Capacity-to-Sample Mismatch: Projecting a frozen 1024-dimensional representation from a 317M-parameter model onto tiny target datasets (e.g., 384 SAVEE clips or 960 RAVDESS clips) without layer-wise adaptation or fine-tuning creates an acute representation mismatch that prevents effective linear separation.</w:t>
      </w:r>
    </w:p>
    <w:p>
      <w:pPr>
        <w:keepNext/>
        <w:spacing w:before="280" w:after="100"/>
        <w:jc w:val="center"/>
      </w:pPr>
      <w:r>
        <w:rPr>
          <w:rFonts w:ascii="Times New Roman" w:hAnsi="Times New Roman"/>
          <w:b/>
          <w:color w:val="000000"/>
          <w:sz w:val="21"/>
        </w:rPr>
        <w:t>VII. EMPIRICAL FINDINGS &amp; ABLATION STUDIES</w:t>
      </w:r>
    </w:p>
    <w:p>
      <w:pPr>
        <w:keepNext/>
        <w:spacing w:before="180" w:after="60"/>
        <w:jc w:val="left"/>
      </w:pPr>
      <w:r>
        <w:rPr>
          <w:rFonts w:ascii="Times New Roman" w:hAnsi="Times New Roman"/>
          <w:b/>
          <w:i/>
          <w:color w:val="000000"/>
          <w:sz w:val="20"/>
        </w:rPr>
        <w:t>A. The Speaker Diversity Effect</w:t>
      </w:r>
    </w:p>
    <w:p>
      <w:pPr>
        <w:spacing w:line="276" w:lineRule="auto" w:before="0" w:after="60"/>
        <w:ind w:firstLine="288"/>
        <w:jc w:val="both"/>
      </w:pPr>
      <w:r>
        <w:rPr>
          <w:rFonts w:ascii="Times New Roman" w:hAnsi="Times New Roman"/>
          <w:color w:val="000000"/>
          <w:sz w:val="20"/>
        </w:rPr>
        <w:t>Comparing performance across SAVEE (2 training actors), RAVDESS (16 training actors), and CREMA-D (64 training actors) indicates a consistent relationship between speaker cohort size and generalization capability. Models trained from scratch on SAVEE collapsed to 25.83% test accuracy because attention mechanisms memorized the idiosyncratic formants of the two training speakers. Expanding the cohort to 16 actors on RAVDESS elevated scratch accuracy to 68.75%, while CREMA-D with 64 training actors reached 75.57% accuracy. Pre-training on broader multi-actor cohorts enables the network to separate speaker identity from emotional prosody.</w:t>
      </w:r>
    </w:p>
    <w:p>
      <w:pPr>
        <w:spacing w:before="160" w:after="60"/>
        <w:jc w:val="center"/>
      </w:pPr>
      <w:r>
        <w:drawing>
          <wp:inline xmlns:a="http://schemas.openxmlformats.org/drawingml/2006/main" xmlns:pic="http://schemas.openxmlformats.org/drawingml/2006/picture">
            <wp:extent cx="5303520" cy="2813031"/>
            <wp:docPr id="3" name="Picture 3"/>
            <wp:cNvGraphicFramePr>
              <a:graphicFrameLocks noChangeAspect="1"/>
            </wp:cNvGraphicFramePr>
            <a:graphic>
              <a:graphicData uri="http://schemas.openxmlformats.org/drawingml/2006/picture">
                <pic:pic>
                  <pic:nvPicPr>
                    <pic:cNvPr id="0" name="fig2_layer_weights.png"/>
                    <pic:cNvPicPr/>
                  </pic:nvPicPr>
                  <pic:blipFill>
                    <a:blip r:embed="rId14"/>
                    <a:stretch>
                      <a:fillRect/>
                    </a:stretch>
                  </pic:blipFill>
                  <pic:spPr>
                    <a:xfrm>
                      <a:off x="0" y="0"/>
                      <a:ext cx="5303520" cy="2813031"/>
                    </a:xfrm>
                    <a:prstGeom prst="rect"/>
                  </pic:spPr>
                </pic:pic>
              </a:graphicData>
            </a:graphic>
          </wp:inline>
        </w:drawing>
      </w:r>
    </w:p>
    <w:p>
      <w:pPr>
        <w:spacing w:before="40" w:after="200"/>
        <w:ind w:left="432" w:right="432"/>
        <w:jc w:val="center"/>
      </w:pPr>
      <w:r>
        <w:rPr>
          <w:rFonts w:ascii="Times New Roman" w:hAnsi="Times New Roman"/>
          <w:i/>
          <w:color w:val="000000"/>
          <w:sz w:val="17"/>
        </w:rPr>
        <w:t>Fig. 3.  Empirical Layer Weight Distribution in Learnable Weighted Layer Pooling (Layers 9 to 11 account for 31.95%, total sum = 100.00%).</w:t>
      </w:r>
    </w:p>
    <w:p>
      <w:pPr>
        <w:keepNext/>
        <w:spacing w:before="180" w:after="60"/>
        <w:jc w:val="left"/>
      </w:pPr>
      <w:r>
        <w:rPr>
          <w:rFonts w:ascii="Times New Roman" w:hAnsi="Times New Roman"/>
          <w:b/>
          <w:i/>
          <w:color w:val="000000"/>
          <w:sz w:val="20"/>
        </w:rPr>
        <w:t>B. Layer Weight Distribution Across Transformer Depth</w:t>
      </w:r>
    </w:p>
    <w:p>
      <w:pPr>
        <w:spacing w:line="276" w:lineRule="auto" w:before="0" w:after="60"/>
        <w:ind w:firstLine="288"/>
        <w:jc w:val="both"/>
      </w:pPr>
      <w:r>
        <w:rPr>
          <w:rFonts w:ascii="Times New Roman" w:hAnsi="Times New Roman"/>
          <w:color w:val="000000"/>
          <w:sz w:val="20"/>
        </w:rPr>
        <w:t>Figure 3 illustrates the learned softmax weights alpha across the 12 transformer encoder blocks of the Universal HuBERT model:</w:t>
        <w:br/>
        <w:br/>
        <w:t>• Early Layers (Layers 1 to 4): Weights remain basal (alpha_1 = 0.0707, alpha_2 = 0.0710, alpha_3 = 0.0711, alpha_4 = 0.0712, representing 7.07% to 7.12%), capturing low-level spectro-temporal acoustics.</w:t>
        <w:br/>
        <w:t>• Intermediate Transition (Layers 5 to 8): Weights steadily increase (alpha_5 = 0.0713, alpha_6 = 0.0717, alpha_7 = 0.0725, alpha_8 = 0.0757, representing 7.13% to 7.57%), reflecting progressive harmonic abstraction.</w:t>
        <w:br/>
        <w:t>• Prosodic Culmination Zone (Layers 9 to 11): Weights reach their empirical maximum (alpha_9 = 0.1002, alpha_10 = 0.1107, alpha_11 = 0.1086), accounting for exactly 31.95% of the total network weight. Layer 10 serves as the primary focal point (alpha_10 = 11.07%), capturing pitch inflection contours and macro-energy modulations.</w:t>
        <w:br/>
        <w:t>• Final Layer (Layer 12): Weight decreases to alpha_12 = 0.1053 (10.53%) relative to Layer 10 as representation space shifts toward discrete phonetic classification.</w:t>
        <w:br/>
        <w:t>• Normalization Verification: The complete 12-layer softmax distribution (7.07% + 7.10% + 7.11% + 7.12% + 7.13% + 7.17% + 7.25% + 7.57% + 10.02% + 11.07% + 10.86% + 10.53%) sums strictly to 100.00% (sum_{i=1}^{12} alpha_i = 1.0000). Table IV details the layer weights.</w:t>
      </w:r>
    </w:p>
    <w:p>
      <w:pPr>
        <w:spacing w:before="160" w:after="40"/>
        <w:jc w:val="center"/>
      </w:pPr>
      <w:r>
        <w:rPr>
          <w:rFonts w:ascii="Times New Roman" w:hAnsi="Times New Roman"/>
          <w:b/>
          <w:color w:val="000000"/>
          <w:sz w:val="18"/>
        </w:rPr>
        <w:t>TABLE IV</w:t>
        <w:br/>
      </w:r>
      <w:r>
        <w:rPr>
          <w:rFonts w:ascii="Times New Roman" w:hAnsi="Times New Roman"/>
          <w:color w:val="000000"/>
          <w:sz w:val="16"/>
        </w:rPr>
        <w:t>LAYER-WISE SOFTMAX ATTENTION WEIGHT DISTRIBUTION (HUBERT-BASE)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left w:val="none"/>
          <w:right w:val="none"/>
          <w:insideV w:val="none"/>
        </w:tblBorders>
      </w:tblPr>
      <w:tblGrid>
        <w:gridCol w:w="2340"/>
        <w:gridCol w:w="2340"/>
        <w:gridCol w:w="2340"/>
        <w:gridCol w:w="2340"/>
      </w:tblGrid>
      <w:tr>
        <w:tc>
          <w:tcPr>
            <w:tcW w:type="dxa" w:w="2340"/>
            <w:tcMar>
              <w:top w:w="50" w:type="dxa"/>
              <w:bottom w:w="50" w:type="dxa"/>
              <w:left w:w="70" w:type="dxa"/>
              <w:right w:w="70" w:type="dxa"/>
            </w:tcMar>
          </w:tcPr>
          <w:p>
            <w:pPr>
              <w:spacing w:before="40" w:after="40"/>
            </w:pPr>
            <w:r>
              <w:rPr>
                <w:rFonts w:ascii="Times New Roman" w:hAnsi="Times New Roman"/>
                <w:b/>
                <w:color w:val="000000"/>
                <w:sz w:val="17"/>
              </w:rPr>
              <w:t>Layer Index</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Softmax Weight</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Percentage</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Functional Acoustic Role</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1</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0.0707</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7.07%</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Waveform envelope &amp; low-level spectral energy</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2</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0.0710</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7.10%</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Formant structures and spectral slope</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3</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0.0711</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7.11%</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Pitch frequency baseline estimation</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4</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0.0712</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7.12%</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Spectral flux and voice onset timing</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5</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0.0713</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7.13%</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Phonetic-prosodic transition boundary</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6</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0.0717</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7.17%</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Intermediate harmonic structure encoding</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7</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0.0725</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7.25%</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Broad phonetic category separation</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8</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0.0757</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7.57%</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Prosodic phrasing &amp; cadence abstraction</w:t>
            </w:r>
          </w:p>
        </w:tc>
      </w:tr>
      <w:tr>
        <w:tc>
          <w:tcPr>
            <w:tcW w:type="dxa" w:w="2340"/>
            <w:tcMar>
              <w:top w:w="50" w:type="dxa"/>
              <w:bottom w:w="50" w:type="dxa"/>
              <w:left w:w="70" w:type="dxa"/>
              <w:right w:w="70" w:type="dxa"/>
            </w:tcMar>
          </w:tcPr>
          <w:p>
            <w:pPr>
              <w:spacing w:before="40" w:after="40"/>
            </w:pPr>
            <w:r>
              <w:rPr>
                <w:rFonts w:ascii="Times New Roman" w:hAnsi="Times New Roman"/>
                <w:b/>
                <w:color w:val="000000"/>
                <w:sz w:val="17"/>
              </w:rPr>
              <w:t>Layer 9</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0.1002</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10.02%</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Emotional inflection &amp; macro-prosody onset</w:t>
            </w:r>
          </w:p>
        </w:tc>
      </w:tr>
      <w:tr>
        <w:tc>
          <w:tcPr>
            <w:tcW w:type="dxa" w:w="2340"/>
            <w:tcMar>
              <w:top w:w="50" w:type="dxa"/>
              <w:bottom w:w="50" w:type="dxa"/>
              <w:left w:w="70" w:type="dxa"/>
              <w:right w:w="70" w:type="dxa"/>
            </w:tcMar>
          </w:tcPr>
          <w:p>
            <w:pPr>
              <w:spacing w:before="40" w:after="40"/>
            </w:pPr>
            <w:r>
              <w:rPr>
                <w:rFonts w:ascii="Times New Roman" w:hAnsi="Times New Roman"/>
                <w:b/>
                <w:color w:val="000000"/>
                <w:sz w:val="17"/>
              </w:rPr>
              <w:t>Layer 10</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0.1107</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11.07%</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Peak affective salience &amp; intonation contours</w:t>
            </w:r>
          </w:p>
        </w:tc>
      </w:tr>
      <w:tr>
        <w:tc>
          <w:tcPr>
            <w:tcW w:type="dxa" w:w="2340"/>
            <w:tcMar>
              <w:top w:w="50" w:type="dxa"/>
              <w:bottom w:w="50" w:type="dxa"/>
              <w:left w:w="70" w:type="dxa"/>
              <w:right w:w="70" w:type="dxa"/>
            </w:tcMar>
          </w:tcPr>
          <w:p>
            <w:pPr>
              <w:spacing w:before="40" w:after="40"/>
            </w:pPr>
            <w:r>
              <w:rPr>
                <w:rFonts w:ascii="Times New Roman" w:hAnsi="Times New Roman"/>
                <w:b/>
                <w:color w:val="000000"/>
                <w:sz w:val="17"/>
              </w:rPr>
              <w:t>Layer 11</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0.1086</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10.86%</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Global utterance affect &amp; speaker dynamics</w:t>
            </w:r>
          </w:p>
        </w:tc>
      </w:tr>
      <w:tr>
        <w:tc>
          <w:tcPr>
            <w:tcW w:type="dxa" w:w="2340"/>
            <w:tcMar>
              <w:top w:w="50" w:type="dxa"/>
              <w:bottom w:w="50" w:type="dxa"/>
              <w:left w:w="70" w:type="dxa"/>
              <w:right w:w="70" w:type="dxa"/>
            </w:tcMar>
          </w:tcPr>
          <w:p>
            <w:pPr>
              <w:spacing w:before="40" w:after="40"/>
            </w:pPr>
            <w:r>
              <w:rPr>
                <w:rFonts w:ascii="Times New Roman" w:hAnsi="Times New Roman"/>
                <w:color w:val="000000"/>
                <w:sz w:val="17"/>
              </w:rPr>
              <w:t>Layer 12</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0.1053</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10.53%</w:t>
            </w:r>
          </w:p>
        </w:tc>
        <w:tc>
          <w:tcPr>
            <w:tcW w:type="dxa" w:w="2340"/>
            <w:tcMar>
              <w:top w:w="50" w:type="dxa"/>
              <w:bottom w:w="50" w:type="dxa"/>
              <w:left w:w="70" w:type="dxa"/>
              <w:right w:w="70" w:type="dxa"/>
            </w:tcMar>
          </w:tcPr>
          <w:p>
            <w:pPr>
              <w:spacing w:before="40" w:after="40"/>
            </w:pPr>
            <w:r>
              <w:rPr>
                <w:rFonts w:ascii="Times New Roman" w:hAnsi="Times New Roman"/>
                <w:color w:val="000000"/>
                <w:sz w:val="17"/>
              </w:rPr>
              <w:t>Phonetic discrimination &amp; lexical alignment</w:t>
            </w:r>
          </w:p>
        </w:tc>
      </w:tr>
      <w:tr>
        <w:tc>
          <w:tcPr>
            <w:tcW w:type="dxa" w:w="2340"/>
            <w:tcMar>
              <w:top w:w="50" w:type="dxa"/>
              <w:bottom w:w="50" w:type="dxa"/>
              <w:left w:w="70" w:type="dxa"/>
              <w:right w:w="70" w:type="dxa"/>
            </w:tcMar>
          </w:tcPr>
          <w:p>
            <w:pPr>
              <w:spacing w:before="40" w:after="40"/>
            </w:pPr>
            <w:r>
              <w:rPr>
                <w:rFonts w:ascii="Times New Roman" w:hAnsi="Times New Roman"/>
                <w:b/>
                <w:color w:val="000000"/>
                <w:sz w:val="17"/>
              </w:rPr>
              <w:t>Total Sum</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1.0000</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100.00%</w:t>
            </w:r>
          </w:p>
        </w:tc>
        <w:tc>
          <w:tcPr>
            <w:tcW w:type="dxa" w:w="2340"/>
            <w:tcMar>
              <w:top w:w="50" w:type="dxa"/>
              <w:bottom w:w="50" w:type="dxa"/>
              <w:left w:w="70" w:type="dxa"/>
              <w:right w:w="70" w:type="dxa"/>
            </w:tcMar>
          </w:tcPr>
          <w:p>
            <w:pPr>
              <w:spacing w:before="40" w:after="40"/>
            </w:pPr>
            <w:r>
              <w:rPr>
                <w:rFonts w:ascii="Times New Roman" w:hAnsi="Times New Roman"/>
                <w:b/>
                <w:color w:val="000000"/>
                <w:sz w:val="17"/>
              </w:rPr>
              <w:t>Strict mathematical normalization verified</w:t>
            </w:r>
          </w:p>
        </w:tc>
      </w:tr>
    </w:tbl>
    <w:p>
      <w:pPr>
        <w:spacing w:after="80"/>
      </w:pPr>
    </w:p>
    <w:p>
      <w:pPr>
        <w:keepNext/>
        <w:spacing w:before="180" w:after="60"/>
        <w:jc w:val="left"/>
      </w:pPr>
      <w:r>
        <w:rPr>
          <w:rFonts w:ascii="Times New Roman" w:hAnsi="Times New Roman"/>
          <w:b/>
          <w:i/>
          <w:color w:val="000000"/>
          <w:sz w:val="20"/>
        </w:rPr>
        <w:t>C. Cross-Lingual Adaptation to Indic Hindi Speech</w:t>
      </w:r>
    </w:p>
    <w:p>
      <w:pPr>
        <w:spacing w:line="276" w:lineRule="auto" w:before="0" w:after="60"/>
        <w:ind w:firstLine="288"/>
        <w:jc w:val="both"/>
      </w:pPr>
      <w:r>
        <w:rPr>
          <w:rFonts w:ascii="Times New Roman" w:hAnsi="Times New Roman"/>
          <w:color w:val="000000"/>
          <w:sz w:val="20"/>
        </w:rPr>
        <w:t>Evaluating the English-trained Universal HuBERT model zero-shot on the native Hindi test split yielded 27.62% accuracy and 31.76% UAR (above the 25.0% chance level). While cross-lingual transfer occurred, linguistic differences limited precision. Training the specialized CNN-BiLSTM directly on the Hindi training split increased accuracy to 75.19% and UAR to 70.56%, an absolute improvement of 47.57 percentage points. Figure 4 illustrates this comparison, and Figure 5 displays the corresponding normalized confusion matrix.</w:t>
      </w:r>
    </w:p>
    <w:p>
      <w:pPr>
        <w:spacing w:before="160" w:after="60"/>
        <w:jc w:val="center"/>
      </w:pPr>
      <w:r>
        <w:drawing>
          <wp:inline xmlns:a="http://schemas.openxmlformats.org/drawingml/2006/main" xmlns:pic="http://schemas.openxmlformats.org/drawingml/2006/picture">
            <wp:extent cx="5303520" cy="3268261"/>
            <wp:docPr id="4" name="Picture 4"/>
            <wp:cNvGraphicFramePr>
              <a:graphicFrameLocks noChangeAspect="1"/>
            </wp:cNvGraphicFramePr>
            <a:graphic>
              <a:graphicData uri="http://schemas.openxmlformats.org/drawingml/2006/picture">
                <pic:pic>
                  <pic:nvPicPr>
                    <pic:cNvPr id="0" name="fig4_cross_lingual_transfer.png"/>
                    <pic:cNvPicPr/>
                  </pic:nvPicPr>
                  <pic:blipFill>
                    <a:blip r:embed="rId15"/>
                    <a:stretch>
                      <a:fillRect/>
                    </a:stretch>
                  </pic:blipFill>
                  <pic:spPr>
                    <a:xfrm>
                      <a:off x="0" y="0"/>
                      <a:ext cx="5303520" cy="3268261"/>
                    </a:xfrm>
                    <a:prstGeom prst="rect"/>
                  </pic:spPr>
                </pic:pic>
              </a:graphicData>
            </a:graphic>
          </wp:inline>
        </w:drawing>
      </w:r>
    </w:p>
    <w:p>
      <w:pPr>
        <w:spacing w:before="40" w:after="200"/>
        <w:ind w:left="432" w:right="432"/>
        <w:jc w:val="center"/>
      </w:pPr>
      <w:r>
        <w:rPr>
          <w:rFonts w:ascii="Times New Roman" w:hAnsi="Times New Roman"/>
          <w:i/>
          <w:color w:val="000000"/>
          <w:sz w:val="17"/>
        </w:rPr>
        <w:t>Fig. 4.  Cross-Lingual Adaptation to Indic Hindi Speech (Zero-Shot vs. Supervised Adaptation).</w:t>
      </w:r>
    </w:p>
    <w:p>
      <w:pPr>
        <w:spacing w:before="160" w:after="60"/>
        <w:jc w:val="center"/>
      </w:pPr>
      <w:r>
        <w:drawing>
          <wp:inline xmlns:a="http://schemas.openxmlformats.org/drawingml/2006/main" xmlns:pic="http://schemas.openxmlformats.org/drawingml/2006/picture">
            <wp:extent cx="4389120" cy="3975613"/>
            <wp:docPr id="5" name="Picture 5"/>
            <wp:cNvGraphicFramePr>
              <a:graphicFrameLocks noChangeAspect="1"/>
            </wp:cNvGraphicFramePr>
            <a:graphic>
              <a:graphicData uri="http://schemas.openxmlformats.org/drawingml/2006/picture">
                <pic:pic>
                  <pic:nvPicPr>
                    <pic:cNvPr id="0" name="fig5_hindi_confusion_matrix.png"/>
                    <pic:cNvPicPr/>
                  </pic:nvPicPr>
                  <pic:blipFill>
                    <a:blip r:embed="rId16"/>
                    <a:stretch>
                      <a:fillRect/>
                    </a:stretch>
                  </pic:blipFill>
                  <pic:spPr>
                    <a:xfrm>
                      <a:off x="0" y="0"/>
                      <a:ext cx="4389120" cy="3975613"/>
                    </a:xfrm>
                    <a:prstGeom prst="rect"/>
                  </pic:spPr>
                </pic:pic>
              </a:graphicData>
            </a:graphic>
          </wp:inline>
        </w:drawing>
      </w:r>
    </w:p>
    <w:p>
      <w:pPr>
        <w:spacing w:before="40" w:after="200"/>
        <w:ind w:left="432" w:right="432"/>
        <w:jc w:val="center"/>
      </w:pPr>
      <w:r>
        <w:rPr>
          <w:rFonts w:ascii="Times New Roman" w:hAnsi="Times New Roman"/>
          <w:i/>
          <w:color w:val="000000"/>
          <w:sz w:val="17"/>
        </w:rPr>
        <w:t>Fig. 5.  Normalized Confusion Matrix for the Hindi Emotion Specialist Model.</w:t>
      </w:r>
    </w:p>
    <w:p>
      <w:pPr>
        <w:keepNext/>
        <w:spacing w:before="280" w:after="100"/>
        <w:jc w:val="center"/>
      </w:pPr>
      <w:r>
        <w:rPr>
          <w:rFonts w:ascii="Times New Roman" w:hAnsi="Times New Roman"/>
          <w:b/>
          <w:color w:val="000000"/>
          <w:sz w:val="21"/>
        </w:rPr>
        <w:t>VIII. SPEECH BEHAVIOURAL INTELLIGENCE PROFILING</w:t>
      </w:r>
    </w:p>
    <w:p>
      <w:pPr>
        <w:spacing w:line="276" w:lineRule="auto" w:before="0" w:after="60"/>
        <w:ind w:firstLine="288"/>
        <w:jc w:val="both"/>
      </w:pPr>
      <w:r>
        <w:rPr>
          <w:rFonts w:ascii="Times New Roman" w:hAnsi="Times New Roman"/>
          <w:color w:val="000000"/>
          <w:sz w:val="20"/>
        </w:rPr>
        <w:t>Figure 6 summarizes the objective acoustic patterns extracted across emotion categories by the Behaviour Engine:</w:t>
        <w:br/>
        <w:br/>
        <w:t>• Anger: Characterized by an accelerated speaking tempo (mean 4.2 syl/s), minimal hesitation (pause ratio 12.4%), high vocal intensity (mean loudness -16.2 dB), and sharp pitch variance (sigma_F0 = 54.3 Hz).</w:t>
        <w:br/>
        <w:t>• Sadness: Exhibits psychomotor deceleration with a slow speaking tempo (mean 2.2 syl/s), extensive silence intervals (pause ratio 31.8%), attenuated energy (mean loudness -29.4 dB), and flat fundamental frequency intonation (mean pitch 108.4 Hz, sigma_F0 = 18.2 Hz).</w:t>
        <w:br/>
        <w:t>• Joy: Features elevated pitch dynamics (mean pitch 232.1 Hz, sigma_F0 = 62.1 Hz) and moderate tempo (3.6 syl/s).</w:t>
        <w:br/>
        <w:t>• Neutral / Calm: Displays balanced cadence (2.8 to 3.4 syl/s), standard pause ratio (18% to 22%), and stable loudness (-22 to -26 dB).</w:t>
      </w:r>
    </w:p>
    <w:p>
      <w:pPr>
        <w:spacing w:before="160" w:after="60"/>
        <w:jc w:val="center"/>
      </w:pPr>
      <w:r>
        <w:drawing>
          <wp:inline xmlns:a="http://schemas.openxmlformats.org/drawingml/2006/main" xmlns:pic="http://schemas.openxmlformats.org/drawingml/2006/picture">
            <wp:extent cx="5486400" cy="3802069"/>
            <wp:docPr id="6" name="Picture 6"/>
            <wp:cNvGraphicFramePr>
              <a:graphicFrameLocks noChangeAspect="1"/>
            </wp:cNvGraphicFramePr>
            <a:graphic>
              <a:graphicData uri="http://schemas.openxmlformats.org/drawingml/2006/picture">
                <pic:pic>
                  <pic:nvPicPr>
                    <pic:cNvPr id="0" name="fig6_behavioral_prosody_profile.png"/>
                    <pic:cNvPicPr/>
                  </pic:nvPicPr>
                  <pic:blipFill>
                    <a:blip r:embed="rId17"/>
                    <a:stretch>
                      <a:fillRect/>
                    </a:stretch>
                  </pic:blipFill>
                  <pic:spPr>
                    <a:xfrm>
                      <a:off x="0" y="0"/>
                      <a:ext cx="5486400" cy="3802069"/>
                    </a:xfrm>
                    <a:prstGeom prst="rect"/>
                  </pic:spPr>
                </pic:pic>
              </a:graphicData>
            </a:graphic>
          </wp:inline>
        </w:drawing>
      </w:r>
    </w:p>
    <w:p>
      <w:pPr>
        <w:spacing w:before="40" w:after="200"/>
        <w:ind w:left="432" w:right="432"/>
        <w:jc w:val="center"/>
      </w:pPr>
      <w:r>
        <w:rPr>
          <w:rFonts w:ascii="Times New Roman" w:hAnsi="Times New Roman"/>
          <w:i/>
          <w:color w:val="000000"/>
          <w:sz w:val="17"/>
        </w:rPr>
        <w:t>Fig. 6.  Multimodal Speech Behaviour Telemetry across Discrete Emotion Categories.</w:t>
      </w:r>
    </w:p>
    <w:p>
      <w:pPr>
        <w:keepNext/>
        <w:spacing w:before="280" w:after="100"/>
        <w:jc w:val="center"/>
      </w:pPr>
      <w:r>
        <w:rPr>
          <w:rFonts w:ascii="Times New Roman" w:hAnsi="Times New Roman"/>
          <w:b/>
          <w:color w:val="000000"/>
          <w:sz w:val="21"/>
        </w:rPr>
        <w:t>IX. SYSTEM DEPLOYMENT ARCHITECTURE</w:t>
      </w:r>
    </w:p>
    <w:p>
      <w:pPr>
        <w:spacing w:line="276" w:lineRule="auto" w:before="0" w:after="60"/>
        <w:ind w:firstLine="288"/>
        <w:jc w:val="both"/>
      </w:pPr>
      <w:r>
        <w:rPr>
          <w:rFonts w:ascii="Times New Roman" w:hAnsi="Times New Roman"/>
          <w:color w:val="000000"/>
          <w:sz w:val="20"/>
        </w:rPr>
        <w:t>The end-to-end framework is implemented as an Apple Silicon accelerated microservice paired with a minimal web application:</w:t>
        <w:br/>
        <w:br/>
        <w:t>• Frontend UI (Next.js / TypeScript): Minimal white-mode interface featuring a real-time Web Audio API frequency visualizer (AudioWaveformVisualizer) connected to live microphone input and audio playback.</w:t>
        <w:br/>
        <w:t>• Backend Microservice (FastAPI): Model registry serving the Hindi Specialist (CNN-BiLSTM) and Universal SER models with Metal Performance Shaders (mps) hardware acceleration (38.4 ms average inference latency).</w:t>
      </w:r>
    </w:p>
    <w:p>
      <w:pPr>
        <w:keepNext/>
        <w:spacing w:before="280" w:after="100"/>
        <w:jc w:val="center"/>
      </w:pPr>
      <w:r>
        <w:rPr>
          <w:rFonts w:ascii="Times New Roman" w:hAnsi="Times New Roman"/>
          <w:b/>
          <w:color w:val="000000"/>
          <w:sz w:val="21"/>
        </w:rPr>
        <w:t>X. DISCUSSION &amp; LIMITATIONS</w:t>
      </w:r>
    </w:p>
    <w:p>
      <w:pPr>
        <w:spacing w:line="276" w:lineRule="auto" w:before="0" w:after="60"/>
        <w:ind w:firstLine="288"/>
        <w:jc w:val="both"/>
      </w:pPr>
      <w:r>
        <w:rPr>
          <w:rFonts w:ascii="Times New Roman" w:hAnsi="Times New Roman"/>
          <w:color w:val="000000"/>
          <w:sz w:val="20"/>
        </w:rPr>
        <w:t>While the experimental results validate the efficacy of learnable layer pooling and disjoint evaluation protocols, several limitations should be noted:</w:t>
        <w:br/>
        <w:br/>
        <w:t>1. Acoustic Cleanliness: Corpora such as TESS feature near-zero ambient noise, which does not reflect conversational real-world audio.</w:t>
        <w:br/>
        <w:t>2. Dialectal Diversity in Indic Speech: The Hindi evaluation was conducted across 25 speakers; regional dialectal variations across northern and central India require broader multi-dialect data collection.</w:t>
        <w:br/>
        <w:t>3. Pre-trained Audio Sampling: Standard foundation models operate at 16 kHz, which truncates ultra-high frequency acoustic cues (&gt; 8 kHz).</w:t>
      </w:r>
    </w:p>
    <w:p>
      <w:pPr>
        <w:keepNext/>
        <w:spacing w:before="280" w:after="100"/>
        <w:jc w:val="center"/>
      </w:pPr>
      <w:r>
        <w:rPr>
          <w:rFonts w:ascii="Times New Roman" w:hAnsi="Times New Roman"/>
          <w:b/>
          <w:color w:val="000000"/>
          <w:sz w:val="21"/>
        </w:rPr>
        <w:t>XI. CONCLUSION</w:t>
      </w:r>
    </w:p>
    <w:p>
      <w:pPr>
        <w:spacing w:line="276" w:lineRule="auto" w:before="0" w:after="60"/>
        <w:ind w:firstLine="288"/>
        <w:jc w:val="both"/>
      </w:pPr>
      <w:r>
        <w:rPr>
          <w:rFonts w:ascii="Times New Roman" w:hAnsi="Times New Roman"/>
          <w:color w:val="000000"/>
          <w:sz w:val="20"/>
        </w:rPr>
        <w:t>This research evaluated speech emotion recognition across multi-corpus and cross-lingual settings. The primary conclusions are:</w:t>
        <w:br/>
        <w:br/>
        <w:t>1. Learnable Weighted Layer Pooling demonstrates that intermediate transformer layers (Layers 9 to 11) capture the highest concentration of emotional prosody (31.95%), outperforming top-layer pooling.</w:t>
        <w:br/>
        <w:t>2. Speaker Diversity is essential for generalization: models trained on minimal speaker cohorts overfit speaker identity, whereas pre-training across larger cohorts supports speaker-independent evaluation.</w:t>
        <w:br/>
        <w:t>3. Cross-Lingual Transfer: English pre-trained models transfer moderately above chance to native Hindi speech, but supervised adaptation using specialized CNN-BiLSTM networks achieves 75.19% accuracy.</w:t>
        <w:br/>
        <w:t>4. Behavioural Metrics: Combining discrete emotion classification with continuous acoustic measurements (speech rate, pause metrics, energy, and pitch) provides a more comprehensive vocal assessment.</w:t>
      </w:r>
    </w:p>
    <w:p>
      <w:pPr>
        <w:keepNext/>
        <w:spacing w:before="280" w:after="100"/>
        <w:jc w:val="center"/>
      </w:pPr>
      <w:r>
        <w:rPr>
          <w:rFonts w:ascii="Times New Roman" w:hAnsi="Times New Roman"/>
          <w:b/>
          <w:color w:val="000000"/>
          <w:sz w:val="21"/>
        </w:rPr>
        <w:t>REFERENCES</w:t>
      </w:r>
    </w:p>
    <w:p>
      <w:pPr>
        <w:spacing w:line="264" w:lineRule="auto" w:before="0" w:after="50"/>
        <w:ind w:left="360" w:hanging="360"/>
        <w:jc w:val="both"/>
      </w:pPr>
      <w:r>
        <w:rPr>
          <w:rFonts w:ascii="Times New Roman" w:hAnsi="Times New Roman"/>
          <w:color w:val="000000"/>
          <w:sz w:val="17"/>
        </w:rPr>
        <w:t>[1] A. Kotian and S. Singh, "Evaluating the impact of behavioural features on Hindi speech emotion recognition: A multimodal deep learning approach," Journal of Tianjin University Science and Technology, vol. 59, no. 2, pp. 1–10, 2026.</w:t>
      </w:r>
    </w:p>
    <w:p>
      <w:pPr>
        <w:spacing w:line="264" w:lineRule="auto" w:before="0" w:after="50"/>
        <w:ind w:left="360" w:hanging="360"/>
        <w:jc w:val="both"/>
      </w:pPr>
      <w:r>
        <w:rPr>
          <w:rFonts w:ascii="Times New Roman" w:hAnsi="Times New Roman"/>
          <w:color w:val="000000"/>
          <w:sz w:val="17"/>
        </w:rPr>
        <w:t>[2] A. Kotian and S. Singh, "Benchmarking classical, deep learning, and transformer architectures for Hindi speech emotion recognition," Interdisciplinary Journal of AI, Machine Learning &amp; Data Science, vol. 1, no. 1, art. e001, pp. 1–24, 2026. doi: 10.66261/fetdj998.</w:t>
      </w:r>
    </w:p>
    <w:p>
      <w:pPr>
        <w:spacing w:line="264" w:lineRule="auto" w:before="0" w:after="50"/>
        <w:ind w:left="360" w:hanging="360"/>
        <w:jc w:val="both"/>
      </w:pPr>
      <w:r>
        <w:rPr>
          <w:rFonts w:ascii="Times New Roman" w:hAnsi="Times New Roman"/>
          <w:color w:val="000000"/>
          <w:sz w:val="17"/>
        </w:rPr>
        <w:t>[3] H. Chauhan and N. Sharma, "MNITJ-SEHSD: Hindi speech emotion dataset," in Proc. 2023 IEEE 4th International Conference on Computing, Communication and Security (IC3S), Bengaluru, India, 2023, pp. 1–6. doi: 10.1109/IC3S57698.2023.10169497.</w:t>
      </w:r>
    </w:p>
    <w:p>
      <w:pPr>
        <w:spacing w:line="264" w:lineRule="auto" w:before="0" w:after="50"/>
        <w:ind w:left="360" w:hanging="360"/>
        <w:jc w:val="both"/>
      </w:pPr>
      <w:r>
        <w:rPr>
          <w:rFonts w:ascii="Times New Roman" w:hAnsi="Times New Roman"/>
          <w:color w:val="000000"/>
          <w:sz w:val="17"/>
        </w:rPr>
        <w:t>[4] N. Mehra, S. K. Mittal, and S. Kumar, "BERIS: A speech database for Indian languages," ACM Transactions on Asian and Low-Resource Language Information Processing, vol. 21, no. 5, pp. 1–21, 2022. doi: 10.1145/3517195.</w:t>
      </w:r>
    </w:p>
    <w:p>
      <w:pPr>
        <w:spacing w:line="264" w:lineRule="auto" w:before="0" w:after="50"/>
        <w:ind w:left="360" w:hanging="360"/>
        <w:jc w:val="both"/>
      </w:pPr>
      <w:r>
        <w:rPr>
          <w:rFonts w:ascii="Times New Roman" w:hAnsi="Times New Roman"/>
          <w:color w:val="000000"/>
          <w:sz w:val="17"/>
        </w:rPr>
        <w:t>[5] K. B. Kawade and V. S. Jagtap, "Evaluating speech emotion recognition in Indian languages through deep learning," Revue d'Intelligence Artificielle, vol. 38, no. 3, pp. 883–890, 2024. doi: 10.18280/ria.380318.</w:t>
      </w:r>
    </w:p>
    <w:p>
      <w:pPr>
        <w:spacing w:line="264" w:lineRule="auto" w:before="0" w:after="50"/>
        <w:ind w:left="360" w:hanging="360"/>
        <w:jc w:val="both"/>
      </w:pPr>
      <w:r>
        <w:rPr>
          <w:rFonts w:ascii="Times New Roman" w:hAnsi="Times New Roman"/>
          <w:color w:val="000000"/>
          <w:sz w:val="17"/>
        </w:rPr>
        <w:t>[6] Z. Ma et al., "emotion2vec: Self-supervised pre-training for speech emotion representation," in Findings of the Association for Computational Linguistics: ACL 2024, Bangkok, Thailand, 2024, pp. 15747–15760.</w:t>
      </w:r>
    </w:p>
    <w:p>
      <w:pPr>
        <w:spacing w:line="264" w:lineRule="auto" w:before="0" w:after="50"/>
        <w:ind w:left="360" w:hanging="360"/>
        <w:jc w:val="both"/>
      </w:pPr>
      <w:r>
        <w:rPr>
          <w:rFonts w:ascii="Times New Roman" w:hAnsi="Times New Roman"/>
          <w:color w:val="000000"/>
          <w:sz w:val="17"/>
        </w:rPr>
        <w:t>[7] S. Chen et al., "BEATs: Audio pre-training with acoustic tokenizers," in Proc. 40th International Conference on Machine Learning (ICML), vol. 202, 2023, pp. 5178–5193.</w:t>
      </w:r>
    </w:p>
    <w:p>
      <w:pPr>
        <w:spacing w:line="264" w:lineRule="auto" w:before="0" w:after="50"/>
        <w:ind w:left="360" w:hanging="360"/>
        <w:jc w:val="both"/>
      </w:pPr>
      <w:r>
        <w:rPr>
          <w:rFonts w:ascii="Times New Roman" w:hAnsi="Times New Roman"/>
          <w:color w:val="000000"/>
          <w:sz w:val="17"/>
        </w:rPr>
        <w:t>[8] W.-N. Hsu et al., "HuBERT: Self-supervised speech representation learning by masked prediction of hidden units," IEEE/ACM Transactions on Audio, Speech, and Language Processing, vol. 29, pp. 3451–3460, 2021.</w:t>
      </w:r>
    </w:p>
    <w:p>
      <w:pPr>
        <w:spacing w:line="264" w:lineRule="auto" w:before="0" w:after="50"/>
        <w:ind w:left="360" w:hanging="360"/>
        <w:jc w:val="both"/>
      </w:pPr>
      <w:r>
        <w:rPr>
          <w:rFonts w:ascii="Times New Roman" w:hAnsi="Times New Roman"/>
          <w:color w:val="000000"/>
          <w:sz w:val="17"/>
        </w:rPr>
        <w:t>[9] A. Baevski et al., "wav2vec 2.0: A framework for self-supervised learning of speech representations," in Advances in Neural Information Processing Systems (NeurIPS), vol. 33, 2020, pp. 12449–12460.</w:t>
      </w:r>
    </w:p>
    <w:p>
      <w:pPr>
        <w:spacing w:line="264" w:lineRule="auto" w:before="0" w:after="50"/>
        <w:ind w:left="360" w:hanging="360"/>
        <w:jc w:val="both"/>
      </w:pPr>
      <w:r>
        <w:rPr>
          <w:rFonts w:ascii="Times New Roman" w:hAnsi="Times New Roman"/>
          <w:color w:val="000000"/>
          <w:sz w:val="17"/>
        </w:rPr>
        <w:t>[10] A. Babu et al., "XLS-R: Self-supervised cross-lingual speech representation learning at scale," in Proc. Interspeech 2022, Incheon, Korea, 2022, pp. 2278–2282.</w:t>
      </w:r>
    </w:p>
    <w:p>
      <w:pPr>
        <w:spacing w:line="264" w:lineRule="auto" w:before="0" w:after="50"/>
        <w:ind w:left="360" w:hanging="360"/>
        <w:jc w:val="both"/>
      </w:pPr>
      <w:r>
        <w:rPr>
          <w:rFonts w:ascii="Times New Roman" w:hAnsi="Times New Roman"/>
          <w:color w:val="000000"/>
          <w:sz w:val="17"/>
        </w:rPr>
        <w:t>[11] S. Chowdhury et al., "Speech emotion recognition using acoustic prosody and deep neural architectures," IEEE Access, vol. 13, pp. 11204–11218, 2025.</w:t>
      </w:r>
    </w:p>
    <w:p>
      <w:pPr>
        <w:spacing w:line="264" w:lineRule="auto" w:before="0" w:after="50"/>
        <w:ind w:left="360" w:hanging="360"/>
        <w:jc w:val="both"/>
      </w:pPr>
      <w:r>
        <w:rPr>
          <w:rFonts w:ascii="Times New Roman" w:hAnsi="Times New Roman"/>
          <w:color w:val="000000"/>
          <w:sz w:val="17"/>
        </w:rPr>
        <w:t>[12] F. Eyben et al., "The Geneva Minimalistic Acoustic Parameter Set (GeMAPS) for voice research and affective computing," IEEE Transactions on Affective Computing, vol. 7, no. 2, pp. 190–202, 2016.</w:t>
      </w:r>
    </w:p>
    <w:p>
      <w:pPr>
        <w:spacing w:line="264" w:lineRule="auto" w:before="0" w:after="50"/>
        <w:ind w:left="360" w:hanging="360"/>
        <w:jc w:val="both"/>
      </w:pPr>
      <w:r>
        <w:rPr>
          <w:rFonts w:ascii="Times New Roman" w:hAnsi="Times New Roman"/>
          <w:color w:val="000000"/>
          <w:sz w:val="17"/>
        </w:rPr>
        <w:t>[13] B. W. Schuller et al., "The INTERSPEECH 2020 Computational Paralinguistics Challenge," in Proc. Interspeech 2020, Shanghai, China, 2020, pp. 2017–2021.</w:t>
      </w:r>
    </w:p>
    <w:p>
      <w:pPr>
        <w:spacing w:line="264" w:lineRule="auto" w:before="0" w:after="50"/>
        <w:ind w:left="360" w:hanging="360"/>
        <w:jc w:val="both"/>
      </w:pPr>
      <w:r>
        <w:rPr>
          <w:rFonts w:ascii="Times New Roman" w:hAnsi="Times New Roman"/>
          <w:color w:val="000000"/>
          <w:sz w:val="17"/>
        </w:rPr>
        <w:t>[14] X. Wang and Y. Yang, "Speaker identity leakage and evaluation protocols in speech emotion recognition," IEEE Transactions on Affective Computing, vol. 16, no. 1, pp. 412–425, 2025.</w:t>
      </w:r>
    </w:p>
    <w:p>
      <w:pPr>
        <w:spacing w:line="264" w:lineRule="auto" w:before="0" w:after="50"/>
        <w:ind w:left="360" w:hanging="360"/>
        <w:jc w:val="both"/>
      </w:pPr>
      <w:r>
        <w:rPr>
          <w:rFonts w:ascii="Times New Roman" w:hAnsi="Times New Roman"/>
          <w:color w:val="000000"/>
          <w:sz w:val="17"/>
        </w:rPr>
        <w:t>[15] A. Hashem et al., "Cross-corpus speech emotion recognition: A review and benchmark," Speech Communication, vol. 148, pp. 1–17, 2023.</w:t>
      </w:r>
    </w:p>
    <w:p>
      <w:pPr>
        <w:spacing w:line="264" w:lineRule="auto" w:before="0" w:after="50"/>
        <w:ind w:left="360" w:hanging="360"/>
        <w:jc w:val="both"/>
      </w:pPr>
      <w:r>
        <w:rPr>
          <w:rFonts w:ascii="Times New Roman" w:hAnsi="Times New Roman"/>
          <w:color w:val="000000"/>
          <w:sz w:val="17"/>
        </w:rPr>
        <w:t>[16] M. B. Akcay and K. Oguz, "Speech emotion recognition: Emotional models, databases, features, and classification," Speech Communication, vol. 116, pp. 56–76, 2020.</w:t>
      </w:r>
    </w:p>
    <w:p>
      <w:pPr>
        <w:spacing w:line="264" w:lineRule="auto" w:before="0" w:after="50"/>
        <w:ind w:left="360" w:hanging="360"/>
        <w:jc w:val="both"/>
      </w:pPr>
      <w:r>
        <w:rPr>
          <w:rFonts w:ascii="Times New Roman" w:hAnsi="Times New Roman"/>
          <w:color w:val="000000"/>
          <w:sz w:val="17"/>
        </w:rPr>
        <w:t>[17] H. Cao et al., "CREMA-D: Crowd-sourced emotional multimodal actors dataset," IEEE Transactions on Affective Computing, vol. 5, no. 4, pp. 377–390, 2014.</w:t>
      </w:r>
    </w:p>
    <w:p>
      <w:pPr>
        <w:spacing w:line="264" w:lineRule="auto" w:before="0" w:after="50"/>
        <w:ind w:left="360" w:hanging="360"/>
        <w:jc w:val="both"/>
      </w:pPr>
      <w:r>
        <w:rPr>
          <w:rFonts w:ascii="Times New Roman" w:hAnsi="Times New Roman"/>
          <w:color w:val="000000"/>
          <w:sz w:val="17"/>
        </w:rPr>
        <w:t>[18] S. R. Livingstone and F. A. Russo, "The Ryerson Audio-Visual Database of Emotional Speech and Song (RAVDESS)," PLoS ONE, vol. 13, no. 5, p. e0196391, 2018.</w:t>
      </w:r>
    </w:p>
    <w:p>
      <w:pPr>
        <w:spacing w:line="264" w:lineRule="auto" w:before="0" w:after="50"/>
        <w:ind w:left="360" w:hanging="360"/>
        <w:jc w:val="both"/>
      </w:pPr>
      <w:r>
        <w:rPr>
          <w:rFonts w:ascii="Times New Roman" w:hAnsi="Times New Roman"/>
          <w:color w:val="000000"/>
          <w:sz w:val="17"/>
        </w:rPr>
        <w:t>[19] S. Haq and P. J. B. Jackson, "Multimodal emotion recognition," in Machine Audition: Principles, Algorithms and Systems. IGI Global, 2010, pp. 398–423.</w:t>
      </w:r>
    </w:p>
    <w:p>
      <w:pPr>
        <w:spacing w:line="264" w:lineRule="auto" w:before="0" w:after="50"/>
        <w:ind w:left="360" w:hanging="360"/>
        <w:jc w:val="both"/>
      </w:pPr>
      <w:r>
        <w:rPr>
          <w:rFonts w:ascii="Times New Roman" w:hAnsi="Times New Roman"/>
          <w:color w:val="000000"/>
          <w:sz w:val="17"/>
        </w:rPr>
        <w:t>[20] M. K. Pichora-Fuller and K. Dupuis, "Toronto Emotional Speech Set (TESS)," Scholars Portal Dataverse, vol. 1, 2020.</w:t>
      </w:r>
    </w:p>
    <w:p>
      <w:pPr>
        <w:spacing w:line="264" w:lineRule="auto" w:before="0" w:after="50"/>
        <w:ind w:left="360" w:hanging="360"/>
        <w:jc w:val="both"/>
      </w:pPr>
      <w:r>
        <w:rPr>
          <w:rFonts w:ascii="Times New Roman" w:hAnsi="Times New Roman"/>
          <w:color w:val="000000"/>
          <w:sz w:val="17"/>
        </w:rPr>
        <w:t>[21] A. Vaswani et al., "Attention is all you need," in Advances in Neural Information Processing Systems (NeurIPS), vol. 30, 2017, pp. 5998–6008.</w:t>
      </w:r>
    </w:p>
    <w:p>
      <w:pPr>
        <w:spacing w:line="264" w:lineRule="auto" w:before="0" w:after="50"/>
        <w:ind w:left="360" w:hanging="360"/>
        <w:jc w:val="both"/>
      </w:pPr>
      <w:r>
        <w:rPr>
          <w:rFonts w:ascii="Times New Roman" w:hAnsi="Times New Roman"/>
          <w:color w:val="000000"/>
          <w:sz w:val="17"/>
        </w:rPr>
        <w:t>[22] S. Hochreiter and J. Schmidhuber, "Long short-term memory," Neural Computation, vol. 9, no. 8, pp. 1735–1780, 1997.</w:t>
      </w:r>
    </w:p>
    <w:p>
      <w:pPr>
        <w:spacing w:line="264" w:lineRule="auto" w:before="0" w:after="50"/>
        <w:ind w:left="360" w:hanging="360"/>
        <w:jc w:val="both"/>
      </w:pPr>
      <w:r>
        <w:rPr>
          <w:rFonts w:ascii="Times New Roman" w:hAnsi="Times New Roman"/>
          <w:color w:val="000000"/>
          <w:sz w:val="17"/>
        </w:rPr>
        <w:t>[23] K. He et al., "Deep residual learning for image recognition," in Proc. IEEE Conference on Computer Vision and Pattern Recognition (CVPR), 2016, pp. 770–778.</w:t>
      </w:r>
    </w:p>
    <w:p>
      <w:pPr>
        <w:spacing w:line="264" w:lineRule="auto" w:before="0" w:after="50"/>
        <w:ind w:left="360" w:hanging="360"/>
        <w:jc w:val="both"/>
      </w:pPr>
      <w:r>
        <w:rPr>
          <w:rFonts w:ascii="Times New Roman" w:hAnsi="Times New Roman"/>
          <w:color w:val="000000"/>
          <w:sz w:val="17"/>
        </w:rPr>
        <w:t>[24] A. Pasad, J.-C. Chou, and K. Livescu, "Layer-wise analysis of a self-supervised speech representation model," in Proc. IEEE Automatic Speech Recognition and Understanding Workshop (ASRU), 2021, pp. 914–921.</w:t>
      </w:r>
    </w:p>
    <w:p>
      <w:pPr>
        <w:spacing w:line="264" w:lineRule="auto" w:before="0" w:after="50"/>
        <w:ind w:left="360" w:hanging="360"/>
        <w:jc w:val="both"/>
      </w:pPr>
      <w:r>
        <w:rPr>
          <w:rFonts w:ascii="Times New Roman" w:hAnsi="Times New Roman"/>
          <w:color w:val="000000"/>
          <w:sz w:val="17"/>
        </w:rPr>
        <w:t>[25] D. P. Kingma and J. Ba, "Adam: A method for stochastic optimization," in Proc. 3rd International Conference on Learning Representations (ICLR), San Diego, CA, 2015.</w:t>
      </w:r>
    </w:p>
    <w:p>
      <w:pPr>
        <w:spacing w:line="264" w:lineRule="auto" w:before="0" w:after="50"/>
        <w:ind w:left="360" w:hanging="360"/>
        <w:jc w:val="both"/>
      </w:pPr>
      <w:r>
        <w:rPr>
          <w:rFonts w:ascii="Times New Roman" w:hAnsi="Times New Roman"/>
          <w:color w:val="000000"/>
          <w:sz w:val="17"/>
        </w:rPr>
        <w:t>[26] I. Loshchilov and F. Hutter, "Decoupled weight decay regularization," in Proc. 7th International Conference on Learning Representations (ICLR), New Orleans, LA, 2019.</w:t>
      </w:r>
    </w:p>
    <w:p>
      <w:pPr>
        <w:spacing w:line="264" w:lineRule="auto" w:before="0" w:after="50"/>
        <w:ind w:left="360" w:hanging="360"/>
        <w:jc w:val="both"/>
      </w:pPr>
      <w:r>
        <w:rPr>
          <w:rFonts w:ascii="Times New Roman" w:hAnsi="Times New Roman"/>
          <w:color w:val="000000"/>
          <w:sz w:val="17"/>
        </w:rPr>
        <w:t>[27] N. Srivastava et al., "Dropout: A simple way to prevent neural networks from overfitting," Journal of Machine Learning Research, vol. 15, no. 1, pp. 1929–1958, 2014.</w:t>
      </w:r>
    </w:p>
    <w:p>
      <w:pPr>
        <w:spacing w:line="264" w:lineRule="auto" w:before="0" w:after="50"/>
        <w:ind w:left="360" w:hanging="360"/>
        <w:jc w:val="both"/>
      </w:pPr>
      <w:r>
        <w:rPr>
          <w:rFonts w:ascii="Times New Roman" w:hAnsi="Times New Roman"/>
          <w:color w:val="000000"/>
          <w:sz w:val="17"/>
        </w:rPr>
        <w:t>[28] C. Busso et al., "IEMOCAP: Interactive emotional dyadic motion capture database," Language Resources and Evaluation, vol. 42, no. 4, pp. 335–359, 2008.</w:t>
      </w:r>
    </w:p>
    <w:p>
      <w:pPr>
        <w:spacing w:line="264" w:lineRule="auto" w:before="0" w:after="50"/>
        <w:ind w:left="360" w:hanging="360"/>
        <w:jc w:val="both"/>
      </w:pPr>
      <w:r>
        <w:rPr>
          <w:rFonts w:ascii="Times New Roman" w:hAnsi="Times New Roman"/>
          <w:color w:val="000000"/>
          <w:sz w:val="17"/>
        </w:rPr>
        <w:t>[29] M. Mauch and S. Dixon, "pYIN: A fundamental frequency estimator using probabilistic threshold distributions," in Proc. IEEE International Conference on Acoustics, Speech and Signal Processing (ICASSP), 2014, pp. 659–663.</w:t>
      </w:r>
    </w:p>
    <w:p>
      <w:pPr>
        <w:spacing w:line="264" w:lineRule="auto" w:before="0" w:after="50"/>
        <w:ind w:left="360" w:hanging="360"/>
        <w:jc w:val="both"/>
      </w:pPr>
      <w:r>
        <w:rPr>
          <w:rFonts w:ascii="Times New Roman" w:hAnsi="Times New Roman"/>
          <w:color w:val="000000"/>
          <w:sz w:val="17"/>
        </w:rPr>
        <w:t>[30] L. Sun et al., "Combining acoustic and linguistic features with cross-corpus evaluation for speech emotion recognition," Computer Speech &amp; Language, vol. 84, p. 101569, 2024.</w:t>
      </w:r>
    </w:p>
    <w:sectPr w:rsidR="00FC693F" w:rsidRPr="0006063C" w:rsidSect="00034616">
      <w:footerReference w:type="first" r:id="rId9"/>
      <w:headerReference w:type="defaul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before="80" w:after="0"/>
      <w:jc w:val="both"/>
      <w:pBdr>
        <w:top w:val="single" w:sz="6" w:space="5" w:color="000000"/>
      </w:pBdr>
    </w:pPr>
    <w:r>
      <w:rPr>
        <w:rFonts w:ascii="Times New Roman" w:hAnsi="Times New Roman"/>
        <w:i/>
        <w:color w:val="000000"/>
        <w:sz w:val="16"/>
      </w:rPr>
      <w:t>Manuscript submitted September 2026. This research investigation was conducted by Himanshi Patel with the Department of Computer Science and Engineering. Project Repository: speech_emotion_detection (Branch: develop-v3). E-mail: himanshipatel@academic.edu. Comprehensive experimental code, model checkpoints, and evaluation telemetry are publicly accessible under open academic protocols.</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40" w:after="0"/>
      <w:jc w:val="left"/>
      <w:pBdr>
        <w:top w:val="single" w:sz="6" w:space="4" w:color="000000"/>
      </w:pBdr>
    </w:pPr>
    <w:r>
      <w:rPr>
        <w:rFonts w:ascii="Times New Roman" w:hAnsi="Times New Roman"/>
        <w:color w:val="000000"/>
        <w:sz w:val="16"/>
      </w:rPr>
      <w:t>PATEL: MULTI-CORPUS AND MULTILINGUAL SPEECH EMOTION RECOGNITION</w:t>
      <w:tab/>
    </w:r>
    <w:r>
      <w:rPr>
        <w:rFonts w:ascii="Times New Roman" w:hAnsi="Times New Roman"/>
        <w:color w:val="000000"/>
        <w:sz w:val="16"/>
      </w:rPr>
      <w:t>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40"/>
      <w:jc w:val="left"/>
      <w:pBdr>
        <w:bottom w:val="single" w:sz="6" w:space="4" w:color="000000"/>
      </w:pBdr>
    </w:pPr>
    <w:r>
      <w:rPr>
        <w:rFonts w:ascii="Times New Roman" w:hAnsi="Times New Roman"/>
        <w:color w:val="000000"/>
        <w:sz w:val="17"/>
      </w:rPr>
      <w:t>IEEE TRANSACTIONS ON AFFECTIVE COMPUTING, VOL. XX, NO. X, SEPTEMBER 2026</w:t>
      <w:tab/>
    </w:r>
    <w:r>
      <w:rPr>
        <w:rFonts w:ascii="Times New Roman" w:hAnsi="Times New Roman"/>
        <w:color w:val="000000"/>
        <w:sz w:val="17"/>
      </w:rPr>
      <w:t xml:space="preserve">Page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