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93" w:lineRule="auto"/>
        <w:jc w:val="center"/>
      </w:pPr>
      <w:r>
        <w:rPr>
          <w:rFonts w:ascii="Times New Roman" w:hAnsi="Times New Roman"/>
          <w:b/>
          <w:color w:val="000000"/>
          <w:sz w:val="36"/>
        </w:rPr>
        <w:t>Multi-Corpus and Multilingual Speech Emotion Recognition with Audio Behavioural Intelligence: A Cross-Lingual Evaluation and Learnable Weighted Layer Pooling Study</w:t>
      </w:r>
    </w:p>
    <w:p>
      <w:pPr>
        <w:spacing w:before="0" w:after="60"/>
        <w:jc w:val="center"/>
      </w:pPr>
      <w:r>
        <w:rPr>
          <w:rFonts w:ascii="Times New Roman" w:hAnsi="Times New Roman"/>
          <w:b/>
          <w:color w:val="000000"/>
          <w:sz w:val="24"/>
        </w:rPr>
        <w:t>Himanshi Patel</w:t>
      </w:r>
    </w:p>
    <w:p>
      <w:pPr>
        <w:spacing w:before="0" w:after="32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inflates experimental accuracy by 15% to 35% compared to real-world performance on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2"/>
        </w:rPr>
        <w:t>1. Introduction &amp; Research Motivation</w:t>
      </w:r>
    </w:p>
    <w:p>
      <w:pPr>
        <w:spacing w:line="276" w:lineRule="auto" w:before="0" w:after="70"/>
        <w:ind w:firstLine="288"/>
        <w:jc w:val="both"/>
      </w:pPr>
      <w:r>
        <w:rPr>
          <w:rFonts w:ascii="Times New Roman" w:hAnsi="Times New Roman"/>
          <w:color w:val="000000"/>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180" w:after="60"/>
        <w:jc w:val="left"/>
      </w:pPr>
      <w:r>
        <w:rPr>
          <w:rFonts w:ascii="Times New Roman" w:hAnsi="Times New Roman"/>
          <w:b/>
          <w:color w:val="000000"/>
          <w:sz w:val="20"/>
        </w:rPr>
        <w:t>1.1 The Problem of Speaker Identity Leakage</w:t>
      </w:r>
    </w:p>
    <w:p>
      <w:pPr>
        <w:spacing w:line="276" w:lineRule="auto" w:before="0" w:after="70"/>
        <w:ind w:firstLine="288"/>
        <w:jc w:val="both"/>
      </w:pPr>
      <w:r>
        <w:rPr>
          <w:rFonts w:ascii="Times New Roman" w:hAnsi="Times New Roman"/>
          <w:color w:val="000000"/>
          <w:sz w:val="20"/>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 [30].</w:t>
      </w:r>
    </w:p>
    <w:p>
      <w:pPr>
        <w:keepNext/>
        <w:spacing w:before="180" w:after="60"/>
        <w:jc w:val="left"/>
      </w:pPr>
      <w:r>
        <w:rPr>
          <w:rFonts w:ascii="Times New Roman" w:hAnsi="Times New Roman"/>
          <w:b/>
          <w:color w:val="000000"/>
          <w:sz w:val="20"/>
        </w:rPr>
        <w:t>1.2 Indic and Low-Resource Language Representation</w:t>
      </w:r>
    </w:p>
    <w:p>
      <w:pPr>
        <w:spacing w:line="276" w:lineRule="auto" w:before="0" w:after="70"/>
        <w:ind w:firstLine="288"/>
        <w:jc w:val="both"/>
      </w:pPr>
      <w:r>
        <w:rPr>
          <w:rFonts w:ascii="Times New Roman" w:hAnsi="Times New Roman"/>
          <w:color w:val="000000"/>
          <w:sz w:val="20"/>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[2], [4], [5]. Establishing whether pre-trained English acoustic models transfer to Hindi speech, and measuring the quantitative improvement achievable through supervised adaptation, is essential for multilingual affective computing [1], [18], [22].</w:t>
      </w:r>
    </w:p>
    <w:p>
      <w:pPr>
        <w:keepNext/>
        <w:spacing w:before="180" w:after="60"/>
        <w:jc w:val="left"/>
      </w:pPr>
      <w:r>
        <w:rPr>
          <w:rFonts w:ascii="Times New Roman" w:hAnsi="Times New Roman"/>
          <w:b/>
          <w:color w:val="000000"/>
          <w:sz w:val="20"/>
        </w:rPr>
        <w:t>1.3 Integrating Objective Vocal Metrics</w:t>
      </w:r>
    </w:p>
    <w:p>
      <w:pPr>
        <w:spacing w:line="276" w:lineRule="auto" w:before="0" w:after="70"/>
        <w:ind w:firstLine="288"/>
        <w:jc w:val="both"/>
      </w:pPr>
      <w:r>
        <w:rPr>
          <w:rFonts w:ascii="Times New Roman" w:hAnsi="Times New Roman"/>
          <w:color w:val="000000"/>
          <w:sz w:val="20"/>
        </w:rPr>
        <w:t>Standard SER architectures typically output discrete emotion class probabilities, such as P(Happy) = 0.85. However, clinical diagnostic applications, tele-counseling, and automated conversational systems benefit from continuous, interpretable acoustic measurements [5], [11], [12]:</w:t>
      </w:r>
    </w:p>
    <w:p>
      <w:pPr>
        <w:spacing w:line="276" w:lineRule="auto" w:before="0" w:after="50"/>
        <w:ind w:left="432" w:hanging="288"/>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affective activation state.</w:t>
      </w:r>
    </w:p>
    <w:p>
      <w:pPr>
        <w:spacing w:line="276" w:lineRule="auto" w:before="0" w:after="50"/>
        <w:ind w:left="432" w:hanging="288"/>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cognitive hesitation, processing load, and structural fluency.</w:t>
      </w:r>
    </w:p>
    <w:p>
      <w:pPr>
        <w:spacing w:line="276" w:lineRule="auto" w:before="0" w:after="50"/>
        <w:ind w:left="432" w:hanging="288"/>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behavioral engagement and acoustic intensity dynamics.</w:t>
      </w:r>
    </w:p>
    <w:p>
      <w:pPr>
        <w:spacing w:line="276" w:lineRule="auto" w:before="0" w:after="50"/>
        <w:ind w:left="432" w:hanging="288"/>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70"/>
        <w:ind w:firstLine="288"/>
        <w:jc w:val="both"/>
      </w:pPr>
      <w:r>
        <w:rPr>
          <w:rFonts w:ascii="Times New Roman" w:hAnsi="Times New Roman"/>
          <w:color w:val="000000"/>
          <w:sz w:val="20"/>
        </w:rPr>
        <w:t>Coupling categorical emotion classification with systematic behavioral feature extraction provides a more informative assessment of speech recordings [1], [11], [25].</w:t>
      </w:r>
    </w:p>
    <w:p>
      <w:pPr>
        <w:keepNext/>
        <w:spacing w:before="180" w:after="60"/>
        <w:jc w:val="left"/>
      </w:pPr>
      <w:r>
        <w:rPr>
          <w:rFonts w:ascii="Times New Roman" w:hAnsi="Times New Roman"/>
          <w:b/>
          <w:color w:val="000000"/>
          <w:sz w:val="20"/>
        </w:rPr>
        <w:t>1.4 Research Questions (RQ)</w:t>
      </w:r>
    </w:p>
    <w:p>
      <w:pPr>
        <w:spacing w:line="276" w:lineRule="auto" w:before="0" w:after="70"/>
        <w:ind w:firstLine="288"/>
        <w:jc w:val="both"/>
      </w:pPr>
      <w:r>
        <w:rPr>
          <w:rFonts w:ascii="Times New Roman" w:hAnsi="Times New Roman"/>
          <w:color w:val="000000"/>
          <w:sz w:val="20"/>
        </w:rPr>
        <w:t>This study addresses four primary research questions:</w:t>
      </w:r>
    </w:p>
    <w:p>
      <w:pPr>
        <w:spacing w:line="276" w:lineRule="auto" w:before="0" w:after="60"/>
        <w:ind w:left="432" w:hanging="288"/>
        <w:jc w:val="both"/>
      </w:pPr>
      <w:r>
        <w:rPr>
          <w:rFonts w:ascii="Times New Roman" w:hAnsi="Times New Roman"/>
          <w:b/>
          <w:color w:val="000000"/>
          <w:sz w:val="19"/>
        </w:rPr>
        <w:t xml:space="preserve">• RQ1 (Layer Pooling Dynamics): </w:t>
      </w:r>
      <w:r>
        <w:rPr>
          <w:rFonts w:ascii="Times New Roman" w:hAnsi="Times New Roman"/>
          <w:color w:val="000000"/>
          <w:sz w:val="19"/>
        </w:rPr>
        <w:t>Does learnable weighted pooling across all transformer hidden layers outperform standard mean pooling or top-layer classification, and which layers encode the most discriminative emotional information?</w:t>
      </w:r>
    </w:p>
    <w:p>
      <w:pPr>
        <w:spacing w:line="276" w:lineRule="auto" w:before="0" w:after="60"/>
        <w:ind w:left="432" w:hanging="288"/>
        <w:jc w:val="both"/>
      </w:pPr>
      <w:r>
        <w:rPr>
          <w:rFonts w:ascii="Times New Roman" w:hAnsi="Times New Roman"/>
          <w:b/>
          <w:color w:val="000000"/>
          <w:sz w:val="19"/>
        </w:rPr>
        <w:t xml:space="preserve">• RQ2 (Speaker Diversity Law): </w:t>
      </w:r>
      <w:r>
        <w:rPr>
          <w:rFonts w:ascii="Times New Roman" w:hAnsi="Times New Roman"/>
          <w:color w:val="000000"/>
          <w:sz w:val="19"/>
        </w:rPr>
        <w:t>What is the relationship between the number of training speakers and out-of-domain generalization performance on strictly unseen actors?</w:t>
      </w:r>
    </w:p>
    <w:p>
      <w:pPr>
        <w:spacing w:line="276" w:lineRule="auto" w:before="0" w:after="60"/>
        <w:ind w:left="432" w:hanging="288"/>
        <w:jc w:val="both"/>
      </w:pPr>
      <w:r>
        <w:rPr>
          <w:rFonts w:ascii="Times New Roman" w:hAnsi="Times New Roman"/>
          <w:b/>
          <w:color w:val="000000"/>
          <w:sz w:val="19"/>
        </w:rPr>
        <w:t xml:space="preserve">• RQ3 (Cross-Lingual Transfer to Indic Speech): </w:t>
      </w:r>
      <w:r>
        <w:rPr>
          <w:rFonts w:ascii="Times New Roman" w:hAnsi="Times New Roman"/>
          <w:color w:val="000000"/>
          <w:sz w:val="19"/>
        </w:rPr>
        <w:t>To what degree do English multi-corpus representations transfer zero-shot to native Hindi speech, and what performance gain is achieved via supervised adaptation?</w:t>
      </w:r>
    </w:p>
    <w:p>
      <w:pPr>
        <w:spacing w:line="276" w:lineRule="auto" w:before="0" w:after="60"/>
        <w:ind w:left="432" w:hanging="288"/>
        <w:jc w:val="both"/>
      </w:pPr>
      <w:r>
        <w:rPr>
          <w:rFonts w:ascii="Times New Roman" w:hAnsi="Times New Roman"/>
          <w:b/>
          <w:color w:val="000000"/>
          <w:sz w:val="19"/>
        </w:rPr>
        <w:t xml:space="preserve">• RQ4 (Behavioral Telemetry Integration): </w:t>
      </w:r>
      <w:r>
        <w:rPr>
          <w:rFonts w:ascii="Times New Roman" w:hAnsi="Times New Roman"/>
          <w:color w:val="000000"/>
          <w:sz w:val="19"/>
        </w:rPr>
        <w:t>How effectively do continuous acoustic features (speech tempo, pause ratio, energy, and pitch intonation) correlate with categorical emotion classifications?</w:t>
      </w:r>
    </w:p>
    <w:p>
      <w:pPr>
        <w:keepNext/>
        <w:spacing w:before="280" w:after="80"/>
        <w:jc w:val="left"/>
      </w:pPr>
      <w:r>
        <w:rPr>
          <w:rFonts w:ascii="Times New Roman" w:hAnsi="Times New Roman"/>
          <w:b/>
          <w:color w:val="000000"/>
          <w:sz w:val="22"/>
        </w:rPr>
        <w:t>2. Related Work &amp; Literature Survey</w:t>
      </w:r>
    </w:p>
    <w:p>
      <w:pPr>
        <w:spacing w:line="276" w:lineRule="auto" w:before="0" w:after="70"/>
        <w:ind w:firstLine="288"/>
        <w:jc w:val="both"/>
      </w:pPr>
      <w:r>
        <w:rPr>
          <w:rFonts w:ascii="Times New Roman" w:hAnsi="Times New Roman"/>
          <w:color w:val="000000"/>
          <w:sz w:val="20"/>
        </w:rPr>
        <w:t>This investigation synthesizes 39 peer-reviewed publications across four core theoretical domains:</w:t>
      </w:r>
    </w:p>
    <w:p>
      <w:pPr>
        <w:keepNext/>
        <w:spacing w:before="180" w:after="60"/>
        <w:jc w:val="left"/>
      </w:pPr>
      <w:r>
        <w:rPr>
          <w:rFonts w:ascii="Times New Roman" w:hAnsi="Times New Roman"/>
          <w:b/>
          <w:color w:val="000000"/>
          <w:sz w:val="20"/>
        </w:rPr>
        <w:t>2.1 Indic and Hindi Speech Emotion Recognition</w:t>
      </w:r>
    </w:p>
    <w:p>
      <w:pPr>
        <w:spacing w:line="276" w:lineRule="auto" w:before="0" w:after="70"/>
        <w:ind w:firstLine="288"/>
        <w:jc w:val="both"/>
      </w:pPr>
      <w:r>
        <w:rPr>
          <w:rFonts w:ascii="Times New Roman" w:hAnsi="Times New Roman"/>
          <w:color w:val="000000"/>
          <w:sz w:val="20"/>
        </w:rPr>
        <w:t>Early speech emotion recognition research in India relied predominantly on small private datasets evaluated with conventional classifiers such as Support Vector Machines (SVM) and Multi-Layer Perceptrons [4], [16]. Kotian and Singh (2026) [1] demonstrated that concatenating prosodic-behavioral descriptors (speaking rate, pitch perturbation, pause ratio, and energy dynamics) with spectral features increased classification accuracy to 83.9% and Macro-F1 to 0.81 on Hindi speech. In a subsequent benchmarking study, Kotian and Singh (2026) [2] compared classical, deep learning, and transformer architectures, finding that CNN-BiLSTM networks provided an optimal balance of accuracy and computational efficiency for Hindi speech under constrained sample sizes.</w:t>
      </w:r>
    </w:p>
    <w:p>
      <w:pPr>
        <w:spacing w:line="276" w:lineRule="auto" w:before="0" w:after="70"/>
        <w:ind w:firstLine="288"/>
        <w:jc w:val="both"/>
      </w:pPr>
      <w:r>
        <w:rPr>
          <w:rFonts w:ascii="Times New Roman" w:hAnsi="Times New Roman"/>
          <w:color w:val="000000"/>
          <w:sz w:val="20"/>
        </w:rPr>
        <w:t>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180" w:after="60"/>
        <w:jc w:val="left"/>
      </w:pPr>
      <w:r>
        <w:rPr>
          <w:rFonts w:ascii="Times New Roman" w:hAnsi="Times New Roman"/>
          <w:b/>
          <w:color w:val="000000"/>
          <w:sz w:val="20"/>
        </w:rPr>
        <w:t>2.2 Self-Supervised Speech Representation Models</w:t>
      </w:r>
    </w:p>
    <w:p>
      <w:pPr>
        <w:spacing w:line="276" w:lineRule="auto" w:before="0" w:after="70"/>
        <w:ind w:firstLine="288"/>
        <w:jc w:val="both"/>
      </w:pPr>
      <w:r>
        <w:rPr>
          <w:rFonts w:ascii="Times New Roman" w:hAnsi="Times New Roman"/>
          <w:color w:val="000000"/>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Pepino, Riera, and Ferrer (2021) [27] and Sun et al. (2024) [30] demonstrated the efficacy of fine-tuning pre-trained representations for downstream emotion recognition, while Wang and Yang (2025) [14] integrated fine-tuned Wav2vec 2.0 with neural controlled differential equation classifiers. However, recent studies by Ma et al. on emotion2vec [6] and Chen et al. on BEATs [7] demonstrate that standard speech models optimize for phonetic invariance, which can suppress emotional cues in upper transformer layers. Probing studies by Pasad, Chou, and Livescu (2021) [24] confirmed that acoustic and prosodic properties are concentrated within intermediate transformer layers, whereas final layers prioritize lexical alignment. These findings motivate the Learnable Weighted Layer Pooling approach used in this work.</w:t>
      </w:r>
    </w:p>
    <w:p>
      <w:pPr>
        <w:keepNext/>
        <w:spacing w:before="180" w:after="60"/>
        <w:jc w:val="left"/>
      </w:pPr>
      <w:r>
        <w:rPr>
          <w:rFonts w:ascii="Times New Roman" w:hAnsi="Times New Roman"/>
          <w:b/>
          <w:color w:val="000000"/>
          <w:sz w:val="20"/>
        </w:rPr>
        <w:t>2.3 Vocal Behavioural Feature Integration</w:t>
      </w:r>
    </w:p>
    <w:p>
      <w:pPr>
        <w:spacing w:line="276" w:lineRule="auto" w:before="0" w:after="70"/>
        <w:ind w:firstLine="288"/>
        <w:jc w:val="both"/>
      </w:pPr>
      <w:r>
        <w:rPr>
          <w:rFonts w:ascii="Times New Roman" w:hAnsi="Times New Roman"/>
          <w:color w:val="000000"/>
          <w:sz w:val="20"/>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diagnostic reliability and interpretability across multiple SER benchmarks.</w:t>
      </w:r>
    </w:p>
    <w:p>
      <w:pPr>
        <w:keepNext/>
        <w:spacing w:before="180" w:after="60"/>
        <w:jc w:val="left"/>
      </w:pPr>
      <w:r>
        <w:rPr>
          <w:rFonts w:ascii="Times New Roman" w:hAnsi="Times New Roman"/>
          <w:b/>
          <w:color w:val="000000"/>
          <w:sz w:val="20"/>
        </w:rPr>
        <w:t>2.4 Speaker Disjoint Protocols and Generalization</w:t>
      </w:r>
    </w:p>
    <w:p>
      <w:pPr>
        <w:spacing w:line="276" w:lineRule="auto" w:before="0" w:after="70"/>
        <w:ind w:firstLine="288"/>
        <w:jc w:val="both"/>
      </w:pPr>
      <w:r>
        <w:rPr>
          <w:rFonts w:ascii="Times New Roman" w:hAnsi="Times New Roman"/>
          <w:color w:val="000000"/>
          <w:sz w:val="20"/>
        </w:rPr>
        <w:t>Goel, Hira, and Gupta (2024) [21] examined the challenge of unseen speaker generalization in SER, demonstrating that standard random train/test splits cause neural models to overfit speaker identity rather than true affective cues. Hashem, Arif, and Alghamdi (2023) [15] and Akçay and Oğuz (2020) [16] conducted systematic reviews detailing how cross-corpus evaluation protocols reveal severe performance degradation when models encounter novel recording environments. Wagner et al. (2018) [25] and Latif et al. (2023) [26] surveyed deep representation learning paradigms, showing that disentangling speaker identity from affective prosody remains essential for robust real-world deployment.</w:t>
      </w:r>
    </w:p>
    <w:p>
      <w:pPr>
        <w:keepNext/>
        <w:spacing w:before="280" w:after="80"/>
        <w:jc w:val="left"/>
      </w:pPr>
      <w:r>
        <w:rPr>
          <w:rFonts w:ascii="Times New Roman" w:hAnsi="Times New Roman"/>
          <w:b/>
          <w:color w:val="000000"/>
          <w:sz w:val="22"/>
        </w:rPr>
        <w:t>3. Dataset Ecosystem &amp; Partitioning Protocols</w:t>
      </w:r>
    </w:p>
    <w:p>
      <w:pPr>
        <w:spacing w:line="276" w:lineRule="auto" w:before="0" w:after="70"/>
        <w:ind w:firstLine="288"/>
        <w:jc w:val="both"/>
      </w:pPr>
      <w:r>
        <w:rPr>
          <w:rFonts w:ascii="Times New Roman" w:hAnsi="Times New Roman"/>
          <w:color w:val="000000"/>
          <w:sz w:val="20"/>
        </w:rPr>
        <w:t>To ensure rigorous evaluation, five distinct corpora comprising 12,180 audio files were curated, preprocessed, and partitioned: CREMA-D [17] (7,442 utterances, 91 actors), RAVDESS [18] (1,440 utterances, 24 actors), SAVEE [19] (480 utterances, 4 actors), TESS [20] (2,800 utterances, 2 actresses), and Hindi SER [1], [2], [3] (862 utterances, 25 native speakers). Audio files were resampled to a standardized format: 16,000 Hz sampling rate, single-channel (mono), 16-bit PCM WAV, with Voice Activity Detection (VAD) silence trimming and amplitude normalization. Table 1 summarizes the dataset ecosystem.</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(13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6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(4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8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Prompt-Disjoint (30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25 Native Speakers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Disjoint Split</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5 Classes</w:t>
            </w:r>
          </w:p>
        </w:tc>
      </w:tr>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Total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121+ Total Speakers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Strict Zero Leakage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Canonical Maps</w:t>
            </w:r>
          </w:p>
        </w:tc>
      </w:tr>
    </w:tbl>
    <w:p>
      <w:pPr>
        <w:spacing w:after="80"/>
      </w:pPr>
    </w:p>
    <w:p>
      <w:pPr>
        <w:keepNext/>
        <w:spacing w:before="280" w:after="80"/>
        <w:jc w:val="left"/>
      </w:pPr>
      <w:r>
        <w:rPr>
          <w:rFonts w:ascii="Times New Roman" w:hAnsi="Times New Roman"/>
          <w:b/>
          <w:color w:val="000000"/>
          <w:sz w:val="22"/>
        </w:rPr>
        <w:t>4. Methodology &amp; Model Architecture</w:t>
      </w:r>
    </w:p>
    <w:p>
      <w:pPr>
        <w:spacing w:line="276" w:lineRule="auto" w:before="0" w:after="70"/>
        <w:ind w:firstLine="288"/>
        <w:jc w:val="both"/>
      </w:pPr>
      <w:r>
        <w:rPr>
          <w:rFonts w:ascii="Times New Roman" w:hAnsi="Times New Roman"/>
          <w:color w:val="000000"/>
          <w:sz w:val="20"/>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180" w:after="60"/>
        <w:jc w:val="left"/>
      </w:pPr>
      <w:r>
        <w:rPr>
          <w:rFonts w:ascii="Times New Roman" w:hAnsi="Times New Roman"/>
          <w:b/>
          <w:color w:val="000000"/>
          <w:sz w:val="20"/>
        </w:rPr>
        <w:t>4.1 Learnable Weighted Layer Pooling</w:t>
      </w:r>
    </w:p>
    <w:p>
      <w:pPr>
        <w:spacing w:line="276" w:lineRule="auto" w:before="0" w:after="70"/>
        <w:ind w:firstLine="288"/>
        <w:jc w:val="both"/>
      </w:pPr>
      <w:r>
        <w:rPr>
          <w:rFonts w:ascii="Times New Roman" w:hAnsi="Times New Roman"/>
          <w:color w:val="000000"/>
          <w:sz w:val="20"/>
        </w:rPr>
        <w:t>Rather than using mean pooling over time and layers or relying exclusively on the final transformer output, we implement Learnable Weighted Layer Pooling across all L = 12 transformer hidden representations h_t^(l) in R^D (l in {1, ..., L}):</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4680"/>
          </w:tcPr>
          <w:p>
            <w:pPr>
              <w:spacing w:before="60" w:after="60"/>
              <w:jc w:val="right"/>
            </w:pPr>
            <w:r>
              <w:rPr>
                <w:rFonts w:ascii="Times New Roman" w:hAnsi="Times New Roman"/>
                <w:color w:val="000000"/>
                <w:sz w:val="20"/>
              </w:rPr>
              <w:t>(1)</w:t>
            </w:r>
          </w:p>
        </w:tc>
      </w:tr>
    </w:tbl>
    <w:p>
      <w:pPr>
        <w:spacing w:after="40"/>
      </w:pPr>
    </w:p>
    <w:p>
      <w:pPr>
        <w:spacing w:line="276" w:lineRule="auto" w:before="0" w:after="70"/>
        <w:ind w:firstLine="288"/>
        <w:jc w:val="both"/>
      </w:pPr>
      <w:r>
        <w:rPr>
          <w:rFonts w:ascii="Times New Roman" w:hAnsi="Times New Roman"/>
          <w:color w:val="000000"/>
          <w:sz w:val="20"/>
        </w:rPr>
        <w:t>Here, w in R^L is a learnable parameter vector initialized uniformly (w_l = 0), and alpha in R^L represents the normalized layer weighting. After computing the layer-weighted sequence e_t, temporal statistics (mean and standard deviation) are concatenated:</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rPr>
                    <m:sty m:val="b"/>
                  </m:rPr>
                  <m:t>r</m:t>
                </m:r>
                <m:r>
                  <m:t> = </m:t>
                </m:r>
                <m:d>
                  <m:dPr>
                    <m:begChr m:val="["/>
                    <m:endChr m:val="]"/>
                  </m:dPr>
                  <m:e>
                    <m:f>
                      <m:num>
                        <m:r>
                          <m:t>1</m:t>
                        </m:r>
                      </m:num>
                      <m:den>
                        <m:r>
                          <m:t>T</m:t>
                        </m:r>
                      </m:den>
                    </m:f>
                    <m:nary>
                      <m:naryPr>
                        <m:chr m:val="∑"/>
                        <m:limLoc m:val="undOvr"/>
                      </m:naryPr>
                      <m:sub>
                        <m:r>
                          <m:t>t=1</m:t>
                        </m:r>
                      </m:sub>
                      <m:sup>
                        <m:r>
                          <m:t>T</m:t>
                        </m:r>
                      </m:sup>
                      <m:e>
                        <m:sSub>
                          <m:e>
                            <m:r>
                              <m:rPr>
                                <m:sty m:val="b"/>
                              </m:rPr>
                              <m:t>e</m:t>
                            </m:r>
                          </m:e>
                          <m:sub>
                            <m:r>
                              <m:t>t</m:t>
                            </m:r>
                          </m:sub>
                        </m:sSub>
                      </m:e>
                    </m:nary>
                    <m:r>
                      <m:t>   ‖   </m:t>
                    </m:r>
                    <m:rad>
                      <m:radPr>
                        <m:degHide m:val="1"/>
                      </m:radPr>
                      <m:deg/>
                      <m:e>
                        <m:f>
                          <m:num>
                            <m:r>
                              <m:t>1</m:t>
                            </m:r>
                          </m:num>
                          <m:den>
                            <m:r>
                              <m:t>T</m:t>
                            </m:r>
                          </m:den>
                        </m:f>
                        <m:nary>
                          <m:naryPr>
                            <m:chr m:val="∑"/>
                            <m:limLoc m:val="undOvr"/>
                          </m:naryPr>
                          <m:sub>
                            <m:r>
                              <m:t>t=1</m:t>
                            </m:r>
                          </m:sub>
                          <m:sup>
                            <m:r>
                              <m:t>T</m:t>
                            </m:r>
                          </m:sup>
                          <m:e>
                            <m:sSup>
                              <m:e>
                                <m:d>
                                  <m:dPr>
                                    <m:begChr m:val="("/>
                                    <m:endChr m:val=")"/>
                                  </m:dPr>
                                  <m:e>
                                    <m:sSub>
                                      <m:e>
                                        <m:r>
                                          <m:rPr>
                                            <m:sty m:val="b"/>
                                          </m:rPr>
                                          <m:t>e</m:t>
                                        </m:r>
                                      </m:e>
                                      <m:sub>
                                        <m:r>
                                          <m:t>t</m:t>
                                        </m:r>
                                      </m:sub>
                                    </m:sSub>
                                    <m:r>
                                      <m:t> - </m:t>
                                    </m:r>
                                    <m:bar>
                                      <m:barPr>
                                        <m:pos m:val="top"/>
                                      </m:barPr>
                                      <m:e>
                                        <m:r>
                                          <m:rPr>
                                            <m:sty m:val="b"/>
                                          </m:rPr>
                                          <m:t>e</m:t>
                                        </m:r>
                                      </m:e>
                                    </m:bar>
                                  </m:e>
                                </m:d>
                              </m:e>
                              <m:sup>
                                <m:r>
                                  <m:t>2</m:t>
                                </m:r>
                              </m:sup>
                            </m:sSup>
                          </m:e>
                        </m:nary>
                      </m:e>
                    </m:rad>
                  </m:e>
                </m:d>
                <m:r>
                  <m:t> ∈ </m:t>
                </m:r>
                <m:sSup>
                  <m:e>
                    <m:r>
                      <m:t>ℝ</m:t>
                    </m:r>
                  </m:e>
                  <m:sup>
                    <m:r>
                      <m:t>2D</m:t>
                    </m:r>
                  </m:sup>
                </m:sSup>
              </m:oMath>
            </m:oMathPara>
          </w:p>
        </w:tc>
        <w:tc>
          <w:tcPr>
            <w:tcW w:type="dxa" w:w="4680"/>
          </w:tcPr>
          <w:p>
            <w:pPr>
              <w:spacing w:before="60" w:after="60"/>
              <w:jc w:val="right"/>
            </w:pPr>
            <w:r>
              <w:rPr>
                <w:rFonts w:ascii="Times New Roman" w:hAnsi="Times New Roman"/>
                <w:color w:val="000000"/>
                <w:sz w:val="20"/>
              </w:rPr>
              <w:t>(2)</w:t>
            </w:r>
          </w:p>
        </w:tc>
      </w:tr>
    </w:tbl>
    <w:p>
      <w:pPr>
        <w:spacing w:after="40"/>
      </w:pPr>
    </w:p>
    <w:p>
      <w:pPr>
        <w:spacing w:line="276" w:lineRule="auto" w:before="0" w:after="70"/>
        <w:ind w:firstLine="288"/>
        <w:jc w:val="both"/>
      </w:pPr>
      <w:r>
        <w:rPr>
          <w:rFonts w:ascii="Times New Roman" w:hAnsi="Times New Roman"/>
          <w:color w:val="000000"/>
          <w:sz w:val="20"/>
        </w:rPr>
        <w:t>This representation is projected through a linear classification probe:</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acc>
                  <m:accPr>
                    <m:chr m:val="^"/>
                  </m:accPr>
                  <m:e>
                    <m:r>
                      <m:rPr>
                        <m:sty m:val="b"/>
                      </m:rPr>
                      <m:t>y</m:t>
                    </m:r>
                  </m:e>
                </m:acc>
                <m:r>
                  <m:t> = Softmax</m:t>
                </m:r>
                <m:d>
                  <m:dPr>
                    <m:begChr m:val="("/>
                    <m:endChr m:val=")"/>
                  </m:dPr>
                  <m:e>
                    <m:sSub>
                      <m:e>
                        <m:r>
                          <m:rPr>
                            <m:sty m:val="b"/>
                          </m:rPr>
                          <m:t>W</m:t>
                        </m:r>
                      </m:e>
                      <m:sub>
                        <m:r>
                          <m:t>c</m:t>
                        </m:r>
                      </m:sub>
                    </m:sSub>
                    <m:r>
                      <m:rPr>
                        <m:sty m:val="b"/>
                      </m:rPr>
                      <m:t>r</m:t>
                    </m:r>
                    <m:r>
                      <m:t> + </m:t>
                    </m:r>
                    <m:sSub>
                      <m:e>
                        <m:r>
                          <m:rPr>
                            <m:sty m:val="b"/>
                          </m:rPr>
                          <m:t>b</m:t>
                        </m:r>
                      </m:e>
                      <m:sub>
                        <m:r>
                          <m:t>c</m:t>
                        </m:r>
                      </m:sub>
                    </m:sSub>
                  </m:e>
                </m:d>
              </m:oMath>
            </m:oMathPara>
          </w:p>
        </w:tc>
        <w:tc>
          <w:tcPr>
            <w:tcW w:type="dxa" w:w="4680"/>
          </w:tcPr>
          <w:p>
            <w:pPr>
              <w:spacing w:before="60" w:after="60"/>
              <w:jc w:val="right"/>
            </w:pPr>
            <w:r>
              <w:rPr>
                <w:rFonts w:ascii="Times New Roman" w:hAnsi="Times New Roman"/>
                <w:color w:val="000000"/>
                <w:sz w:val="20"/>
              </w:rPr>
              <w:t>(3)</w:t>
            </w:r>
          </w:p>
        </w:tc>
      </w:tr>
    </w:tbl>
    <w:p>
      <w:pPr>
        <w:spacing w:after="40"/>
      </w:pPr>
    </w:p>
    <w:p>
      <w:pPr>
        <w:keepNext/>
        <w:spacing w:before="180" w:after="60"/>
        <w:jc w:val="left"/>
      </w:pPr>
      <w:r>
        <w:rPr>
          <w:rFonts w:ascii="Times New Roman" w:hAnsi="Times New Roman"/>
          <w:b/>
          <w:color w:val="000000"/>
          <w:sz w:val="20"/>
        </w:rPr>
        <w:t>4.2 Audio Behaviour Engine Telemetry</w:t>
      </w:r>
    </w:p>
    <w:p>
      <w:pPr>
        <w:spacing w:line="276" w:lineRule="auto" w:before="0" w:after="70"/>
        <w:ind w:firstLine="288"/>
        <w:jc w:val="both"/>
      </w:pPr>
      <w:r>
        <w:rPr>
          <w:rFonts w:ascii="Times New Roman" w:hAnsi="Times New Roman"/>
          <w:color w:val="000000"/>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4680"/>
          </w:tcPr>
          <w:p>
            <w:pPr>
              <w:spacing w:before="60" w:after="6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4680"/>
          </w:tcPr>
          <w:p>
            <w:pPr>
              <w:spacing w:before="60" w:after="6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2"/>
        </w:rPr>
        <w:t>5. Experimental Setup &amp; Evaluation Metrics</w:t>
      </w:r>
    </w:p>
    <w:p>
      <w:pPr>
        <w:spacing w:line="276" w:lineRule="auto" w:before="0" w:after="70"/>
        <w:ind w:firstLine="288"/>
        <w:jc w:val="both"/>
      </w:pPr>
      <w:r>
        <w:rPr>
          <w:rFonts w:ascii="Times New Roman" w:hAnsi="Times New Roman"/>
          <w:color w:val="000000"/>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4680"/>
          </w:tcPr>
          <w:p>
            <w:pPr>
              <w:spacing w:before="60" w:after="60"/>
              <w:jc w:val="right"/>
            </w:pPr>
            <w:r>
              <w:rPr>
                <w:rFonts w:ascii="Times New Roman" w:hAnsi="Times New Roman"/>
                <w:color w:val="000000"/>
                <w:sz w:val="20"/>
              </w:rPr>
              <w:t>(6)</w:t>
            </w:r>
          </w:p>
        </w:tc>
      </w:tr>
    </w:tbl>
    <w:p>
      <w:pPr>
        <w:spacing w:after="40"/>
      </w:pPr>
    </w:p>
    <w:p>
      <w:pPr>
        <w:spacing w:line="276" w:lineRule="auto" w:before="0" w:after="70"/>
        <w:ind w:firstLine="288"/>
        <w:jc w:val="both"/>
      </w:pPr>
      <w:r>
        <w:rPr>
          <w:rFonts w:ascii="Times New Roman" w:hAnsi="Times New Roman"/>
          <w:color w:val="000000"/>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4680"/>
          </w:tcPr>
          <w:p>
            <w:pPr>
              <w:spacing w:before="60" w:after="60"/>
              <w:jc w:val="right"/>
            </w:pPr>
            <w:r>
              <w:rPr>
                <w:rFonts w:ascii="Times New Roman" w:hAnsi="Times New Roman"/>
                <w:color w:val="000000"/>
                <w:sz w:val="20"/>
              </w:rPr>
              <w:t>(7)</w:t>
            </w:r>
          </w:p>
        </w:tc>
      </w:tr>
    </w:tbl>
    <w:p>
      <w:pPr>
        <w:spacing w:after="40"/>
      </w:pPr>
    </w:p>
    <w:p>
      <w:pPr>
        <w:keepNext/>
        <w:spacing w:before="280" w:after="80"/>
        <w:jc w:val="left"/>
      </w:pPr>
      <w:r>
        <w:rPr>
          <w:rFonts w:ascii="Times New Roman" w:hAnsi="Times New Roman"/>
          <w:b/>
          <w:color w:val="000000"/>
          <w:sz w:val="22"/>
        </w:rPr>
        <w:t>6. Benchmark Results &amp; Comparative Analysis</w:t>
      </w:r>
    </w:p>
    <w:p>
      <w:pPr>
        <w:keepNext/>
        <w:spacing w:before="180" w:after="60"/>
        <w:jc w:val="left"/>
      </w:pPr>
      <w:r>
        <w:rPr>
          <w:rFonts w:ascii="Times New Roman" w:hAnsi="Times New Roman"/>
          <w:b/>
          <w:color w:val="000000"/>
          <w:sz w:val="20"/>
        </w:rPr>
        <w:t>6.1 Universal Multi-Corpus Linear Probe Benchmark</w:t>
      </w:r>
    </w:p>
    <w:p>
      <w:pPr>
        <w:spacing w:line="276" w:lineRule="auto" w:before="0" w:after="70"/>
        <w:ind w:firstLine="288"/>
        <w:jc w:val="both"/>
      </w:pPr>
      <w:r>
        <w:rPr>
          <w:rFonts w:ascii="Times New Roman" w:hAnsi="Times New Roman"/>
          <w:color w:val="000000"/>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 Table 2 reports the benchmark leaderboard.</w:t>
      </w:r>
    </w:p>
    <w:p>
      <w:pPr>
        <w:spacing w:before="160" w:after="40"/>
        <w:jc w:val="center"/>
      </w:pPr>
      <w:r>
        <w:rPr>
          <w:rFonts w:ascii="Times New Roman" w:hAnsi="Times New Roman"/>
          <w:b/>
          <w:color w:val="000000"/>
          <w:sz w:val="19"/>
        </w:rPr>
        <w:t>Table 2: Universal Multi-Corpus Test Leaderboard (1,701 Unseen Clips)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Model Architecture</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Chance Level</w:t>
            </w:r>
          </w:p>
        </w:tc>
      </w:tr>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Universal HuBERT (Frozen Transfer + Head)</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Soft-Voting Multi-Corpus Ensemble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67.43%</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0.6692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67.80%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Wav2Vec2 Base (Direct Combined)</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63.26%</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0.6215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63.50%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MFCC + LSTM Multi-Corpus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44.15%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0.4120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43.82%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180" w:after="60"/>
        <w:jc w:val="left"/>
      </w:pPr>
      <w:r>
        <w:rPr>
          <w:rFonts w:ascii="Times New Roman" w:hAnsi="Times New Roman"/>
          <w:b/>
          <w:color w:val="000000"/>
          <w:sz w:val="20"/>
        </w:rPr>
        <w:t>6.2 In-Domain Multi-Corpus Benchmark Summary</w:t>
      </w:r>
    </w:p>
    <w:p>
      <w:pPr>
        <w:spacing w:line="276" w:lineRule="auto" w:before="0" w:after="70"/>
        <w:ind w:firstLine="288"/>
        <w:jc w:val="both"/>
      </w:pPr>
      <w:r>
        <w:rPr>
          <w:rFonts w:ascii="Times New Roman" w:hAnsi="Times New Roman"/>
          <w:color w:val="000000"/>
          <w:sz w:val="20"/>
        </w:rPr>
        <w:t>Individual in-domain evaluations across all five corpora reveal consistent patterns under strict speaker-disjoint splits:</w:t>
      </w:r>
    </w:p>
    <w:p>
      <w:pPr>
        <w:spacing w:line="276" w:lineRule="auto" w:before="0" w:after="60"/>
        <w:ind w:left="432" w:hanging="288"/>
        <w:jc w:val="both"/>
      </w:pPr>
      <w:r>
        <w:rPr>
          <w:rFonts w:ascii="Times New Roman" w:hAnsi="Times New Roman"/>
          <w:b/>
          <w:color w:val="000000"/>
          <w:sz w:val="19"/>
        </w:rPr>
        <w:t xml:space="preserve">• CREMA-D (91 Actors, 13 Unseen Test Actors): </w:t>
      </w:r>
      <w:r>
        <w:rPr>
          <w:rFonts w:ascii="Times New Roman" w:hAnsi="Times New Roman"/>
          <w:color w:val="000000"/>
          <w:sz w:val="19"/>
        </w:rPr>
        <w:t>Soft-Voting Top-5 Ensemble achieved 75.57% Accuracy, 0.7594 Macro-F1, and 75.40% UAR. HuBERT with Learnable Layer Pooling reached 71.98% Accuracy, outperforming Wav2Vec2 Base (69.25%) and MFCC+CNN-BiLSTM (62.80%). Wav2Vec2-XLS-R-300M (Frozen Baseline) reached only 24.43% Accuracy (near chance level of 16.67%).</w:t>
      </w:r>
    </w:p>
    <w:p>
      <w:pPr>
        <w:spacing w:line="276" w:lineRule="auto" w:before="0" w:after="60"/>
        <w:ind w:left="432" w:hanging="288"/>
        <w:jc w:val="both"/>
      </w:pPr>
      <w:r>
        <w:rPr>
          <w:rFonts w:ascii="Times New Roman" w:hAnsi="Times New Roman"/>
          <w:b/>
          <w:color w:val="000000"/>
          <w:sz w:val="19"/>
        </w:rPr>
        <w:t xml:space="preserve">• RAVDESS (24 Actors, Actors 21 to 24 Unseen): </w:t>
      </w:r>
      <w:r>
        <w:rPr>
          <w:rFonts w:ascii="Times New Roman" w:hAnsi="Times New Roman"/>
          <w:color w:val="000000"/>
          <w:sz w:val="19"/>
        </w:rPr>
        <w:t>Transfer Ensemble achieved 73.75% Accuracy and 0.7207 Macro-F1. Transfer from CREMA-D pre-training to RAVDESS produced 72.92% Accuracy, compared to 32.50% when trained from scratch on RAVDESS alone. Wav2Vec2-XLS-R-300M collapsed to 13.33% Accuracy (barely above chance level of 12.50%).</w:t>
      </w:r>
    </w:p>
    <w:p>
      <w:pPr>
        <w:spacing w:line="276" w:lineRule="auto" w:before="0" w:after="60"/>
        <w:ind w:left="432" w:hanging="288"/>
        <w:jc w:val="both"/>
      </w:pPr>
      <w:r>
        <w:rPr>
          <w:rFonts w:ascii="Times New Roman" w:hAnsi="Times New Roman"/>
          <w:b/>
          <w:color w:val="000000"/>
          <w:sz w:val="19"/>
        </w:rPr>
        <w:t xml:space="preserve">• SAVEE (4 Actors, Actor KL Unseen): </w:t>
      </w:r>
      <w:r>
        <w:rPr>
          <w:rFonts w:ascii="Times New Roman" w:hAnsi="Times New Roman"/>
          <w:color w:val="000000"/>
          <w:sz w:val="19"/>
        </w:rPr>
        <w:t>Transfer ensemble reached 51.67% Accuracy and 0.3860 Macro-F1, doubling the scratch baseline of 25.0% which suffered from vocal tract overfitting. Wav2Vec2-XLS-R-300M achieved 12.50% Accuracy (chance level is 14.29%).</w:t>
      </w:r>
    </w:p>
    <w:p>
      <w:pPr>
        <w:spacing w:line="276" w:lineRule="auto" w:before="0" w:after="60"/>
        <w:ind w:left="432" w:hanging="288"/>
        <w:jc w:val="both"/>
      </w:pPr>
      <w:r>
        <w:rPr>
          <w:rFonts w:ascii="Times New Roman" w:hAnsi="Times New Roman"/>
          <w:b/>
          <w:color w:val="000000"/>
          <w:sz w:val="19"/>
        </w:rPr>
        <w:t xml:space="preserve">• TESS (2 Actresses, 200 Words, 30 Unseen Target Words): </w:t>
      </w:r>
      <w:r>
        <w:rPr>
          <w:rFonts w:ascii="Times New Roman" w:hAnsi="Times New Roman"/>
          <w:color w:val="000000"/>
          <w:sz w:val="19"/>
        </w:rPr>
        <w:t>All SSL foundation models achieved 100.00% Accuracy and 1.0000 Macro-F1. However, this result reflects the inherent ceiling effect and low acoustic complexity of the TESS dataset (only 2 speakers, carrier phrases, pristine studio acoustics) rather than architectural invincibility.</w:t>
      </w:r>
    </w:p>
    <w:p>
      <w:pPr>
        <w:spacing w:before="160" w:after="40"/>
        <w:jc w:val="center"/>
      </w:pPr>
      <w:r>
        <w:rPr>
          <w:rFonts w:ascii="Times New Roman" w:hAnsi="Times New Roman"/>
          <w:b/>
          <w:color w:val="000000"/>
          <w:sz w:val="19"/>
        </w:rPr>
        <w:t>Table 3: In-Domain Benchmark Leaderboard Across 5 Evaluated Corpora</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Chance</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75.40%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73.12%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50.45%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 W2V2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0.7018</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Combined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(Frozen)</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after="80"/>
      </w:pPr>
    </w:p>
    <w:p>
      <w:pPr>
        <w:keepNext/>
        <w:spacing w:before="180" w:after="60"/>
        <w:jc w:val="left"/>
      </w:pPr>
      <w:r>
        <w:rPr>
          <w:rFonts w:ascii="Times New Roman" w:hAnsi="Times New Roman"/>
          <w:b/>
          <w:color w:val="000000"/>
          <w:sz w:val="20"/>
        </w:rPr>
        <w:t>6.3 Technical Analysis of Wav2Vec2-XLS-R-300M Failure</w:t>
      </w:r>
    </w:p>
    <w:p>
      <w:pPr>
        <w:spacing w:line="276" w:lineRule="auto" w:before="0" w:after="70"/>
        <w:ind w:firstLine="288"/>
        <w:jc w:val="both"/>
      </w:pPr>
      <w:r>
        <w:rPr>
          <w:rFonts w:ascii="Times New Roman" w:hAnsi="Times New Roman"/>
          <w:color w:val="000000"/>
          <w:sz w:val="20"/>
        </w:rPr>
        <w:t>Across all evaluated corpora, Wav2Vec2-XLS-R-300M [10] performed near random chance (13.33% on RAVDESS, 24.43% on CREMA-D, 12.50% on SAVEE, and 19.76% on TESS), underperforming even shallow MFCC baselines. Three primary technical factors explain this behavior:</w:t>
      </w:r>
    </w:p>
    <w:p>
      <w:pPr>
        <w:spacing w:line="276" w:lineRule="auto" w:before="0" w:after="60"/>
        <w:ind w:left="432" w:hanging="288"/>
        <w:jc w:val="both"/>
      </w:pPr>
      <w:r>
        <w:rPr>
          <w:rFonts w:ascii="Times New Roman" w:hAnsi="Times New Roman"/>
          <w:b/>
          <w:color w:val="000000"/>
          <w:sz w:val="19"/>
        </w:rPr>
        <w:t xml:space="preserve">1. ASR Invariant Pre-training Objective: </w:t>
      </w:r>
      <w:r>
        <w:rPr>
          <w:rFonts w:ascii="Times New Roman" w:hAnsi="Times New Roman"/>
          <w:color w:val="000000"/>
          <w:sz w:val="19"/>
        </w:rPr>
        <w:t>XLS-R-300M was pre-trained across 128 languages using contrastive masked prediction to extract phonetic content. In cross-lingual speech recognition, speaker-specific pitch variations and emotional intonations are treated as nuisance parameters and filtered out to achieve cross-lingual phonetic invariance. Consequently, the frozen representations suppress paralinguistic and affective cues.</w:t>
      </w:r>
    </w:p>
    <w:p>
      <w:pPr>
        <w:spacing w:line="276" w:lineRule="auto" w:before="0" w:after="60"/>
        <w:ind w:left="432" w:hanging="288"/>
        <w:jc w:val="both"/>
      </w:pPr>
      <w:r>
        <w:rPr>
          <w:rFonts w:ascii="Times New Roman" w:hAnsi="Times New Roman"/>
          <w:b/>
          <w:color w:val="000000"/>
          <w:sz w:val="19"/>
        </w:rPr>
        <w:t xml:space="preserve">2. Top-Layer Emotional Depletion: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As demonstrated in Section 7.2, top transformer layers specialize in discrete phonetic tokens and exhibit lower emotional sensitivity than intermediate layers.</w:t>
      </w:r>
    </w:p>
    <w:p>
      <w:pPr>
        <w:spacing w:line="276" w:lineRule="auto" w:before="0" w:after="60"/>
        <w:ind w:left="432" w:hanging="288"/>
        <w:jc w:val="both"/>
      </w:pPr>
      <w:r>
        <w:rPr>
          <w:rFonts w:ascii="Times New Roman" w:hAnsi="Times New Roman"/>
          <w:b/>
          <w:color w:val="000000"/>
          <w:sz w:val="19"/>
        </w:rPr>
        <w:t xml:space="preserve">3. Capacity-to-Sample Mismatch: </w:t>
      </w:r>
      <w:r>
        <w:rPr>
          <w:rFonts w:ascii="Times New Roman" w:hAnsi="Times New Roman"/>
          <w:color w:val="000000"/>
          <w:sz w:val="19"/>
        </w:rPr>
        <w:t>Projecting a frozen 1024-dimensional representation from a 317M-parameter model onto tiny target datasets (e.g., 384 SAVEE clips or 960 RAVDESS clips) without layer-wise adaptation or fine-tuning creates an acute representation mismatch that prevents effective linear separation.</w:t>
      </w:r>
    </w:p>
    <w:p>
      <w:pPr>
        <w:keepNext/>
        <w:spacing w:before="280" w:after="80"/>
        <w:jc w:val="left"/>
      </w:pPr>
      <w:r>
        <w:rPr>
          <w:rFonts w:ascii="Times New Roman" w:hAnsi="Times New Roman"/>
          <w:b/>
          <w:color w:val="000000"/>
          <w:sz w:val="22"/>
        </w:rPr>
        <w:t>7. Empirical Findings &amp; Ablation Studies</w:t>
      </w:r>
    </w:p>
    <w:p>
      <w:pPr>
        <w:keepNext/>
        <w:spacing w:before="180" w:after="60"/>
        <w:jc w:val="left"/>
      </w:pPr>
      <w:r>
        <w:rPr>
          <w:rFonts w:ascii="Times New Roman" w:hAnsi="Times New Roman"/>
          <w:b/>
          <w:color w:val="000000"/>
          <w:sz w:val="20"/>
        </w:rPr>
        <w:t>7.1 The Speaker Diversity Effect</w:t>
      </w:r>
    </w:p>
    <w:p>
      <w:pPr>
        <w:spacing w:line="276" w:lineRule="auto" w:before="0" w:after="70"/>
        <w:ind w:firstLine="288"/>
        <w:jc w:val="both"/>
      </w:pPr>
      <w:r>
        <w:rPr>
          <w:rFonts w:ascii="Times New Roman" w:hAnsi="Times New Roman"/>
          <w:color w:val="000000"/>
          <w:sz w:val="20"/>
        </w:rP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account for 31.95%, total sum = 100.00%).</w:t>
      </w:r>
    </w:p>
    <w:p>
      <w:pPr>
        <w:keepNext/>
        <w:spacing w:before="180" w:after="60"/>
        <w:jc w:val="left"/>
      </w:pPr>
      <w:r>
        <w:rPr>
          <w:rFonts w:ascii="Times New Roman" w:hAnsi="Times New Roman"/>
          <w:b/>
          <w:color w:val="000000"/>
          <w:sz w:val="20"/>
        </w:rPr>
        <w:t>7.2 Layer Weight Distribution Across Transformer Depth</w:t>
      </w:r>
    </w:p>
    <w:p>
      <w:pPr>
        <w:spacing w:line="276" w:lineRule="auto" w:before="0" w:after="70"/>
        <w:ind w:firstLine="288"/>
        <w:jc w:val="both"/>
      </w:pPr>
      <w:r>
        <w:rPr>
          <w:rFonts w:ascii="Times New Roman" w:hAnsi="Times New Roman"/>
          <w:color w:val="000000"/>
          <w:sz w:val="20"/>
        </w:rPr>
        <w:t>Figure 3 illustrates the learned softmax weights alpha across the 12 transformer encoder blocks of the Universal HuBERT model:</w:t>
      </w:r>
    </w:p>
    <w:p>
      <w:pPr>
        <w:spacing w:line="276" w:lineRule="auto" w:before="0" w:after="60"/>
        <w:ind w:left="432" w:hanging="288"/>
        <w:jc w:val="both"/>
      </w:pPr>
      <w:r>
        <w:rPr>
          <w:rFonts w:ascii="Times New Roman" w:hAnsi="Times New Roman"/>
          <w:b/>
          <w:color w:val="000000"/>
          <w:sz w:val="19"/>
        </w:rPr>
        <w:t xml:space="preserve">• Early Layers (Layers 1 to 4):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0" w:after="60"/>
        <w:ind w:left="432" w:hanging="288"/>
        <w:jc w:val="both"/>
      </w:pPr>
      <w:r>
        <w:rPr>
          <w:rFonts w:ascii="Times New Roman" w:hAnsi="Times New Roman"/>
          <w:b/>
          <w:color w:val="000000"/>
          <w:sz w:val="19"/>
        </w:rPr>
        <w:t xml:space="preserve">• Intermediate Transition (Layers 5 to 8):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0" w:after="60"/>
        <w:ind w:left="432" w:hanging="288"/>
        <w:jc w:val="both"/>
      </w:pPr>
      <w:r>
        <w:rPr>
          <w:rFonts w:ascii="Times New Roman" w:hAnsi="Times New Roman"/>
          <w:b/>
          <w:color w:val="000000"/>
          <w:sz w:val="19"/>
        </w:rPr>
        <w:t xml:space="preserve">• Prosodic Culmination Zone (Layers 9 to 11): </w:t>
      </w:r>
      <w:r>
        <w:rPr>
          <w:rFonts w:ascii="Times New Roman" w:hAnsi="Times New Roman"/>
          <w:color w:val="000000"/>
          <w:sz w:val="19"/>
        </w:rPr>
        <w:t>Weights reach their empirical maximum (alpha_9 = 0.1002, alpha_10 = 0.1107, alpha_11 = 0.1086), accounting for exactly 31.95% of the total network weight. Layer 10 serves as the primary focal point (alpha_10 = 11.07%), capturing pitch inflection contours and macro-energy modulations.</w:t>
      </w:r>
    </w:p>
    <w:p>
      <w:pPr>
        <w:spacing w:line="276" w:lineRule="auto" w:before="0" w:after="60"/>
        <w:ind w:left="432" w:hanging="288"/>
        <w:jc w:val="both"/>
      </w:pPr>
      <w:r>
        <w:rPr>
          <w:rFonts w:ascii="Times New Roman" w:hAnsi="Times New Roman"/>
          <w:b/>
          <w:color w:val="000000"/>
          <w:sz w:val="19"/>
        </w:rPr>
        <w:t xml:space="preserve">• Final Layer (Layer 12): </w:t>
      </w:r>
      <w:r>
        <w:rPr>
          <w:rFonts w:ascii="Times New Roman" w:hAnsi="Times New Roman"/>
          <w:color w:val="000000"/>
          <w:sz w:val="19"/>
        </w:rPr>
        <w:t>Weight decreases to alpha_12 = 0.1053 (10.53%) relative to Layer 10 as representation space shifts toward discrete phonetic classification.</w:t>
      </w:r>
    </w:p>
    <w:p>
      <w:pPr>
        <w:spacing w:line="276" w:lineRule="auto" w:before="0" w:after="60"/>
        <w:ind w:left="432" w:hanging="288"/>
        <w:jc w:val="both"/>
      </w:pPr>
      <w:r>
        <w:rPr>
          <w:rFonts w:ascii="Times New Roman" w:hAnsi="Times New Roman"/>
          <w:b/>
          <w:color w:val="000000"/>
          <w:sz w:val="19"/>
        </w:rPr>
        <w:t xml:space="preserve">• Normalization Verification: </w:t>
      </w:r>
      <w:r>
        <w:rPr>
          <w:rFonts w:ascii="Times New Roman" w:hAnsi="Times New Roman"/>
          <w:color w:val="000000"/>
          <w:sz w:val="19"/>
        </w:rPr>
        <w:t>The complete 12-layer softmax distribution (7.07% + 7.10% + 7.11% + 7.12% + 7.13% + 7.17% + 7.25% + 7.57% + 10.02% + 11.07% + 10.86% + 10.53%) sums strictly to 100.00% (sum_{i=1}^{12} alpha_i = 1.0000). Table 4 details the layer weights.</w:t>
      </w:r>
    </w:p>
    <w:p>
      <w:pPr>
        <w:spacing w:before="160" w:after="40"/>
        <w:jc w:val="center"/>
      </w:pPr>
      <w:r>
        <w:rPr>
          <w:rFonts w:ascii="Times New Roman" w:hAnsi="Times New Roman"/>
          <w:b/>
          <w:color w:val="000000"/>
          <w:sz w:val="19"/>
        </w:rPr>
        <w:t>Table 4: Layer-Wise Softmax Attention Weight Distribution (HuBERT-Base)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2340"/>
        <w:gridCol w:w="2340"/>
        <w:gridCol w:w="2340"/>
        <w:gridCol w:w="2340"/>
      </w:tblGrid>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Functional Acoustic Role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0.1002</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10.02%</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macro-prosody onset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Peak affective salience &amp; intonation contours</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Strict mathematical normalization verified</w:t>
            </w:r>
          </w:p>
        </w:tc>
      </w:tr>
    </w:tbl>
    <w:p>
      <w:pPr>
        <w:spacing w:after="80"/>
      </w:pPr>
    </w:p>
    <w:p>
      <w:pPr>
        <w:keepNext/>
        <w:spacing w:before="180" w:after="60"/>
        <w:jc w:val="left"/>
      </w:pPr>
      <w:r>
        <w:rPr>
          <w:rFonts w:ascii="Times New Roman" w:hAnsi="Times New Roman"/>
          <w:b/>
          <w:color w:val="000000"/>
          <w:sz w:val="20"/>
        </w:rPr>
        <w:t>7.3 Cross-Lingual Adaptation to Indic Hindi Speech</w:t>
      </w:r>
    </w:p>
    <w:p>
      <w:pPr>
        <w:spacing w:line="276" w:lineRule="auto" w:before="0" w:after="70"/>
        <w:ind w:firstLine="288"/>
        <w:jc w:val="both"/>
      </w:pPr>
      <w:r>
        <w:rPr>
          <w:rFonts w:ascii="Times New Roman" w:hAnsi="Times New Roman"/>
          <w:color w:val="000000"/>
          <w:sz w:val="20"/>
        </w:rPr>
        <w:t>Evaluating the English-trained Universal HuBERT model zero-shot on the native Hindi test split yielded 27.62% accuracy and 31.76% UAR (above the 25.0% chance level).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normalized confusion matrix.</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w:t>
      </w:r>
    </w:p>
    <w:p>
      <w:pPr>
        <w:keepNext/>
        <w:spacing w:before="280" w:after="80"/>
        <w:jc w:val="left"/>
      </w:pPr>
      <w:r>
        <w:rPr>
          <w:rFonts w:ascii="Times New Roman" w:hAnsi="Times New Roman"/>
          <w:b/>
          <w:color w:val="000000"/>
          <w:sz w:val="22"/>
        </w:rPr>
        <w:t>8. Speech Behavioural Intelligence Profiling</w:t>
      </w:r>
    </w:p>
    <w:p>
      <w:pPr>
        <w:spacing w:line="276" w:lineRule="auto" w:before="0" w:after="70"/>
        <w:ind w:firstLine="288"/>
        <w:jc w:val="both"/>
      </w:pPr>
      <w:r>
        <w:rPr>
          <w:rFonts w:ascii="Times New Roman" w:hAnsi="Times New Roman"/>
          <w:color w:val="000000"/>
          <w:sz w:val="20"/>
        </w:rPr>
        <w:t>Figure 6 summarizes the objective acoustic patterns extracted across emotion categories by the Behaviour Engine:</w:t>
      </w:r>
    </w:p>
    <w:p>
      <w:pPr>
        <w:spacing w:line="276" w:lineRule="auto" w:before="0" w:after="60"/>
        <w:ind w:left="432" w:hanging="288"/>
        <w:jc w:val="both"/>
      </w:pPr>
      <w:r>
        <w:rPr>
          <w:rFonts w:ascii="Times New Roman" w:hAnsi="Times New Roman"/>
          <w:b/>
          <w:color w:val="000000"/>
          <w:sz w:val="19"/>
        </w:rPr>
        <w:t xml:space="preserve">• Anger: </w:t>
      </w:r>
      <w:r>
        <w:rPr>
          <w:rFonts w:ascii="Times New Roman" w:hAnsi="Times New Roman"/>
          <w:color w:val="000000"/>
          <w:sz w:val="19"/>
        </w:rPr>
        <w:t>Characterized by an accelerated speaking tempo (mean 4.2 syl/s), minimal hesitation (pause ratio 12.4%), high vocal intensity (mean loudness -16.2 dB), and sharp pitch variance (sigma_F0 = 54.3 Hz).</w:t>
      </w:r>
    </w:p>
    <w:p>
      <w:pPr>
        <w:spacing w:line="276" w:lineRule="auto" w:before="0" w:after="60"/>
        <w:ind w:left="432" w:hanging="288"/>
        <w:jc w:val="both"/>
      </w:pPr>
      <w:r>
        <w:rPr>
          <w:rFonts w:ascii="Times New Roman" w:hAnsi="Times New Roman"/>
          <w:b/>
          <w:color w:val="000000"/>
          <w:sz w:val="19"/>
        </w:rPr>
        <w:t xml:space="preserve">• Sadness: </w:t>
      </w:r>
      <w:r>
        <w:rPr>
          <w:rFonts w:ascii="Times New Roman" w:hAnsi="Times New Roman"/>
          <w:color w:val="000000"/>
          <w:sz w:val="19"/>
        </w:rPr>
        <w:t>Exhibits psychomotor deceleration with a slow speaking tempo (mean 2.2 syl/s), extensive silence intervals (pause ratio 31.8%), attenuated energy (mean loudness -29.4 dB), and flat fundamental frequency intonation (mean pitch 108.4 Hz, sigma_F0 = 18.2 Hz).</w:t>
      </w:r>
    </w:p>
    <w:p>
      <w:pPr>
        <w:spacing w:line="276" w:lineRule="auto" w:before="0" w:after="60"/>
        <w:ind w:left="432" w:hanging="288"/>
        <w:jc w:val="both"/>
      </w:pPr>
      <w:r>
        <w:rPr>
          <w:rFonts w:ascii="Times New Roman" w:hAnsi="Times New Roman"/>
          <w:b/>
          <w:color w:val="000000"/>
          <w:sz w:val="19"/>
        </w:rPr>
        <w:t xml:space="preserve">• Joy: </w:t>
      </w:r>
      <w:r>
        <w:rPr>
          <w:rFonts w:ascii="Times New Roman" w:hAnsi="Times New Roman"/>
          <w:color w:val="000000"/>
          <w:sz w:val="19"/>
        </w:rPr>
        <w:t>Features elevated pitch dynamics (mean pitch 232.1 Hz, sigma_F0 = 62.1 Hz) and moderate tempo (3.6 syl/s).</w:t>
      </w:r>
    </w:p>
    <w:p>
      <w:pPr>
        <w:spacing w:line="276" w:lineRule="auto" w:before="0" w:after="60"/>
        <w:ind w:left="432" w:hanging="288"/>
        <w:jc w:val="both"/>
      </w:pPr>
      <w:r>
        <w:rPr>
          <w:rFonts w:ascii="Times New Roman" w:hAnsi="Times New Roman"/>
          <w:b/>
          <w:color w:val="000000"/>
          <w:sz w:val="19"/>
        </w:rPr>
        <w:t xml:space="preserve">• Neutral / Calm: </w:t>
      </w:r>
      <w:r>
        <w:rPr>
          <w:rFonts w:ascii="Times New Roman" w:hAnsi="Times New Roman"/>
          <w:color w:val="000000"/>
          <w:sz w:val="19"/>
        </w:rPr>
        <w:t>Displays balanced cadence (2.8 to 3.4 syl/s), standard pause ratio (18% to 22%), and stable loudness (-22 to -26 dB).</w:t>
      </w: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80"/>
        <w:jc w:val="left"/>
      </w:pPr>
      <w:r>
        <w:rPr>
          <w:rFonts w:ascii="Times New Roman" w:hAnsi="Times New Roman"/>
          <w:b/>
          <w:color w:val="000000"/>
          <w:sz w:val="22"/>
        </w:rPr>
        <w:t>9. System Deployment Architecture</w:t>
      </w:r>
    </w:p>
    <w:p>
      <w:pPr>
        <w:spacing w:line="276" w:lineRule="auto" w:before="0" w:after="70"/>
        <w:ind w:firstLine="288"/>
        <w:jc w:val="both"/>
      </w:pPr>
      <w:r>
        <w:rPr>
          <w:rFonts w:ascii="Times New Roman" w:hAnsi="Times New Roman"/>
          <w:color w:val="000000"/>
          <w:sz w:val="20"/>
        </w:rPr>
        <w:t>The end-to-end framework is implemented as an Apple Silicon accelerated microservice paired with a minimal web application:</w:t>
      </w:r>
    </w:p>
    <w:p>
      <w:pPr>
        <w:spacing w:line="276" w:lineRule="auto" w:before="0" w:after="60"/>
        <w:ind w:left="432" w:hanging="288"/>
        <w:jc w:val="both"/>
      </w:pPr>
      <w:r>
        <w:rPr>
          <w:rFonts w:ascii="Times New Roman" w:hAnsi="Times New Roman"/>
          <w:b/>
          <w:color w:val="000000"/>
          <w:sz w:val="19"/>
        </w:rPr>
        <w:t xml:space="preserve">• Frontend UI (Next.js / TypeScript):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spacing w:line="276" w:lineRule="auto" w:before="0" w:after="60"/>
        <w:ind w:left="432" w:hanging="288"/>
        <w:jc w:val="both"/>
      </w:pPr>
      <w:r>
        <w:rPr>
          <w:rFonts w:ascii="Times New Roman" w:hAnsi="Times New Roman"/>
          <w:b/>
          <w:color w:val="000000"/>
          <w:sz w:val="19"/>
        </w:rPr>
        <w:t xml:space="preserve">• Backend Microservice (FastAPI): </w:t>
      </w:r>
      <w:r>
        <w:rPr>
          <w:rFonts w:ascii="Times New Roman" w:hAnsi="Times New Roman"/>
          <w:color w:val="000000"/>
          <w:sz w:val="19"/>
        </w:rPr>
        <w:t>Model registry serving the Hindi Specialist (CNN-BiLSTM) and Universal SER models with Metal Performance Shaders (mps) hardware acceleration (38.4 ms average inference latency).</w:t>
      </w:r>
    </w:p>
    <w:p>
      <w:pPr>
        <w:keepNext/>
        <w:spacing w:before="280" w:after="80"/>
        <w:jc w:val="left"/>
      </w:pPr>
      <w:r>
        <w:rPr>
          <w:rFonts w:ascii="Times New Roman" w:hAnsi="Times New Roman"/>
          <w:b/>
          <w:color w:val="000000"/>
          <w:sz w:val="22"/>
        </w:rPr>
        <w:t>10. Discussion &amp; Limitations</w:t>
      </w:r>
    </w:p>
    <w:p>
      <w:pPr>
        <w:spacing w:line="276" w:lineRule="auto" w:before="0" w:after="70"/>
        <w:ind w:firstLine="288"/>
        <w:jc w:val="both"/>
      </w:pPr>
      <w:r>
        <w:rPr>
          <w:rFonts w:ascii="Times New Roman" w:hAnsi="Times New Roman"/>
          <w:color w:val="000000"/>
          <w:sz w:val="20"/>
        </w:rPr>
        <w:t>While the experimental results validate the efficacy of learnable layer pooling and disjoint evaluation protocols, several limitations should be noted:</w:t>
      </w:r>
    </w:p>
    <w:p>
      <w:pPr>
        <w:spacing w:line="276" w:lineRule="auto" w:before="0" w:after="60"/>
        <w:ind w:left="432" w:hanging="288"/>
        <w:jc w:val="both"/>
      </w:pPr>
      <w:r>
        <w:rPr>
          <w:rFonts w:ascii="Times New Roman" w:hAnsi="Times New Roman"/>
          <w:b/>
          <w:color w:val="000000"/>
          <w:sz w:val="19"/>
        </w:rPr>
        <w:t xml:space="preserve">1. Acoustic Cleanliness: </w:t>
      </w:r>
      <w:r>
        <w:rPr>
          <w:rFonts w:ascii="Times New Roman" w:hAnsi="Times New Roman"/>
          <w:color w:val="000000"/>
          <w:sz w:val="19"/>
        </w:rPr>
        <w:t>Corpora such as TESS feature near-zero ambient noise, which does not reflect conversational real-world audio.</w:t>
      </w:r>
    </w:p>
    <w:p>
      <w:pPr>
        <w:spacing w:line="276" w:lineRule="auto" w:before="0" w:after="60"/>
        <w:ind w:left="432" w:hanging="288"/>
        <w:jc w:val="both"/>
      </w:pPr>
      <w:r>
        <w:rPr>
          <w:rFonts w:ascii="Times New Roman" w:hAnsi="Times New Roman"/>
          <w:b/>
          <w:color w:val="000000"/>
          <w:sz w:val="19"/>
        </w:rPr>
        <w:t xml:space="preserve">2. Dialectal Diversity in Indic Speech: </w:t>
      </w:r>
      <w:r>
        <w:rPr>
          <w:rFonts w:ascii="Times New Roman" w:hAnsi="Times New Roman"/>
          <w:color w:val="000000"/>
          <w:sz w:val="19"/>
        </w:rPr>
        <w:t>The Hindi evaluation was conducted across 25 speakers; regional dialectal variations across northern and central India require broader multi-dialect data collection.</w:t>
      </w:r>
    </w:p>
    <w:p>
      <w:pPr>
        <w:spacing w:line="276" w:lineRule="auto" w:before="0" w:after="60"/>
        <w:ind w:left="432" w:hanging="288"/>
        <w:jc w:val="both"/>
      </w:pPr>
      <w:r>
        <w:rPr>
          <w:rFonts w:ascii="Times New Roman" w:hAnsi="Times New Roman"/>
          <w:b/>
          <w:color w:val="000000"/>
          <w:sz w:val="19"/>
        </w:rPr>
        <w:t xml:space="preserve">3. Pre-trained Audio Sampling: </w:t>
      </w:r>
      <w:r>
        <w:rPr>
          <w:rFonts w:ascii="Times New Roman" w:hAnsi="Times New Roman"/>
          <w:color w:val="000000"/>
          <w:sz w:val="19"/>
        </w:rPr>
        <w:t>Standard foundation models operate at 16 kHz, which truncates ultra-high frequency acoustic cues (&gt; 8 kHz).</w:t>
      </w:r>
    </w:p>
    <w:p>
      <w:pPr>
        <w:keepNext/>
        <w:spacing w:before="280" w:after="80"/>
        <w:jc w:val="left"/>
      </w:pPr>
      <w:r>
        <w:rPr>
          <w:rFonts w:ascii="Times New Roman" w:hAnsi="Times New Roman"/>
          <w:b/>
          <w:color w:val="000000"/>
          <w:sz w:val="22"/>
        </w:rPr>
        <w:t>11. Conclusion</w:t>
      </w:r>
    </w:p>
    <w:p>
      <w:pPr>
        <w:spacing w:line="276" w:lineRule="auto" w:before="0" w:after="70"/>
        <w:ind w:firstLine="288"/>
        <w:jc w:val="both"/>
      </w:pPr>
      <w:r>
        <w:rPr>
          <w:rFonts w:ascii="Times New Roman" w:hAnsi="Times New Roman"/>
          <w:color w:val="000000"/>
          <w:sz w:val="20"/>
        </w:rPr>
        <w:t>This research evaluated speech emotion recognition across multi-corpus and cross-lingual settings. The primary conclusions are:</w:t>
      </w:r>
    </w:p>
    <w:p>
      <w:pPr>
        <w:spacing w:line="276" w:lineRule="auto" w:before="0" w:after="60"/>
        <w:ind w:left="432" w:hanging="288"/>
        <w:jc w:val="both"/>
      </w:pPr>
      <w:r>
        <w:rPr>
          <w:rFonts w:ascii="Times New Roman" w:hAnsi="Times New Roman"/>
          <w:b/>
          <w:color w:val="000000"/>
          <w:sz w:val="19"/>
        </w:rPr>
        <w:t xml:space="preserve">1. Learnable Weighted Layer Pooling: </w:t>
      </w:r>
      <w:r>
        <w:rPr>
          <w:rFonts w:ascii="Times New Roman" w:hAnsi="Times New Roman"/>
          <w:color w:val="000000"/>
          <w:sz w:val="19"/>
        </w:rPr>
        <w:t>Demonstrates that intermediate transformer layers (Layers 9 to 11) capture the highest concentration of emotional prosody (31.95%), outperforming top-layer pooling.</w:t>
      </w:r>
    </w:p>
    <w:p>
      <w:pPr>
        <w:spacing w:line="276" w:lineRule="auto" w:before="0" w:after="60"/>
        <w:ind w:left="432" w:hanging="288"/>
        <w:jc w:val="both"/>
      </w:pPr>
      <w:r>
        <w:rPr>
          <w:rFonts w:ascii="Times New Roman" w:hAnsi="Times New Roman"/>
          <w:b/>
          <w:color w:val="000000"/>
          <w:sz w:val="19"/>
        </w:rPr>
        <w:t xml:space="preserve">2. Speaker Diversity: </w:t>
      </w:r>
      <w:r>
        <w:rPr>
          <w:rFonts w:ascii="Times New Roman" w:hAnsi="Times New Roman"/>
          <w:color w:val="000000"/>
          <w:sz w:val="19"/>
        </w:rPr>
        <w:t>Essential for generalization: models trained on minimal speaker cohorts overfit speaker identity, whereas pre-training across larger cohorts supports speaker-independent evaluation.</w:t>
      </w:r>
    </w:p>
    <w:p>
      <w:pPr>
        <w:spacing w:line="276" w:lineRule="auto" w:before="0" w:after="60"/>
        <w:ind w:left="432" w:hanging="288"/>
        <w:jc w:val="both"/>
      </w:pPr>
      <w:r>
        <w:rPr>
          <w:rFonts w:ascii="Times New Roman" w:hAnsi="Times New Roman"/>
          <w:b/>
          <w:color w:val="000000"/>
          <w:sz w:val="19"/>
        </w:rPr>
        <w:t xml:space="preserve">3. Cross-Lingual Transfer: </w:t>
      </w:r>
      <w:r>
        <w:rPr>
          <w:rFonts w:ascii="Times New Roman" w:hAnsi="Times New Roman"/>
          <w:color w:val="000000"/>
          <w:sz w:val="19"/>
        </w:rPr>
        <w:t>English pre-trained models transfer moderately above chance to native Hindi speech, but supervised adaptation using specialized CNN-BiLSTM networks achieves 75.19% accuracy.</w:t>
      </w:r>
    </w:p>
    <w:p>
      <w:pPr>
        <w:spacing w:line="276" w:lineRule="auto" w:before="0" w:after="60"/>
        <w:ind w:left="432" w:hanging="288"/>
        <w:jc w:val="both"/>
      </w:pPr>
      <w:r>
        <w:rPr>
          <w:rFonts w:ascii="Times New Roman" w:hAnsi="Times New Roman"/>
          <w:b/>
          <w:color w:val="000000"/>
          <w:sz w:val="19"/>
        </w:rPr>
        <w:t xml:space="preserve">4. Behavioural Metrics: </w:t>
      </w:r>
      <w:r>
        <w:rPr>
          <w:rFonts w:ascii="Times New Roman" w:hAnsi="Times New Roman"/>
          <w:color w:val="000000"/>
          <w:sz w:val="19"/>
        </w:rPr>
        <w:t>Combining discrete emotion classification with continuous acoustic measurements (speech rate, pause metrics, energy, and pitch) provides a more comprehensive vocal assessment.</w:t>
      </w:r>
    </w:p>
    <w:p>
      <w:pPr>
        <w:keepNext/>
        <w:spacing w:before="280" w:after="80"/>
        <w:jc w:val="left"/>
      </w:pPr>
      <w:r>
        <w:rPr>
          <w:rFonts w:ascii="Times New Roman" w:hAnsi="Times New Roman"/>
          <w:b/>
          <w:color w:val="000000"/>
          <w:sz w:val="22"/>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Journal of Tianjin University Science and Technology, vol. 59, no. 2, pp. 1–10, Feb. 2026, doi: 10.5281/zenodo.18797014.</w:t>
      </w:r>
    </w:p>
    <w:p>
      <w:pPr>
        <w:spacing w:line="264" w:lineRule="auto" w:before="0" w:after="50"/>
        <w:ind w:left="360" w:hanging="360"/>
        <w:jc w:val="left"/>
      </w:pPr>
      <w:r>
        <w:rPr>
          <w:rFonts w:ascii="Times New Roman" w:hAnsi="Times New Roman"/>
          <w:color w:val="000000"/>
          <w:sz w:val="17"/>
        </w:rPr>
        <w:t>[2] S. Kotian and S. Singh, "Benchmarking Classical, Deep Learning, and Transformer Models for Hindi Speech Emotion Recognition: A Multimodal Analysis," Interdisciplinary Journal of AI, Machine Learning &amp; Data Science, vol. 1, no. 1, art. e001, pp. 1–24, Feb. 2026, doi: 10.66261/fetdj998. [Online]. Available: https://ijaimlds.com/ijaimlds/article/view/9.</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C. Mascolo, J. Han, I. Lefter, H. Kaya, S. Amiriparian et al., "The INTERSPEECH 2020 Computational Paralinguistics Challenge: Elderly Emotion, Breathing &amp; Masks," in Proc. Interspeech 2020, Shanghai, China, 2020, pp. 2017–2021,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