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93" w:lineRule="auto"/>
        <w:jc w:val="center"/>
      </w:pPr>
      <w:r>
        <w:rPr>
          <w:rFonts w:ascii="Times New Roman" w:hAnsi="Times New Roman"/>
          <w:b/>
          <w:color w:val="000000"/>
          <w:sz w:val="36"/>
        </w:rPr>
        <w:t>Multi-Corpus and Multilingual Speech Emotion Recognition with Audio Behavioural Intelligence: A Cross-Lingual Evaluation and Learnable Weighted Layer Pooling Study</w:t>
      </w:r>
    </w:p>
    <w:p>
      <w:pPr>
        <w:spacing w:before="0" w:after="60"/>
        <w:jc w:val="center"/>
      </w:pPr>
      <w:r>
        <w:rPr>
          <w:rFonts w:ascii="Times New Roman" w:hAnsi="Times New Roman"/>
          <w:b/>
          <w:color w:val="000000"/>
          <w:sz w:val="24"/>
        </w:rPr>
        <w:t>Himanshi Patel</w:t>
      </w:r>
    </w:p>
    <w:p>
      <w:pPr>
        <w:spacing w:before="0" w:after="320"/>
        <w:jc w:val="center"/>
      </w:pPr>
      <w:r>
        <w:rPr>
          <w:rFonts w:ascii="Times New Roman" w:hAnsi="Times New Roman"/>
          <w:i/>
          <w:color w:val="000000"/>
          <w:sz w:val="19"/>
        </w:rPr>
        <w:t>Department of Computer Science and Engineering</w:t>
        <w:br/>
        <w:t>Project Repository: speech_emotion_detection (Branch: develop-v3)</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an active area of investigation within human-computer interaction, psychiatric diagnostics, and automated voice analysis. However, contemporary SER research faces several methodological constraints. First, randomized dataset partitioning causes speaker identity leakage, which has been shown in recent paralinguistic literature [21] to artificially inflate experimental accuracy by overestimating generalization to novel speakers. Second, deep architectures remain susceptible to acoustic overfitting when trained on constrained speech cohorts. Third, the literature exhibits a pronounced focus on Germanic and Romance languages, offering limited empirical evidence on cross-lingual transferability to morphologically rich Indic languages such as Hindi. Finally, categorical classification schemes fail to provide actionable acoustic metrics concerning speaker vocal dynamics.</w:t>
        <w:br/>
        <w:br/>
        <w:t>To address these limitations,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clips across 121 speakers) to evaluate cross-corpus generalization and layer-pooling dynamics under strict speaker-disjoint splits, and (2) a standalone cross-lingual transfer and native adaptation study on an Indic speech corpus (862 native Hindi utterances across 25 speakers). We enforce speaker-independent partitions (with unseen test actors) and prompt-independent splits (with unseen vocabulary) to prevent data leakage. Following the SUPERB benchmark methodology [2], we implement a Learnable Weighted Layer Pooling mechanism coupled with a linear classification probe across the 12 transformer hidden layers of a frozen self-supervised foundation backbone (HuBERT-Base, training only 4,626 parameters). Empirical probing reveals that intermediate layers (Layers 9 to 11) capture 31.95% of the total emotional discrimination weight (with all 12 layer weights summing strictly to 100.00%), demonstrating that intermediate representations retain strong emotional salience compared to early acoustic representations.</w:t>
        <w:br/>
        <w:br/>
        <w:t>Additionally, cross-lingual transfer from the English multi-corpus foundation model yields 27.62% accuracy and 31.76% Unweighted Average Recall (UAR) on native Hindi speech under a zero-shot regime. Supervised adaptation using a specialized CNN-BiLSTM architecture increases test accuracy to 74.42% (75.19% via ensemble fusion) and UAR to 70.85% (70.56% ensemble). Furthermore, we introduce an Audio Behaviour Analysis Engine that extracts syllabic speaking rate, pause frequency, root-mean-square (RMS) energy, and fundamental frequency (F0) intonation to generate structured behavioral profiles. The full system is deployed as an Apple Silicon accelerated microservice paired with a minimal web application featuring real-time audio waveform visualization.</w:t>
      </w:r>
    </w:p>
    <w:p>
      <w:pPr>
        <w:spacing w:line="276" w:lineRule="auto" w:before="40" w:after="320"/>
        <w:ind w:left="504" w:right="504"/>
        <w:jc w:val="left"/>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80"/>
        <w:jc w:val="left"/>
      </w:pPr>
      <w:r>
        <w:rPr>
          <w:rFonts w:ascii="Times New Roman" w:hAnsi="Times New Roman"/>
          <w:b/>
          <w:color w:val="000000"/>
          <w:sz w:val="22"/>
        </w:rPr>
        <w:t>1. Introduction &amp; Research Motivation</w:t>
      </w:r>
    </w:p>
    <w:p>
      <w:pPr>
        <w:spacing w:line="276" w:lineRule="auto" w:before="0" w:after="70"/>
        <w:ind w:firstLine="288"/>
        <w:jc w:val="both"/>
      </w:pPr>
      <w:r>
        <w:rPr>
          <w:rFonts w:ascii="Times New Roman" w:hAnsi="Times New Roman"/>
          <w:color w:val="000000"/>
          <w:sz w:val="20"/>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180" w:after="60"/>
        <w:jc w:val="left"/>
      </w:pPr>
      <w:r>
        <w:rPr>
          <w:rFonts w:ascii="Times New Roman" w:hAnsi="Times New Roman"/>
          <w:b/>
          <w:color w:val="000000"/>
          <w:sz w:val="20"/>
        </w:rPr>
        <w:t>1.1 The Problem of Speaker Identity Leakage</w:t>
      </w:r>
    </w:p>
    <w:p>
      <w:pPr>
        <w:spacing w:line="276" w:lineRule="auto" w:before="0" w:after="70"/>
        <w:ind w:firstLine="288"/>
        <w:jc w:val="both"/>
      </w:pPr>
      <w:r>
        <w:rPr>
          <w:rFonts w:ascii="Times New Roman" w:hAnsi="Times New Roman"/>
          <w:color w:val="000000"/>
          <w:sz w:val="20"/>
        </w:rPr>
        <w:t>A critical limitation in existing SER benchmarks is the use of randomized cross-validation [16], [21].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[21].</w:t>
      </w:r>
    </w:p>
    <w:p>
      <w:pPr>
        <w:keepNext/>
        <w:spacing w:before="180" w:after="60"/>
        <w:jc w:val="left"/>
      </w:pPr>
      <w:r>
        <w:rPr>
          <w:rFonts w:ascii="Times New Roman" w:hAnsi="Times New Roman"/>
          <w:b/>
          <w:color w:val="000000"/>
          <w:sz w:val="20"/>
        </w:rPr>
        <w:t>1.2 Indic and Low-Resource Language Representation</w:t>
      </w:r>
    </w:p>
    <w:p>
      <w:pPr>
        <w:spacing w:line="276" w:lineRule="auto" w:before="0" w:after="70"/>
        <w:ind w:firstLine="288"/>
        <w:jc w:val="both"/>
      </w:pPr>
      <w:r>
        <w:rPr>
          <w:rFonts w:ascii="Times New Roman" w:hAnsi="Times New Roman"/>
          <w:color w:val="000000"/>
          <w:sz w:val="20"/>
        </w:rPr>
        <w:t>Most accessible SER benchmarks rely on English (e.g., IEMOCAP [28], RAVDESS [18], CREMA-D [17], SAVEE [19], TESS [20]) or German (e.g., EMO-DB) [16]. Indic languages, spoken by over 1.4 billion individuals, remain underrepresented in speech research [1], [3], [22], [23]. Hindi exhibits distinctive phonological properties, including phonemic vowel length contrasts, retroflex consonants, and syllable-timed stress patterns, which diverge from English speech dynamics [3], [4], [5]. Establishing whether pre-trained English acoustic models transfer to Hindi speech, and measuring the quantitative improvement achievable through supervised adaptation, is essential for multilingual affective computing [1], [18], [22].</w:t>
      </w:r>
    </w:p>
    <w:p>
      <w:pPr>
        <w:keepNext/>
        <w:spacing w:before="180" w:after="60"/>
        <w:jc w:val="left"/>
      </w:pPr>
      <w:r>
        <w:rPr>
          <w:rFonts w:ascii="Times New Roman" w:hAnsi="Times New Roman"/>
          <w:b/>
          <w:color w:val="000000"/>
          <w:sz w:val="20"/>
        </w:rPr>
        <w:t>1.3 Integrating Objective Vocal Metrics</w:t>
      </w:r>
    </w:p>
    <w:p>
      <w:pPr>
        <w:spacing w:line="276" w:lineRule="auto" w:before="0" w:after="70"/>
        <w:ind w:firstLine="288"/>
        <w:jc w:val="both"/>
      </w:pPr>
      <w:r>
        <w:rPr>
          <w:rFonts w:ascii="Times New Roman" w:hAnsi="Times New Roman"/>
          <w:color w:val="000000"/>
          <w:sz w:val="20"/>
        </w:rPr>
        <w:t>Standard SER architectures typically output discrete emotion class probabilities, such as P(Happy) = 0.85. However, clinical diagnostic applications, tele-counseling, and automated conversational systems benefit from continuous, interpretable acoustic measurements [5], [11], [12]:</w:t>
      </w:r>
    </w:p>
    <w:p>
      <w:pPr>
        <w:spacing w:line="276" w:lineRule="auto" w:before="0" w:after="50"/>
        <w:ind w:left="432" w:hanging="288"/>
        <w:jc w:val="left"/>
      </w:pPr>
      <w:r>
        <w:rPr>
          <w:rFonts w:ascii="Times New Roman" w:hAnsi="Times New Roman"/>
          <w:b/>
          <w:color w:val="000000"/>
          <w:sz w:val="19"/>
        </w:rPr>
        <w:t xml:space="preserve">1. </w:t>
      </w:r>
      <w:r>
        <w:rPr>
          <w:rFonts w:ascii="Times New Roman" w:hAnsi="Times New Roman"/>
          <w:b/>
          <w:color w:val="000000"/>
          <w:sz w:val="19"/>
        </w:rPr>
        <w:t xml:space="preserve">Speech Velocity (syllables/s): </w:t>
      </w:r>
      <w:r>
        <w:rPr>
          <w:rFonts w:ascii="Times New Roman" w:hAnsi="Times New Roman"/>
          <w:color w:val="000000"/>
          <w:sz w:val="19"/>
        </w:rPr>
        <w:t>Indicates psychomotor tempo and affective activation state.</w:t>
      </w:r>
    </w:p>
    <w:p>
      <w:pPr>
        <w:spacing w:line="276" w:lineRule="auto" w:before="0" w:after="50"/>
        <w:ind w:left="432" w:hanging="288"/>
        <w:jc w:val="left"/>
      </w:pPr>
      <w:r>
        <w:rPr>
          <w:rFonts w:ascii="Times New Roman" w:hAnsi="Times New Roman"/>
          <w:b/>
          <w:color w:val="000000"/>
          <w:sz w:val="19"/>
        </w:rPr>
        <w:t xml:space="preserve">2. </w:t>
      </w:r>
      <w:r>
        <w:rPr>
          <w:rFonts w:ascii="Times New Roman" w:hAnsi="Times New Roman"/>
          <w:b/>
          <w:color w:val="000000"/>
          <w:sz w:val="19"/>
        </w:rPr>
        <w:t xml:space="preserve">Pause Frequency and Duration: </w:t>
      </w:r>
      <w:r>
        <w:rPr>
          <w:rFonts w:ascii="Times New Roman" w:hAnsi="Times New Roman"/>
          <w:color w:val="000000"/>
          <w:sz w:val="19"/>
        </w:rPr>
        <w:t>Reflects cognitive hesitation, processing load, and structural fluency.</w:t>
      </w:r>
    </w:p>
    <w:p>
      <w:pPr>
        <w:spacing w:line="276" w:lineRule="auto" w:before="0" w:after="50"/>
        <w:ind w:left="432" w:hanging="288"/>
        <w:jc w:val="left"/>
      </w:pPr>
      <w:r>
        <w:rPr>
          <w:rFonts w:ascii="Times New Roman" w:hAnsi="Times New Roman"/>
          <w:b/>
          <w:color w:val="000000"/>
          <w:sz w:val="19"/>
        </w:rPr>
        <w:t xml:space="preserve">3. </w:t>
      </w:r>
      <w:r>
        <w:rPr>
          <w:rFonts w:ascii="Times New Roman" w:hAnsi="Times New Roman"/>
          <w:b/>
          <w:color w:val="000000"/>
          <w:sz w:val="19"/>
        </w:rPr>
        <w:t xml:space="preserve">Vocal Energy Variation: </w:t>
      </w:r>
      <w:r>
        <w:rPr>
          <w:rFonts w:ascii="Times New Roman" w:hAnsi="Times New Roman"/>
          <w:color w:val="000000"/>
          <w:sz w:val="19"/>
        </w:rPr>
        <w:t>Measures behavioral engagement and acoustic intensity dynamics.</w:t>
      </w:r>
    </w:p>
    <w:p>
      <w:pPr>
        <w:spacing w:line="276" w:lineRule="auto" w:before="0" w:after="50"/>
        <w:ind w:left="432" w:hanging="288"/>
        <w:jc w:val="left"/>
      </w:pPr>
      <w:r>
        <w:rPr>
          <w:rFonts w:ascii="Times New Roman" w:hAnsi="Times New Roman"/>
          <w:b/>
          <w:color w:val="000000"/>
          <w:sz w:val="19"/>
        </w:rPr>
        <w:t xml:space="preserve">4. </w:t>
      </w:r>
      <w:r>
        <w:rPr>
          <w:rFonts w:ascii="Times New Roman" w:hAnsi="Times New Roman"/>
          <w:b/>
          <w:color w:val="000000"/>
          <w:sz w:val="19"/>
        </w:rPr>
        <w:t xml:space="preserve">Fundamental Pitch (F0) Variation: </w:t>
      </w:r>
      <w:r>
        <w:rPr>
          <w:rFonts w:ascii="Times New Roman" w:hAnsi="Times New Roman"/>
          <w:color w:val="000000"/>
          <w:sz w:val="19"/>
        </w:rPr>
        <w:t>Quantifies dynamic pitch inflection versus flattened vocal affect.</w:t>
      </w:r>
    </w:p>
    <w:p>
      <w:pPr>
        <w:spacing w:line="276" w:lineRule="auto" w:before="0" w:after="70"/>
        <w:ind w:firstLine="288"/>
        <w:jc w:val="both"/>
      </w:pPr>
      <w:r>
        <w:rPr>
          <w:rFonts w:ascii="Times New Roman" w:hAnsi="Times New Roman"/>
          <w:color w:val="000000"/>
          <w:sz w:val="20"/>
        </w:rPr>
        <w:t>Coupling categorical emotion classification with systematic behavioral feature extraction provides a more informative assessment of speech recordings [1], [11], [25].</w:t>
      </w:r>
    </w:p>
    <w:p>
      <w:pPr>
        <w:keepNext/>
        <w:spacing w:before="180" w:after="60"/>
        <w:jc w:val="left"/>
      </w:pPr>
      <w:r>
        <w:rPr>
          <w:rFonts w:ascii="Times New Roman" w:hAnsi="Times New Roman"/>
          <w:b/>
          <w:color w:val="000000"/>
          <w:sz w:val="20"/>
        </w:rPr>
        <w:t>1.4 Research Questions (RQ)</w:t>
      </w:r>
    </w:p>
    <w:p>
      <w:pPr>
        <w:spacing w:line="276" w:lineRule="auto" w:before="0" w:after="70"/>
        <w:ind w:firstLine="288"/>
        <w:jc w:val="both"/>
      </w:pPr>
      <w:r>
        <w:rPr>
          <w:rFonts w:ascii="Times New Roman" w:hAnsi="Times New Roman"/>
          <w:color w:val="000000"/>
          <w:sz w:val="20"/>
        </w:rPr>
        <w:t>This study addresses four primary research questions:</w:t>
      </w:r>
    </w:p>
    <w:p>
      <w:pPr>
        <w:spacing w:line="276" w:lineRule="auto" w:before="0" w:after="60"/>
        <w:ind w:left="432" w:hanging="288"/>
        <w:jc w:val="both"/>
      </w:pPr>
      <w:r>
        <w:rPr>
          <w:rFonts w:ascii="Times New Roman" w:hAnsi="Times New Roman"/>
          <w:b/>
          <w:color w:val="000000"/>
          <w:sz w:val="19"/>
        </w:rPr>
        <w:t xml:space="preserve">• RQ1 (Layer Pooling Dynamics): </w:t>
      </w:r>
      <w:r>
        <w:rPr>
          <w:rFonts w:ascii="Times New Roman" w:hAnsi="Times New Roman"/>
          <w:color w:val="000000"/>
          <w:sz w:val="19"/>
        </w:rPr>
        <w:t>Does learnable weighted pooling across all transformer hidden layers outperform standard mean pooling or top-layer classification, and which layers encode the most discriminative emotional information?</w:t>
      </w:r>
    </w:p>
    <w:p>
      <w:pPr>
        <w:spacing w:line="276" w:lineRule="auto" w:before="0" w:after="60"/>
        <w:ind w:left="432" w:hanging="288"/>
        <w:jc w:val="both"/>
      </w:pPr>
      <w:r>
        <w:rPr>
          <w:rFonts w:ascii="Times New Roman" w:hAnsi="Times New Roman"/>
          <w:b/>
          <w:color w:val="000000"/>
          <w:sz w:val="19"/>
        </w:rPr>
        <w:t xml:space="preserve">• RQ2 (Speaker Diversity Law): </w:t>
      </w:r>
      <w:r>
        <w:rPr>
          <w:rFonts w:ascii="Times New Roman" w:hAnsi="Times New Roman"/>
          <w:color w:val="000000"/>
          <w:sz w:val="19"/>
        </w:rPr>
        <w:t>What is the relationship between the number of training speakers and out-of-domain generalization performance on strictly unseen actors?</w:t>
      </w:r>
    </w:p>
    <w:p>
      <w:pPr>
        <w:spacing w:line="276" w:lineRule="auto" w:before="0" w:after="60"/>
        <w:ind w:left="432" w:hanging="288"/>
        <w:jc w:val="both"/>
      </w:pPr>
      <w:r>
        <w:rPr>
          <w:rFonts w:ascii="Times New Roman" w:hAnsi="Times New Roman"/>
          <w:b/>
          <w:color w:val="000000"/>
          <w:sz w:val="19"/>
        </w:rPr>
        <w:t xml:space="preserve">• RQ3 (Cross-Lingual Transfer to Indic Speech): </w:t>
      </w:r>
      <w:r>
        <w:rPr>
          <w:rFonts w:ascii="Times New Roman" w:hAnsi="Times New Roman"/>
          <w:color w:val="000000"/>
          <w:sz w:val="19"/>
        </w:rPr>
        <w:t>To what degree do English multi-corpus representations transfer zero-shot to native Hindi speech, and what performance gain is achieved via supervised adaptation?</w:t>
      </w:r>
    </w:p>
    <w:p>
      <w:pPr>
        <w:spacing w:line="276" w:lineRule="auto" w:before="0" w:after="60"/>
        <w:ind w:left="432" w:hanging="288"/>
        <w:jc w:val="both"/>
      </w:pPr>
      <w:r>
        <w:rPr>
          <w:rFonts w:ascii="Times New Roman" w:hAnsi="Times New Roman"/>
          <w:b/>
          <w:color w:val="000000"/>
          <w:sz w:val="19"/>
        </w:rPr>
        <w:t xml:space="preserve">• RQ4 (Behavioral Telemetry Integration): </w:t>
      </w:r>
      <w:r>
        <w:rPr>
          <w:rFonts w:ascii="Times New Roman" w:hAnsi="Times New Roman"/>
          <w:color w:val="000000"/>
          <w:sz w:val="19"/>
        </w:rPr>
        <w:t>How effectively do continuous acoustic features (speech tempo, pause ratio, energy, and pitch intonation) correlate with categorical emotion classifications?</w:t>
      </w:r>
    </w:p>
    <w:p>
      <w:pPr>
        <w:keepNext/>
        <w:spacing w:before="280" w:after="80"/>
        <w:jc w:val="left"/>
      </w:pPr>
      <w:r>
        <w:rPr>
          <w:rFonts w:ascii="Times New Roman" w:hAnsi="Times New Roman"/>
          <w:b/>
          <w:color w:val="000000"/>
          <w:sz w:val="22"/>
        </w:rPr>
        <w:t>2. Related Work &amp; Literature Survey</w:t>
      </w:r>
    </w:p>
    <w:p>
      <w:pPr>
        <w:spacing w:line="276" w:lineRule="auto" w:before="0" w:after="70"/>
        <w:ind w:firstLine="288"/>
        <w:jc w:val="both"/>
      </w:pPr>
      <w:r>
        <w:rPr>
          <w:rFonts w:ascii="Times New Roman" w:hAnsi="Times New Roman"/>
          <w:color w:val="000000"/>
          <w:sz w:val="20"/>
        </w:rPr>
        <w:t>This investigation synthesizes 30 peer-reviewed publications across four core theoretical domains:</w:t>
      </w:r>
    </w:p>
    <w:p>
      <w:pPr>
        <w:keepNext/>
        <w:spacing w:before="180" w:after="60"/>
        <w:jc w:val="left"/>
      </w:pPr>
      <w:r>
        <w:rPr>
          <w:rFonts w:ascii="Times New Roman" w:hAnsi="Times New Roman"/>
          <w:b/>
          <w:color w:val="000000"/>
          <w:sz w:val="20"/>
        </w:rPr>
        <w:t>2.1 Indic and Hindi Speech Emotion Recognition</w:t>
      </w:r>
    </w:p>
    <w:p>
      <w:pPr>
        <w:spacing w:line="276" w:lineRule="auto" w:before="0" w:after="70"/>
        <w:ind w:firstLine="288"/>
        <w:jc w:val="both"/>
      </w:pPr>
      <w:r>
        <w:rPr>
          <w:rFonts w:ascii="Times New Roman" w:hAnsi="Times New Roman"/>
          <w:color w:val="000000"/>
          <w:sz w:val="20"/>
        </w:rPr>
        <w:t>Early speech emotion recognition research in India relied predominantly on small private datasets evaluated with conventional classifiers such as Support Vector Machines (SVM) and Multi-Layer Perceptrons [4], [16]. Kotian and Singh (2026) [1] demonstrated that concatenating prosodic-behavioral descriptors (speaking rate, pitch perturbation, pause ratio, and energy dynamics) with spectral features enhanced classification accuracy and macro-F1 on Hindi speech under challenging acoustic conditions. Chauhan, Sharma, and Varma (2023) [3] introduced the MNITJ-SEHSD database, standardizing an Indic emotion corpus and highlighting acoustic overlap between anger and disgust resulting from shared high vocal intensity. Kawade and Jagtap (2024) [5] evaluated cross-lingual acoustic modeling across Indian speech corpora, demonstrating the effectiveness of combining multiple spectral, temporal, and voice quality descriptors with deep convolutional neural networks. Rathnayake et al. (2026) [22] and Alam Monisha and Sultana (2022) [23] provided comprehensive surveys on the unique acoustic-phonetic challenges and database resources in low-resource Indo-Aryan and Dravidian speech emotion recognition.</w:t>
      </w:r>
    </w:p>
    <w:p>
      <w:pPr>
        <w:keepNext/>
        <w:spacing w:before="180" w:after="60"/>
        <w:jc w:val="left"/>
      </w:pPr>
      <w:r>
        <w:rPr>
          <w:rFonts w:ascii="Times New Roman" w:hAnsi="Times New Roman"/>
          <w:b/>
          <w:color w:val="000000"/>
          <w:sz w:val="20"/>
        </w:rPr>
        <w:t>2.2 Self-Supervised Speech Representation Models</w:t>
      </w:r>
    </w:p>
    <w:p>
      <w:pPr>
        <w:spacing w:line="276" w:lineRule="auto" w:before="0" w:after="70"/>
        <w:ind w:firstLine="288"/>
        <w:jc w:val="both"/>
      </w:pPr>
      <w:r>
        <w:rPr>
          <w:rFonts w:ascii="Times New Roman" w:hAnsi="Times New Roman"/>
          <w:color w:val="000000"/>
          <w:sz w:val="20"/>
        </w:rPr>
        <w:t>Self-supervised learning has established powerful baseline representations for speech tasks. Models such as Wav2Vec 2.0 (Baevski et al., 2020) [9] and HuBERT (Hsu et al., 2021) [8] learn representations from thousands of hours of unlabeled audio through contrastive loss or masked cluster prediction. Yang et al. (2021) [2] introduced the SUPERB benchmark, establishing standard evaluation methodologies for speech representation learning and demonstrating that learnable layer-weighted combinations of intermediate representations consistently outperform fixed top-layer embeddings across diverse speech classification tasks. Pepino, Riera, and Ferrer (2021) [27] and Sun et al. (2024) [30] demonstrated the efficacy of fine-tuning pre-trained representations for downstream emotion recognition, while Wang and Yang (2025) [14] integrated fine-tuned Wav2vec 2.0 with neural controlled differential equation classifiers. However, recent studies by Ma et al. on emotion2vec [6] and Chen et al. on BEATs [7] demonstrate that standard speech models optimize for phonetic invariance, which can suppress emotional cues in upper transformer layers. Probing studies by Pasad, Chou, and Livescu (2021) [24] confirmed that acoustic and prosodic properties are concentrated within intermediate transformer layers, whereas final layers prioritize lexical alignment. These findings motivate the Learnable Weighted Layer Pooling approach used in this work.</w:t>
      </w:r>
    </w:p>
    <w:p>
      <w:pPr>
        <w:keepNext/>
        <w:spacing w:before="180" w:after="60"/>
        <w:jc w:val="left"/>
      </w:pPr>
      <w:r>
        <w:rPr>
          <w:rFonts w:ascii="Times New Roman" w:hAnsi="Times New Roman"/>
          <w:b/>
          <w:color w:val="000000"/>
          <w:sz w:val="20"/>
        </w:rPr>
        <w:t>2.3 Vocal Behavioural Feature Integration</w:t>
      </w:r>
    </w:p>
    <w:p>
      <w:pPr>
        <w:spacing w:line="276" w:lineRule="auto" w:before="0" w:after="70"/>
        <w:ind w:firstLine="288"/>
        <w:jc w:val="both"/>
      </w:pPr>
      <w:r>
        <w:rPr>
          <w:rFonts w:ascii="Times New Roman" w:hAnsi="Times New Roman"/>
          <w:color w:val="000000"/>
          <w:sz w:val="20"/>
        </w:rPr>
        <w:t>Standardized acoustic parameter sets have long provided interpretable metrics for speech analysis. Eyben et al. (2016) defined the Geneva Minimalistic Acoustic Parameter Set (GeMAPS) and extended GeMAPS (eGeMAPS) [12], standardizing 88 acoustic descriptors across frequency, energy, and temporal domains. Chowdhury, Ramanna, and Kotecha (2025) [11] showed that integrating hand-crafted acoustic prosody with lightweight deep neural ensemble architectures improved diagnostic reliability and interpretability across multiple SER benchmarks.</w:t>
      </w:r>
    </w:p>
    <w:p>
      <w:pPr>
        <w:keepNext/>
        <w:spacing w:before="180" w:after="60"/>
        <w:jc w:val="left"/>
      </w:pPr>
      <w:r>
        <w:rPr>
          <w:rFonts w:ascii="Times New Roman" w:hAnsi="Times New Roman"/>
          <w:b/>
          <w:color w:val="000000"/>
          <w:sz w:val="20"/>
        </w:rPr>
        <w:t>2.4 Speaker Disjoint Protocols and Generalization</w:t>
      </w:r>
    </w:p>
    <w:p>
      <w:pPr>
        <w:spacing w:line="276" w:lineRule="auto" w:before="0" w:after="70"/>
        <w:ind w:firstLine="288"/>
        <w:jc w:val="both"/>
      </w:pPr>
      <w:r>
        <w:rPr>
          <w:rFonts w:ascii="Times New Roman" w:hAnsi="Times New Roman"/>
          <w:color w:val="000000"/>
          <w:sz w:val="20"/>
        </w:rPr>
        <w:t>Goel, Hira, and Gupta (2024) [21] examined the challenge of unseen speaker generalization in SER, demonstrating that standard random train/test splits cause neural models to overfit speaker identity rather than true affective cues. Hashem, Arif, and Alghamdi (2023) [15] and Akçay and Oğuz (2020) [16] conducted systematic reviews detailing how cross-corpus evaluation protocols reveal severe performance degradation when models encounter novel recording environments. Wagner et al. (2018) [25] empirically evaluated hand-crafted features versus learned representations across paralinguistic tasks, finding that acoustic descriptors provide vital complementarity to deep representations, while Latif et al. (2023) [26] surveyed deep representation learning paradigms for disentangling speaker identity from affective prosody.</w:t>
      </w:r>
    </w:p>
    <w:p>
      <w:pPr>
        <w:keepNext/>
        <w:spacing w:before="280" w:after="80"/>
        <w:jc w:val="left"/>
      </w:pPr>
      <w:r>
        <w:rPr>
          <w:rFonts w:ascii="Times New Roman" w:hAnsi="Times New Roman"/>
          <w:b/>
          <w:color w:val="000000"/>
          <w:sz w:val="22"/>
        </w:rPr>
        <w:t>3. Dataset Ecosystem &amp; Partitioning Protocols</w:t>
      </w:r>
    </w:p>
    <w:p>
      <w:pPr>
        <w:spacing w:line="276" w:lineRule="auto" w:before="0" w:after="70"/>
        <w:ind w:firstLine="288"/>
        <w:jc w:val="both"/>
      </w:pPr>
      <w:r>
        <w:rPr>
          <w:rFonts w:ascii="Times New Roman" w:hAnsi="Times New Roman"/>
          <w:color w:val="000000"/>
          <w:sz w:val="20"/>
        </w:rPr>
        <w:t>To ensure rigorous evaluation, five distinct corpora comprising 12,180 standardized audio files were curated, preprocessed, and partitioned: CREMA-D [17] (7,442 utterances, 91 actors), RAVDESS [18] (1,440 utterances, 24 actors), SAVEE [19] (480 utterances, 4 actors), TESS [20] (2,800 utterances, 2 actresses), and Hindi SER [1], [3] (862 utterances, 25 native speakers curated from Project Vaani, Indian TTS Emotion, and RapidOrc). Audio files were resampled to a standardized format: 16,000 Hz sampling rate, single-channel (mono), 16-bit PCM WAV, with Voice Activity Detection (VAD) silence trimming and amplitude normalization. Table 1 summarizes the dataset ecosystem.</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Corpus</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Utterances</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Language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Speakers / Scope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Split Protocol</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(US)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91 Diverse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(13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6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1,440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(NA)</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24 Professional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(4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8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480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(UK)</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4 British Actors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Actor-Disjoint (1 Unseen)</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2,800</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English (CA)</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 Actresses, 200 Words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Prompt-Disjoint (30 Words)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7 Classes</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862</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(Indic)</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25 Native Speakers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Disjoint Split</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5 Classes</w:t>
            </w:r>
          </w:p>
        </w:tc>
      </w:tr>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Total</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12,180</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Multilingual</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121+ Total Speakers</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Strict Zero Leakage</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Canonical Maps</w:t>
            </w:r>
          </w:p>
        </w:tc>
      </w:tr>
    </w:tbl>
    <w:p>
      <w:pPr>
        <w:spacing w:before="40" w:after="120"/>
        <w:jc w:val="left"/>
      </w:pPr>
      <w:r>
        <w:rPr>
          <w:rFonts w:ascii="Times New Roman" w:hAnsi="Times New Roman"/>
          <w:i/>
          <w:color w:val="000000"/>
          <w:sz w:val="16"/>
        </w:rPr>
        <w:t>*Note: Across the four English source corpora, raw clips total 12,162 (CREMA-D: 7,442; RAVDESS: 1,440; SAVEE: 480; TESS: 2,800). After standardizing onto the 6 shared canonical classes (neutral, happy, sad, angry, fear, disgust) and excluding non-shared classes (such as calm and surprise, totaling 844 clips), the English multi-corpus pool contains 11,318 audio clips. Combined with the 862 native Hindi clips (5 classes), the entire evaluation framework encompasses 12,180 standardized audio clips.</w:t>
      </w:r>
    </w:p>
    <w:p>
      <w:pPr>
        <w:keepNext/>
        <w:spacing w:before="280" w:after="80"/>
        <w:jc w:val="left"/>
      </w:pPr>
      <w:r>
        <w:rPr>
          <w:rFonts w:ascii="Times New Roman" w:hAnsi="Times New Roman"/>
          <w:b/>
          <w:color w:val="000000"/>
          <w:sz w:val="22"/>
        </w:rPr>
        <w:t>4. Methodology &amp; Model Architecture</w:t>
      </w:r>
    </w:p>
    <w:p>
      <w:pPr>
        <w:spacing w:line="276" w:lineRule="auto" w:before="0" w:after="70"/>
        <w:ind w:firstLine="288"/>
        <w:jc w:val="both"/>
      </w:pPr>
      <w:r>
        <w:rPr>
          <w:rFonts w:ascii="Times New Roman" w:hAnsi="Times New Roman"/>
          <w:color w:val="000000"/>
          <w:sz w:val="20"/>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51601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516015"/>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Behavioural Prosody and Neural Classification Pipeline.</w:t>
      </w:r>
    </w:p>
    <w:p>
      <w:pPr>
        <w:keepNext/>
        <w:spacing w:before="180" w:after="60"/>
        <w:jc w:val="left"/>
      </w:pPr>
      <w:r>
        <w:rPr>
          <w:rFonts w:ascii="Times New Roman" w:hAnsi="Times New Roman"/>
          <w:b/>
          <w:color w:val="000000"/>
          <w:sz w:val="20"/>
        </w:rPr>
        <w:t>4.1 Learnable Weighted Layer Pooling</w:t>
      </w:r>
    </w:p>
    <w:p>
      <w:pPr>
        <w:spacing w:line="276" w:lineRule="auto" w:before="0" w:after="70"/>
        <w:ind w:firstLine="288"/>
        <w:jc w:val="both"/>
      </w:pPr>
      <w:r>
        <w:rPr>
          <w:rFonts w:ascii="Times New Roman" w:hAnsi="Times New Roman"/>
          <w:color w:val="000000"/>
          <w:sz w:val="20"/>
        </w:rPr>
        <w:t>Following the weighted layer pooling formulation established by the SUPERB benchmark (Yang et al., 2021) [2] and Pepino et al. (2021) [27], we adopt a learnable layer-wise weighted sum across all L = 12 transformer encoder representations h_t^(l) in R^D (l in {1, ..., L}):</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4680"/>
          </w:tcPr>
          <w:p>
            <w:pPr>
              <w:spacing w:before="60" w:after="60"/>
              <w:jc w:val="right"/>
            </w:pPr>
            <w:r>
              <w:rPr>
                <w:rFonts w:ascii="Times New Roman" w:hAnsi="Times New Roman"/>
                <w:color w:val="000000"/>
                <w:sz w:val="20"/>
              </w:rPr>
              <w:t>(1)</w:t>
            </w:r>
          </w:p>
        </w:tc>
      </w:tr>
    </w:tbl>
    <w:p>
      <w:pPr>
        <w:spacing w:after="40"/>
      </w:pPr>
    </w:p>
    <w:p>
      <w:pPr>
        <w:spacing w:line="276" w:lineRule="auto" w:before="0" w:after="70"/>
        <w:ind w:firstLine="288"/>
        <w:jc w:val="both"/>
      </w:pPr>
      <w:r>
        <w:rPr>
          <w:rFonts w:ascii="Times New Roman" w:hAnsi="Times New Roman"/>
          <w:color w:val="000000"/>
          <w:sz w:val="20"/>
        </w:rPr>
        <w:t>Here, w in R^L is a learnable parameter vector initialized uniformly (w_l = 0), and alpha in R^L represents the normalized layer weighting. After computing the layer-weighted sequence e_t, masked temporal mean pooling is applied over valid audio frames:</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rPr>
                    <m:sty m:val="b"/>
                  </m:rPr>
                  <m:t>z</m:t>
                </m:r>
                <m:r>
                  <m:t> = </m:t>
                </m:r>
                <m:f>
                  <m:num>
                    <m:r>
                      <m:t>1</m:t>
                    </m:r>
                  </m:num>
                  <m:den>
                    <m:nary>
                      <m:naryPr>
                        <m:chr m:val="∑"/>
                        <m:limLoc m:val="undOvr"/>
                      </m:naryPr>
                      <m:sub>
                        <m:r>
                          <m:t>t=1</m:t>
                        </m:r>
                      </m:sub>
                      <m:sup>
                        <m:r>
                          <m:t>T</m:t>
                        </m:r>
                      </m:sup>
                      <m:e>
                        <m:sSub>
                          <m:e>
                            <m:r>
                              <m:t>m</m:t>
                            </m:r>
                          </m:e>
                          <m:sub>
                            <m:r>
                              <m:t>t</m:t>
                            </m:r>
                          </m:sub>
                        </m:sSub>
                      </m:e>
                    </m:nary>
                  </m:den>
                </m:f>
                <m:nary>
                  <m:naryPr>
                    <m:chr m:val="∑"/>
                    <m:limLoc m:val="undOvr"/>
                  </m:naryPr>
                  <m:sub>
                    <m:r>
                      <m:t>t=1</m:t>
                    </m:r>
                  </m:sub>
                  <m:sup>
                    <m:r>
                      <m:t>T</m:t>
                    </m:r>
                  </m:sup>
                  <m:e>
                    <m:sSub>
                      <m:e>
                        <m:r>
                          <m:t>m</m:t>
                        </m:r>
                      </m:e>
                      <m:sub>
                        <m:r>
                          <m:t>t</m:t>
                        </m:r>
                      </m:sub>
                    </m:sSub>
                    <m:sSub>
                      <m:e>
                        <m:r>
                          <m:rPr>
                            <m:sty m:val="b"/>
                          </m:rPr>
                          <m:t>e</m:t>
                        </m:r>
                      </m:e>
                      <m:sub>
                        <m:r>
                          <m:t>t</m:t>
                        </m:r>
                      </m:sub>
                    </m:sSub>
                  </m:e>
                </m:nary>
                <m:r>
                  <m:t> ∈ </m:t>
                </m:r>
                <m:sSup>
                  <m:e>
                    <m:r>
                      <m:t>ℝ</m:t>
                    </m:r>
                  </m:e>
                  <m:sup>
                    <m:r>
                      <m:t>D</m:t>
                    </m:r>
                  </m:sup>
                </m:sSup>
              </m:oMath>
            </m:oMathPara>
          </w:p>
        </w:tc>
        <w:tc>
          <w:tcPr>
            <w:tcW w:type="dxa" w:w="4680"/>
          </w:tcPr>
          <w:p>
            <w:pPr>
              <w:spacing w:before="60" w:after="60"/>
              <w:jc w:val="right"/>
            </w:pPr>
            <w:r>
              <w:rPr>
                <w:rFonts w:ascii="Times New Roman" w:hAnsi="Times New Roman"/>
                <w:color w:val="000000"/>
                <w:sz w:val="20"/>
              </w:rPr>
              <w:t>(2)</w:t>
            </w:r>
          </w:p>
        </w:tc>
      </w:tr>
    </w:tbl>
    <w:p>
      <w:pPr>
        <w:spacing w:after="40"/>
      </w:pPr>
    </w:p>
    <w:p>
      <w:pPr>
        <w:spacing w:line="276" w:lineRule="auto" w:before="0" w:after="70"/>
        <w:ind w:firstLine="288"/>
        <w:jc w:val="both"/>
      </w:pPr>
      <w:r>
        <w:rPr>
          <w:rFonts w:ascii="Times New Roman" w:hAnsi="Times New Roman"/>
          <w:color w:val="000000"/>
          <w:sz w:val="20"/>
        </w:rPr>
        <w:t>where m_t in {0, 1} denotes the attention mask indicating valid audio frames. The resulting pooled representation z in R^D (D = 768) is projected through a linear classification probe:</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acc>
                  <m:accPr>
                    <m:chr m:val="^"/>
                  </m:accPr>
                  <m:e>
                    <m:r>
                      <m:rPr>
                        <m:sty m:val="b"/>
                      </m:rPr>
                      <m:t>y</m:t>
                    </m:r>
                  </m:e>
                </m:acc>
                <m:r>
                  <m:t> = Softmax</m:t>
                </m:r>
                <m:d>
                  <m:dPr>
                    <m:begChr m:val="("/>
                    <m:endChr m:val=")"/>
                  </m:dPr>
                  <m:e>
                    <m:sSub>
                      <m:e>
                        <m:r>
                          <m:rPr>
                            <m:sty m:val="b"/>
                          </m:rPr>
                          <m:t>W</m:t>
                        </m:r>
                      </m:e>
                      <m:sub>
                        <m:r>
                          <m:t>c</m:t>
                        </m:r>
                      </m:sub>
                    </m:sSub>
                    <m:r>
                      <m:rPr>
                        <m:sty m:val="b"/>
                      </m:rPr>
                      <m:t>z</m:t>
                    </m:r>
                    <m:r>
                      <m:t> + </m:t>
                    </m:r>
                    <m:sSub>
                      <m:e>
                        <m:r>
                          <m:rPr>
                            <m:sty m:val="b"/>
                          </m:rPr>
                          <m:t>b</m:t>
                        </m:r>
                      </m:e>
                      <m:sub>
                        <m:r>
                          <m:t>c</m:t>
                        </m:r>
                      </m:sub>
                    </m:sSub>
                  </m:e>
                </m:d>
              </m:oMath>
            </m:oMathPara>
          </w:p>
        </w:tc>
        <w:tc>
          <w:tcPr>
            <w:tcW w:type="dxa" w:w="4680"/>
          </w:tcPr>
          <w:p>
            <w:pPr>
              <w:spacing w:before="60" w:after="60"/>
              <w:jc w:val="right"/>
            </w:pPr>
            <w:r>
              <w:rPr>
                <w:rFonts w:ascii="Times New Roman" w:hAnsi="Times New Roman"/>
                <w:color w:val="000000"/>
                <w:sz w:val="20"/>
              </w:rPr>
              <w:t>(3)</w:t>
            </w:r>
          </w:p>
        </w:tc>
      </w:tr>
    </w:tbl>
    <w:p>
      <w:pPr>
        <w:spacing w:after="40"/>
      </w:pPr>
    </w:p>
    <w:p>
      <w:pPr>
        <w:spacing w:line="276" w:lineRule="auto" w:before="0" w:after="70"/>
        <w:ind w:firstLine="288"/>
        <w:jc w:val="both"/>
      </w:pPr>
      <w:r>
        <w:rPr>
          <w:rFonts w:ascii="Times New Roman" w:hAnsi="Times New Roman"/>
          <w:color w:val="000000"/>
          <w:sz w:val="20"/>
        </w:rPr>
        <w:t>where W_c in R^(C x D) and b_c in R^C (with C = 6 emotion classes). With the backbone frozen, the total trainable parameters comprise only the 12 layer scalar weights and the linear probe: 12 + 768 x 6 + 6 = 4,626 parameters (representing ~0.005% of the total network capacity).</w:t>
      </w:r>
    </w:p>
    <w:p>
      <w:pPr>
        <w:keepNext/>
        <w:spacing w:before="180" w:after="60"/>
        <w:jc w:val="left"/>
      </w:pPr>
      <w:r>
        <w:rPr>
          <w:rFonts w:ascii="Times New Roman" w:hAnsi="Times New Roman"/>
          <w:b/>
          <w:color w:val="000000"/>
          <w:sz w:val="20"/>
        </w:rPr>
        <w:t>4.2 Audio Behaviour Engine Telemetry</w:t>
      </w:r>
    </w:p>
    <w:p>
      <w:pPr>
        <w:spacing w:line="276" w:lineRule="auto" w:before="0" w:after="70"/>
        <w:ind w:firstLine="288"/>
        <w:jc w:val="both"/>
      </w:pPr>
      <w:r>
        <w:rPr>
          <w:rFonts w:ascii="Times New Roman" w:hAnsi="Times New Roman"/>
          <w:color w:val="000000"/>
          <w:sz w:val="20"/>
        </w:rPr>
        <w:t>The Behaviour Engine calculates four primary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4680"/>
          </w:tcPr>
          <w:p>
            <w:pPr>
              <w:spacing w:before="60" w:after="6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4680"/>
          </w:tcPr>
          <w:p>
            <w:pPr>
              <w:spacing w:before="60" w:after="60"/>
              <w:jc w:val="right"/>
            </w:pPr>
            <w:r>
              <w:rPr>
                <w:rFonts w:ascii="Times New Roman" w:hAnsi="Times New Roman"/>
                <w:color w:val="000000"/>
                <w:sz w:val="20"/>
              </w:rPr>
              <w:t>(5)</w:t>
            </w:r>
          </w:p>
        </w:tc>
      </w:tr>
    </w:tbl>
    <w:p>
      <w:pPr>
        <w:spacing w:after="40"/>
      </w:pPr>
    </w:p>
    <w:p>
      <w:pPr>
        <w:keepNext/>
        <w:spacing w:before="280" w:after="80"/>
        <w:jc w:val="left"/>
      </w:pPr>
      <w:r>
        <w:rPr>
          <w:rFonts w:ascii="Times New Roman" w:hAnsi="Times New Roman"/>
          <w:b/>
          <w:color w:val="000000"/>
          <w:sz w:val="22"/>
        </w:rPr>
        <w:t>5. Experimental Setup &amp; Evaluation Metrics</w:t>
      </w:r>
    </w:p>
    <w:p>
      <w:pPr>
        <w:spacing w:line="276" w:lineRule="auto" w:before="0" w:after="70"/>
        <w:ind w:firstLine="288"/>
        <w:jc w:val="both"/>
      </w:pPr>
      <w:r>
        <w:rPr>
          <w:rFonts w:ascii="Times New Roman" w:hAnsi="Times New Roman"/>
          <w:color w:val="000000"/>
          <w:sz w:val="20"/>
        </w:rPr>
        <w:t>Models were trained using the AdamW optimizer with Cosine Annealing learning rate schedules. Transformer backbones utilized a base learning rate of 1e-5 (frozen feature extractor) and head rate of 1e-3. The CNN-BiLSTM was optimized at 5e-4 with ReduceLROnPlateau. Class-weighted cross-entropy loss was applied to mitigate class imbalances:</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4680"/>
          </w:tcPr>
          <w:p>
            <w:pPr>
              <w:spacing w:before="60" w:after="60"/>
              <w:jc w:val="right"/>
            </w:pPr>
            <w:r>
              <w:rPr>
                <w:rFonts w:ascii="Times New Roman" w:hAnsi="Times New Roman"/>
                <w:color w:val="000000"/>
                <w:sz w:val="20"/>
              </w:rPr>
              <w:t>(6)</w:t>
            </w:r>
          </w:p>
        </w:tc>
      </w:tr>
    </w:tbl>
    <w:p>
      <w:pPr>
        <w:spacing w:after="40"/>
      </w:pPr>
    </w:p>
    <w:p>
      <w:pPr>
        <w:spacing w:line="276" w:lineRule="auto" w:before="0" w:after="70"/>
        <w:ind w:firstLine="288"/>
        <w:jc w:val="both"/>
      </w:pPr>
      <w:r>
        <w:rPr>
          <w:rFonts w:ascii="Times New Roman" w:hAnsi="Times New Roman"/>
          <w:color w:val="000000"/>
          <w:sz w:val="20"/>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bottom w:val="none"/>
          <w:insideH w:val="none"/>
          <w:left w:val="none"/>
          <w:right w:val="none"/>
          <w:insideV w:val="none"/>
        </w:tblBorders>
      </w:tblPr>
      <w:tblGrid>
        <w:gridCol w:w="8208"/>
        <w:gridCol w:w="1152"/>
      </w:tblGrid>
      <w:tr>
        <w:tc>
          <w:tcPr>
            <w:tcW w:type="dxa" w:w="4680"/>
          </w:tcPr>
          <w:p>
            <w:pPr>
              <w:spacing w:before="60" w:after="6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4680"/>
          </w:tcPr>
          <w:p>
            <w:pPr>
              <w:spacing w:before="60" w:after="60"/>
              <w:jc w:val="right"/>
            </w:pPr>
            <w:r>
              <w:rPr>
                <w:rFonts w:ascii="Times New Roman" w:hAnsi="Times New Roman"/>
                <w:color w:val="000000"/>
                <w:sz w:val="20"/>
              </w:rPr>
              <w:t>(7)</w:t>
            </w:r>
          </w:p>
        </w:tc>
      </w:tr>
    </w:tbl>
    <w:p>
      <w:pPr>
        <w:spacing w:after="40"/>
      </w:pPr>
    </w:p>
    <w:p>
      <w:pPr>
        <w:keepNext/>
        <w:spacing w:before="280" w:after="80"/>
        <w:jc w:val="left"/>
      </w:pPr>
      <w:r>
        <w:rPr>
          <w:rFonts w:ascii="Times New Roman" w:hAnsi="Times New Roman"/>
          <w:b/>
          <w:color w:val="000000"/>
          <w:sz w:val="22"/>
        </w:rPr>
        <w:t>6. Benchmark Results &amp; Comparative Analysis</w:t>
      </w:r>
    </w:p>
    <w:p>
      <w:pPr>
        <w:keepNext/>
        <w:spacing w:before="180" w:after="60"/>
        <w:jc w:val="left"/>
      </w:pPr>
      <w:r>
        <w:rPr>
          <w:rFonts w:ascii="Times New Roman" w:hAnsi="Times New Roman"/>
          <w:b/>
          <w:color w:val="000000"/>
          <w:sz w:val="20"/>
        </w:rPr>
        <w:t>6.1 Universal Multi-Corpus Linear Probe Benchmark</w:t>
      </w:r>
    </w:p>
    <w:p>
      <w:pPr>
        <w:spacing w:line="276" w:lineRule="auto" w:before="0" w:after="70"/>
        <w:ind w:firstLine="288"/>
        <w:jc w:val="both"/>
      </w:pPr>
      <w:r>
        <w:rPr>
          <w:rFonts w:ascii="Times New Roman" w:hAnsi="Times New Roman"/>
          <w:color w:val="000000"/>
          <w:sz w:val="20"/>
        </w:rPr>
        <w:t>To evaluate whether a unified representation can generalize across diverse acoustic environments, accents, and recording conditions, a Universal HuBERT Model was trained on the combined 4-corpus dataset (121 speakers across CREMA-D, RAVDESS, SAVEE, and TESS) and evaluated against 1,701 unseen multi-corpus test utterances.</w:t>
        <w:br/>
        <w:br/>
        <w:t>Architecturally, this model employs a frozen self-supervised HuBERT-Base backbone (94.7M parameters) coupled with our Learnable Weighted Layer Pooling module and a linear classification head. Only 4,626 parameters were trained, representing approximately 0.005% of the total network parameters. Freezing the backbone avoids catastrophic forgetting of generic acoustic representations while providing an efficient linear probe evaluation of the pre-trained features across diverse corpora. Table 2 reports the benchmark leaderboard alongside sub-cohort breakdowns on unseen test partitions.</w:t>
      </w:r>
    </w:p>
    <w:p>
      <w:pPr>
        <w:spacing w:before="160" w:after="40"/>
        <w:jc w:val="center"/>
      </w:pPr>
      <w:r>
        <w:rPr>
          <w:rFonts w:ascii="Times New Roman" w:hAnsi="Times New Roman"/>
          <w:b/>
          <w:color w:val="000000"/>
          <w:sz w:val="19"/>
        </w:rPr>
        <w:t>Table 2: Universal Multi-Corpus Test Leaderboard (1,701 Unseen Clips)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872"/>
        <w:gridCol w:w="1872"/>
        <w:gridCol w:w="1872"/>
        <w:gridCol w:w="1872"/>
        <w:gridCol w:w="1872"/>
      </w:tblGrid>
      <w:tr>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Model / Evaluation Strategy</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Test Accuracy</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Test UAR</w:t>
            </w:r>
          </w:p>
        </w:tc>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Status / Scope</w:t>
            </w:r>
          </w:p>
        </w:tc>
      </w:tr>
      <w:tr>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Universal HuBERT (Frozen Transfer + Head)</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68.31%</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0.6779</w:t>
            </w:r>
          </w:p>
        </w:tc>
        <w:tc>
          <w:tcPr>
            <w:tcW w:type="dxa" w:w="1872"/>
            <w:tcMar>
              <w:top w:w="60" w:type="dxa"/>
              <w:bottom w:w="60" w:type="dxa"/>
              <w:left w:w="80" w:type="dxa"/>
              <w:right w:w="80" w:type="dxa"/>
            </w:tcMar>
          </w:tcPr>
          <w:p>
            <w:pPr>
              <w:spacing w:before="40" w:after="40"/>
              <w:jc w:val="center"/>
            </w:pPr>
            <w:r>
              <w:rPr>
                <w:rFonts w:ascii="Times New Roman" w:hAnsi="Times New Roman"/>
                <w:b/>
                <w:color w:val="000000"/>
                <w:sz w:val="17"/>
              </w:rPr>
              <w:t>68.61%</w:t>
            </w:r>
          </w:p>
        </w:tc>
        <w:tc>
          <w:tcPr>
            <w:tcW w:type="dxa" w:w="1872"/>
            <w:tcMar>
              <w:top w:w="60" w:type="dxa"/>
              <w:bottom w:w="60" w:type="dxa"/>
              <w:left w:w="80" w:type="dxa"/>
              <w:right w:w="80" w:type="dxa"/>
            </w:tcMar>
          </w:tcPr>
          <w:p>
            <w:pPr>
              <w:spacing w:before="40" w:after="40"/>
              <w:jc w:val="left"/>
            </w:pPr>
            <w:r>
              <w:rPr>
                <w:rFonts w:ascii="Times New Roman" w:hAnsi="Times New Roman"/>
                <w:b/>
                <w:color w:val="000000"/>
                <w:sz w:val="17"/>
              </w:rPr>
              <w:t>Unified Champion (4.1x chance)</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Zero-Shot CREMA-D HuBERT Baseline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60.61%</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0.6031</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60.54%</w:t>
            </w:r>
          </w:p>
        </w:tc>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Baseline Multi-Corpus Benchmark</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Sub-Cohort: CREMA-D (1,060 clips, 13 actors)</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72.45%</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0.7232</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72.03%</w:t>
            </w:r>
          </w:p>
        </w:tc>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Unseen Diverse Actors (IDs 1079-1091)</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Sub-Cohort: TESS (360 clips, 30 words)</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0.6771</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Unseen Vocabulary Words</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Sub-Cohort: RAVDESS (176 clips, 4 actors)</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52.27%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0.5018</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51.14%</w:t>
            </w:r>
          </w:p>
        </w:tc>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Unseen Professional Actors (21-24)</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Sub-Cohort: SAVEE (105 clips, 1 actor)</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51.43%</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0.3999</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38.10%</w:t>
            </w:r>
          </w:p>
        </w:tc>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Unseen British Actor (KL)</w:t>
            </w:r>
          </w:p>
        </w:tc>
      </w:tr>
      <w:tr>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Random Chance Baseline</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0.1667</w:t>
            </w:r>
          </w:p>
        </w:tc>
        <w:tc>
          <w:tcPr>
            <w:tcW w:type="dxa" w:w="1872"/>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1872"/>
            <w:tcMar>
              <w:top w:w="60" w:type="dxa"/>
              <w:bottom w:w="60" w:type="dxa"/>
              <w:left w:w="80" w:type="dxa"/>
              <w:right w:w="80" w:type="dxa"/>
            </w:tcMar>
          </w:tcPr>
          <w:p>
            <w:pPr>
              <w:spacing w:before="40" w:after="40"/>
              <w:jc w:val="left"/>
            </w:pPr>
            <w:r>
              <w:rPr>
                <w:rFonts w:ascii="Times New Roman" w:hAnsi="Times New Roman"/>
                <w:color w:val="000000"/>
                <w:sz w:val="17"/>
              </w:rPr>
              <w:t>Theoretical 6-Class Floor</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180" w:after="60"/>
        <w:jc w:val="left"/>
      </w:pPr>
      <w:r>
        <w:rPr>
          <w:rFonts w:ascii="Times New Roman" w:hAnsi="Times New Roman"/>
          <w:b/>
          <w:color w:val="000000"/>
          <w:sz w:val="20"/>
        </w:rPr>
        <w:t>6.2 In-Domain Multi-Corpus Benchmark Summary</w:t>
      </w:r>
    </w:p>
    <w:p>
      <w:pPr>
        <w:spacing w:line="276" w:lineRule="auto" w:before="0" w:after="70"/>
        <w:ind w:firstLine="288"/>
        <w:jc w:val="both"/>
      </w:pPr>
      <w:r>
        <w:rPr>
          <w:rFonts w:ascii="Times New Roman" w:hAnsi="Times New Roman"/>
          <w:color w:val="000000"/>
          <w:sz w:val="20"/>
        </w:rPr>
        <w:t>Individual in-domain evaluations across all five corpora reveal consistent patterns under strict speaker-disjoint splits:</w:t>
      </w:r>
    </w:p>
    <w:p>
      <w:pPr>
        <w:spacing w:line="276" w:lineRule="auto" w:before="0" w:after="60"/>
        <w:ind w:left="432" w:hanging="288"/>
        <w:jc w:val="both"/>
      </w:pPr>
      <w:r>
        <w:rPr>
          <w:rFonts w:ascii="Times New Roman" w:hAnsi="Times New Roman"/>
          <w:b/>
          <w:color w:val="000000"/>
          <w:sz w:val="19"/>
        </w:rPr>
        <w:t xml:space="preserve">• CREMA-D (91 Actors, 13 Unseen Test Actors): </w:t>
      </w:r>
      <w:r>
        <w:rPr>
          <w:rFonts w:ascii="Times New Roman" w:hAnsi="Times New Roman"/>
          <w:color w:val="000000"/>
          <w:sz w:val="19"/>
        </w:rPr>
        <w:t>Soft-Voting Top-5 Ensemble achieved 75.57% Accuracy, 0.7594 Macro-F1, and 75.61% UAR. HuBERT with Learnable Layer Pooling reached 71.98% Accuracy (0.7209 F1), outperforming Wav2Vec2 Base (69.25%) and MFCC+CNN-BiLSTM (63.30%). Wav2Vec2-XLS-R-300M (Frozen Baseline) reached only 24.43% Accuracy (near chance level of 16.67%).</w:t>
      </w:r>
    </w:p>
    <w:p>
      <w:pPr>
        <w:spacing w:line="276" w:lineRule="auto" w:before="0" w:after="60"/>
        <w:ind w:left="432" w:hanging="288"/>
        <w:jc w:val="both"/>
      </w:pPr>
      <w:r>
        <w:rPr>
          <w:rFonts w:ascii="Times New Roman" w:hAnsi="Times New Roman"/>
          <w:b/>
          <w:color w:val="000000"/>
          <w:sz w:val="19"/>
        </w:rPr>
        <w:t xml:space="preserve">• RAVDESS (24 Actors, Actors 21 to 24 Unseen): </w:t>
      </w:r>
      <w:r>
        <w:rPr>
          <w:rFonts w:ascii="Times New Roman" w:hAnsi="Times New Roman"/>
          <w:color w:val="000000"/>
          <w:sz w:val="19"/>
        </w:rPr>
        <w:t>Transfer Ensemble achieved 73.75% Accuracy, 0.7207 Macro-F1, and 72.27% UAR. Transfer from CREMA-D pre-training to RAVDESS produced 72.92% Accuracy, compared to 32.50% when trained from scratch using HuBERT alone. Wav2Vec2-XLS-R-300M collapsed to 13.33% Accuracy (barely above chance level of 12.50%).</w:t>
      </w:r>
    </w:p>
    <w:p>
      <w:pPr>
        <w:spacing w:line="276" w:lineRule="auto" w:before="0" w:after="60"/>
        <w:ind w:left="432" w:hanging="288"/>
        <w:jc w:val="both"/>
      </w:pPr>
      <w:r>
        <w:rPr>
          <w:rFonts w:ascii="Times New Roman" w:hAnsi="Times New Roman"/>
          <w:b/>
          <w:color w:val="000000"/>
          <w:sz w:val="19"/>
        </w:rPr>
        <w:t xml:space="preserve">• SAVEE (4 Actors, Actor KL Unseen): </w:t>
      </w:r>
      <w:r>
        <w:rPr>
          <w:rFonts w:ascii="Times New Roman" w:hAnsi="Times New Roman"/>
          <w:color w:val="000000"/>
          <w:sz w:val="19"/>
        </w:rPr>
        <w:t>Transfer ensemble reached 51.67% Accuracy, 0.3860 Macro-F1, and 40.48% UAR, substantially surpassing the HuBERT scratch baseline of 25.83% (0.0795 F1) which suffered from vocal tract overfitting. Note: In-domain SAVEE evaluation is conducted on a single unseen British actor (Actor KL, 120 clips), introducing higher empirical variance.</w:t>
      </w:r>
    </w:p>
    <w:p>
      <w:pPr>
        <w:spacing w:line="276" w:lineRule="auto" w:before="0" w:after="60"/>
        <w:ind w:left="432" w:hanging="288"/>
        <w:jc w:val="both"/>
      </w:pPr>
      <w:r>
        <w:rPr>
          <w:rFonts w:ascii="Times New Roman" w:hAnsi="Times New Roman"/>
          <w:b/>
          <w:color w:val="000000"/>
          <w:sz w:val="19"/>
        </w:rPr>
        <w:t xml:space="preserve">• TESS (2 Actresses, 200 Words, 30 Unseen Target Words): </w:t>
      </w:r>
      <w:r>
        <w:rPr>
          <w:rFonts w:ascii="Times New Roman" w:hAnsi="Times New Roman"/>
          <w:color w:val="000000"/>
          <w:sz w:val="19"/>
        </w:rPr>
        <w:t>All in-domain SSL foundation models achieved 100.00% Accuracy and 1.0000 Macro-F1 on prompt-independent splits. When evaluated zero-shot with the multi-corpus Universal HuBERT model, TESS performance settles at 68.89%, illustrating that the 100% in-domain score reflects the constrained acoustic complexity of the two-speaker studio recording rather than infinite generalization.</w:t>
      </w:r>
    </w:p>
    <w:p>
      <w:pPr>
        <w:spacing w:before="160" w:after="40"/>
        <w:jc w:val="center"/>
      </w:pPr>
      <w:r>
        <w:rPr>
          <w:rFonts w:ascii="Times New Roman" w:hAnsi="Times New Roman"/>
          <w:b/>
          <w:color w:val="000000"/>
          <w:sz w:val="19"/>
        </w:rPr>
        <w:t>Table 3: In-Domain Benchmark Leaderboard Across 5 Evaluated Corpora</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1560"/>
        <w:gridCol w:w="1560"/>
        <w:gridCol w:w="1560"/>
        <w:gridCol w:w="1560"/>
        <w:gridCol w:w="1560"/>
        <w:gridCol w:w="1560"/>
      </w:tblGrid>
      <w:tr>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Dataset</w:t>
            </w:r>
          </w:p>
        </w:tc>
        <w:tc>
          <w:tcPr>
            <w:tcW w:type="dxa" w:w="1560"/>
            <w:tcMar>
              <w:top w:w="60" w:type="dxa"/>
              <w:bottom w:w="60" w:type="dxa"/>
              <w:left w:w="80" w:type="dxa"/>
              <w:right w:w="80" w:type="dxa"/>
            </w:tcMar>
          </w:tcPr>
          <w:p>
            <w:pPr>
              <w:spacing w:before="40" w:after="40"/>
              <w:jc w:val="left"/>
            </w:pPr>
            <w:r>
              <w:rPr>
                <w:rFonts w:ascii="Times New Roman" w:hAnsi="Times New Roman"/>
                <w:b/>
                <w:color w:val="000000"/>
                <w:sz w:val="17"/>
              </w:rPr>
              <w:t>Best Model</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Accuracy</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UAR</w:t>
            </w:r>
          </w:p>
        </w:tc>
        <w:tc>
          <w:tcPr>
            <w:tcW w:type="dxa" w:w="1560"/>
            <w:tcMar>
              <w:top w:w="60" w:type="dxa"/>
              <w:bottom w:w="60" w:type="dxa"/>
              <w:left w:w="80" w:type="dxa"/>
              <w:right w:w="80" w:type="dxa"/>
            </w:tcMar>
          </w:tcPr>
          <w:p>
            <w:pPr>
              <w:spacing w:before="40" w:after="40"/>
              <w:jc w:val="center"/>
            </w:pPr>
            <w:r>
              <w:rPr>
                <w:rFonts w:ascii="Times New Roman" w:hAnsi="Times New Roman"/>
                <w:b/>
                <w:color w:val="000000"/>
                <w:sz w:val="17"/>
              </w:rPr>
              <w:t>Chance</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Top-5 Soft-Voting Ensemble</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75.57%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0.7594</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75.61%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73.75%</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0.7207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72.27%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12.50%</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51.67%</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0.3860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40.48%</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TESS-only HuBERT / W2V2</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CNN-BiLSTM Specialist</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0.7201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70.85%</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Top-2 Ensemble (CNN-BiLSTM + LSTM)</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75.19%</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0.7136</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70.56%</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Combined</w:t>
            </w:r>
          </w:p>
        </w:tc>
        <w:tc>
          <w:tcPr>
            <w:tcW w:type="dxa" w:w="1560"/>
            <w:tcMar>
              <w:top w:w="60" w:type="dxa"/>
              <w:bottom w:w="60" w:type="dxa"/>
              <w:left w:w="80" w:type="dxa"/>
              <w:right w:w="80" w:type="dxa"/>
            </w:tcMar>
          </w:tcPr>
          <w:p>
            <w:pPr>
              <w:spacing w:before="40" w:after="40"/>
              <w:jc w:val="left"/>
            </w:pPr>
            <w:r>
              <w:rPr>
                <w:rFonts w:ascii="Times New Roman" w:hAnsi="Times New Roman"/>
                <w:color w:val="000000"/>
                <w:sz w:val="17"/>
              </w:rPr>
              <w:t>Universal HuBERT (Frozen)</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68.31%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0.6779</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68.61%</w:t>
            </w:r>
          </w:p>
        </w:tc>
        <w:tc>
          <w:tcPr>
            <w:tcW w:type="dxa" w:w="1560"/>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before="40" w:after="120"/>
        <w:jc w:val="left"/>
      </w:pPr>
      <w:r>
        <w:rPr>
          <w:rFonts w:ascii="Times New Roman" w:hAnsi="Times New Roman"/>
          <w:i/>
          <w:color w:val="000000"/>
          <w:sz w:val="16"/>
        </w:rPr>
        <w:t>*Note: In the experimental benchmarking configs, emotion2vec+ was evaluated using the facebook/wav2vec2-base proxy architecture and BEATs using microsoft/wavlm-base-plus under the unified 768-dimensional transformer feature extraction interface. All transformer backbones are Base variants (768 hidden dimensions). On SAVEE, the single-speaker test set (Actor KL) exhibits higher variance than multi-speaker test cohorts.</w:t>
      </w:r>
    </w:p>
    <w:p>
      <w:pPr>
        <w:keepNext/>
        <w:spacing w:before="180" w:after="60"/>
        <w:jc w:val="left"/>
      </w:pPr>
      <w:r>
        <w:rPr>
          <w:rFonts w:ascii="Times New Roman" w:hAnsi="Times New Roman"/>
          <w:b/>
          <w:color w:val="000000"/>
          <w:sz w:val="20"/>
        </w:rPr>
        <w:t>6.3 Technical Analysis of Wav2Vec2-XLS-R-300M Failure</w:t>
      </w:r>
    </w:p>
    <w:p>
      <w:pPr>
        <w:spacing w:line="276" w:lineRule="auto" w:before="0" w:after="70"/>
        <w:ind w:firstLine="288"/>
        <w:jc w:val="both"/>
      </w:pPr>
      <w:r>
        <w:rPr>
          <w:rFonts w:ascii="Times New Roman" w:hAnsi="Times New Roman"/>
          <w:color w:val="000000"/>
          <w:sz w:val="20"/>
        </w:rPr>
        <w:t>Across all evaluated corpora, Wav2Vec2-XLS-R-300M [10] performed near random chance (13.33% on RAVDESS, 24.43% on CREMA-D, 12.50% on SAVEE, and 19.76% on TESS), underperforming even shallow MFCC baselines. Three primary technical factors explain this behavior:</w:t>
      </w:r>
    </w:p>
    <w:p>
      <w:pPr>
        <w:spacing w:line="276" w:lineRule="auto" w:before="0" w:after="60"/>
        <w:ind w:left="432" w:hanging="288"/>
        <w:jc w:val="both"/>
      </w:pPr>
      <w:r>
        <w:rPr>
          <w:rFonts w:ascii="Times New Roman" w:hAnsi="Times New Roman"/>
          <w:b/>
          <w:color w:val="000000"/>
          <w:sz w:val="19"/>
        </w:rPr>
        <w:t xml:space="preserve">1. ASR Invariant Pre-training Objective: </w:t>
      </w:r>
      <w:r>
        <w:rPr>
          <w:rFonts w:ascii="Times New Roman" w:hAnsi="Times New Roman"/>
          <w:color w:val="000000"/>
          <w:sz w:val="19"/>
        </w:rPr>
        <w:t>XLS-R-300M was pre-trained across 128 languages using contrastive masked prediction to extract phonetic content. In cross-lingual speech recognition, speaker-specific pitch variations and emotional intonations are treated as nuisance parameters and filtered out to achieve cross-lingual phonetic invariance. Consequently, the frozen representations suppress paralinguistic and affective cues.</w:t>
      </w:r>
    </w:p>
    <w:p>
      <w:pPr>
        <w:spacing w:line="276" w:lineRule="auto" w:before="0" w:after="60"/>
        <w:ind w:left="432" w:hanging="288"/>
        <w:jc w:val="both"/>
      </w:pPr>
      <w:r>
        <w:rPr>
          <w:rFonts w:ascii="Times New Roman" w:hAnsi="Times New Roman"/>
          <w:b/>
          <w:color w:val="000000"/>
          <w:sz w:val="19"/>
        </w:rPr>
        <w:t xml:space="preserve">2. Top-Layer Emotional Depletion: </w:t>
      </w:r>
      <w:r>
        <w:rPr>
          <w:rFonts w:ascii="Times New Roman" w:hAnsi="Times New Roman"/>
          <w:color w:val="000000"/>
          <w:sz w:val="19"/>
        </w:rPr>
        <w:t>Unlike our HuBERT framework which incorporates learnable layer pooling across intermediate depths, the frozen XLS-R baseline extracted features exclusively from its 24th (final) layer. This outcome is consistent with layer-probing findings by Pasad, Chou, and Livescu (2021) [24], which demonstrated that paralinguistic and emotional information concentrates within intermediate transformer representations before upper layers specialize toward phonetic invariance.</w:t>
      </w:r>
    </w:p>
    <w:p>
      <w:pPr>
        <w:spacing w:line="276" w:lineRule="auto" w:before="0" w:after="60"/>
        <w:ind w:left="432" w:hanging="288"/>
        <w:jc w:val="both"/>
      </w:pPr>
      <w:r>
        <w:rPr>
          <w:rFonts w:ascii="Times New Roman" w:hAnsi="Times New Roman"/>
          <w:b/>
          <w:color w:val="000000"/>
          <w:sz w:val="19"/>
        </w:rPr>
        <w:t xml:space="preserve">3. Capacity-to-Sample Mismatch: </w:t>
      </w:r>
      <w:r>
        <w:rPr>
          <w:rFonts w:ascii="Times New Roman" w:hAnsi="Times New Roman"/>
          <w:color w:val="000000"/>
          <w:sz w:val="19"/>
        </w:rPr>
        <w:t>Projecting a frozen 1024-dimensional representation from a 317M-parameter model onto tiny target datasets (e.g., 384 SAVEE clips or 960 RAVDESS clips) without layer-wise adaptation or fine-tuning creates an acute representation mismatch that prevents effective linear separation.</w:t>
      </w:r>
    </w:p>
    <w:p>
      <w:pPr>
        <w:keepNext/>
        <w:spacing w:before="280" w:after="80"/>
        <w:jc w:val="left"/>
      </w:pPr>
      <w:r>
        <w:rPr>
          <w:rFonts w:ascii="Times New Roman" w:hAnsi="Times New Roman"/>
          <w:b/>
          <w:color w:val="000000"/>
          <w:sz w:val="22"/>
        </w:rPr>
        <w:t>7. Empirical Findings &amp; Ablation Studies</w:t>
      </w:r>
    </w:p>
    <w:p>
      <w:pPr>
        <w:keepNext/>
        <w:spacing w:before="180" w:after="60"/>
        <w:jc w:val="left"/>
      </w:pPr>
      <w:r>
        <w:rPr>
          <w:rFonts w:ascii="Times New Roman" w:hAnsi="Times New Roman"/>
          <w:b/>
          <w:color w:val="000000"/>
          <w:sz w:val="20"/>
        </w:rPr>
        <w:t>7.1 The Speaker Diversity Effect</w:t>
      </w:r>
    </w:p>
    <w:p>
      <w:pPr>
        <w:spacing w:line="276" w:lineRule="auto" w:before="0" w:after="70"/>
        <w:ind w:firstLine="288"/>
        <w:jc w:val="both"/>
      </w:pPr>
      <w:r>
        <w:rPr>
          <w:rFonts w:ascii="Times New Roman" w:hAnsi="Times New Roman"/>
          <w:color w:val="000000"/>
          <w:sz w:val="20"/>
        </w:rPr>
        <w:t>Comparing performance across SAVEE (3 training actors), RAVDESS (20 training actors), and CREMA-D (78 training actors) demonstrates a consistent relationship between speaker cohort size and generalization capability on strictly unseen test speakers. Evaluating HuBERT models trained from scratch across these datasets reveals that on SAVEE (3 training speakers), HuBERT achieved only 25.83% test accuracy (Macro-F1 0.0795) due to vocal tract overfitting on the limited speaker cohort. Expanding the training cohort to 20 actors in RAVDESS elevated scratch HuBERT accuracy to 32.50% (and 68.75% for the scratch ensemble). In CREMA-D, with 78 training actors, HuBERT from scratch reached 71.98% accuracy (and 75.57% for the ensemble). This empirical gradient confirms the Speaker Diversity Law: pre-training across broad multi-speaker cohorts is critical for neural models to disentangle emotional prosody from individual speaker vocal tract geometry.</w:t>
      </w:r>
    </w:p>
    <w:p>
      <w:pPr>
        <w:spacing w:before="160" w:after="60"/>
        <w:jc w:val="center"/>
      </w:pPr>
      <w:r>
        <w:drawing>
          <wp:inline xmlns:a="http://schemas.openxmlformats.org/drawingml/2006/main" xmlns:pic="http://schemas.openxmlformats.org/drawingml/2006/picture">
            <wp:extent cx="5303520" cy="2813031"/>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813031"/>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 to 11 account for 31.95%, total sum = 100.00%).</w:t>
      </w:r>
    </w:p>
    <w:p>
      <w:pPr>
        <w:keepNext/>
        <w:spacing w:before="180" w:after="60"/>
        <w:jc w:val="left"/>
      </w:pPr>
      <w:r>
        <w:rPr>
          <w:rFonts w:ascii="Times New Roman" w:hAnsi="Times New Roman"/>
          <w:b/>
          <w:color w:val="000000"/>
          <w:sz w:val="20"/>
        </w:rPr>
        <w:t>7.2 Layer Weight Distribution Across Transformer Depth</w:t>
      </w:r>
    </w:p>
    <w:p>
      <w:pPr>
        <w:spacing w:line="276" w:lineRule="auto" w:before="0" w:after="70"/>
        <w:ind w:firstLine="288"/>
        <w:jc w:val="both"/>
      </w:pPr>
      <w:r>
        <w:rPr>
          <w:rFonts w:ascii="Times New Roman" w:hAnsi="Times New Roman"/>
          <w:color w:val="000000"/>
          <w:sz w:val="20"/>
        </w:rPr>
        <w:t>Figure 3 illustrates the learned softmax weights alpha across the 12 transformer encoder blocks of the Universal HuBERT model:</w:t>
      </w:r>
    </w:p>
    <w:p>
      <w:pPr>
        <w:spacing w:line="276" w:lineRule="auto" w:before="0" w:after="60"/>
        <w:ind w:left="432" w:hanging="288"/>
        <w:jc w:val="both"/>
      </w:pPr>
      <w:r>
        <w:rPr>
          <w:rFonts w:ascii="Times New Roman" w:hAnsi="Times New Roman"/>
          <w:b/>
          <w:color w:val="000000"/>
          <w:sz w:val="19"/>
        </w:rPr>
        <w:t xml:space="preserve">• Early Layers (Layers 1 to 4): </w:t>
      </w:r>
      <w:r>
        <w:rPr>
          <w:rFonts w:ascii="Times New Roman" w:hAnsi="Times New Roman"/>
          <w:color w:val="000000"/>
          <w:sz w:val="19"/>
        </w:rPr>
        <w:t>Weights remain basal (alpha_1 = 0.0707, alpha_2 = 0.0710, alpha_3 = 0.0711, alpha_4 = 0.0712, representing 7.07% to 7.12%), capturing low-level spectro-temporal acoustics.</w:t>
      </w:r>
    </w:p>
    <w:p>
      <w:pPr>
        <w:spacing w:line="276" w:lineRule="auto" w:before="0" w:after="60"/>
        <w:ind w:left="432" w:hanging="288"/>
        <w:jc w:val="both"/>
      </w:pPr>
      <w:r>
        <w:rPr>
          <w:rFonts w:ascii="Times New Roman" w:hAnsi="Times New Roman"/>
          <w:b/>
          <w:color w:val="000000"/>
          <w:sz w:val="19"/>
        </w:rPr>
        <w:t xml:space="preserve">• Intermediate Transition (Layers 5 to 8): </w:t>
      </w:r>
      <w:r>
        <w:rPr>
          <w:rFonts w:ascii="Times New Roman" w:hAnsi="Times New Roman"/>
          <w:color w:val="000000"/>
          <w:sz w:val="19"/>
        </w:rPr>
        <w:t>Weights steadily increase (alpha_5 = 0.0713, alpha_6 = 0.0717, alpha_7 = 0.0725, alpha_8 = 0.0757, representing 7.13% to 7.57%), reflecting progressive harmonic abstraction.</w:t>
      </w:r>
    </w:p>
    <w:p>
      <w:pPr>
        <w:spacing w:line="276" w:lineRule="auto" w:before="0" w:after="60"/>
        <w:ind w:left="432" w:hanging="288"/>
        <w:jc w:val="both"/>
      </w:pPr>
      <w:r>
        <w:rPr>
          <w:rFonts w:ascii="Times New Roman" w:hAnsi="Times New Roman"/>
          <w:b/>
          <w:color w:val="000000"/>
          <w:sz w:val="19"/>
        </w:rPr>
        <w:t xml:space="preserve">• Prosodic Culmination Zone (Layers 9 to 11): </w:t>
      </w:r>
      <w:r>
        <w:rPr>
          <w:rFonts w:ascii="Times New Roman" w:hAnsi="Times New Roman"/>
          <w:color w:val="000000"/>
          <w:sz w:val="19"/>
        </w:rPr>
        <w:t>Weights reach their empirical maximum (alpha_9 = 0.1002, alpha_10 = 0.1107, alpha_11 = 0.1086), accounting for exactly 31.95% of the total network weight. Layer 10 serves as the primary focal point (alpha_10 = 11.07%), capturing pitch inflection contours and macro-energy modulations.</w:t>
      </w:r>
    </w:p>
    <w:p>
      <w:pPr>
        <w:spacing w:line="276" w:lineRule="auto" w:before="0" w:after="60"/>
        <w:ind w:left="432" w:hanging="288"/>
        <w:jc w:val="both"/>
      </w:pPr>
      <w:r>
        <w:rPr>
          <w:rFonts w:ascii="Times New Roman" w:hAnsi="Times New Roman"/>
          <w:b/>
          <w:color w:val="000000"/>
          <w:sz w:val="19"/>
        </w:rPr>
        <w:t xml:space="preserve">• Final Layer (Layer 12): </w:t>
      </w:r>
      <w:r>
        <w:rPr>
          <w:rFonts w:ascii="Times New Roman" w:hAnsi="Times New Roman"/>
          <w:color w:val="000000"/>
          <w:sz w:val="19"/>
        </w:rPr>
        <w:t>Weight decreases to alpha_12 = 0.1053 (10.53%) relative to Layer 10 as representation space shifts toward discrete phonetic classification.</w:t>
      </w:r>
    </w:p>
    <w:p>
      <w:pPr>
        <w:spacing w:line="276" w:lineRule="auto" w:before="0" w:after="60"/>
        <w:ind w:left="432" w:hanging="288"/>
        <w:jc w:val="both"/>
      </w:pPr>
      <w:r>
        <w:rPr>
          <w:rFonts w:ascii="Times New Roman" w:hAnsi="Times New Roman"/>
          <w:b/>
          <w:color w:val="000000"/>
          <w:sz w:val="19"/>
        </w:rPr>
        <w:t xml:space="preserve">• Normalization Verification: </w:t>
      </w:r>
      <w:r>
        <w:rPr>
          <w:rFonts w:ascii="Times New Roman" w:hAnsi="Times New Roman"/>
          <w:color w:val="000000"/>
          <w:sz w:val="19"/>
        </w:rPr>
        <w:t>The complete 12-layer softmax distribution (7.07% + 7.10% + 7.11% + 7.12% + 7.13% + 7.17% + 7.25% + 7.57% + 10.02% + 11.07% + 10.86% + 10.53%) sums strictly to 100.00% (sum_{i=1}^{12} alpha_i = 1.0000). Table 4 details the layer weights.</w:t>
      </w:r>
    </w:p>
    <w:p>
      <w:pPr>
        <w:spacing w:before="160" w:after="40"/>
        <w:jc w:val="center"/>
      </w:pPr>
      <w:r>
        <w:rPr>
          <w:rFonts w:ascii="Times New Roman" w:hAnsi="Times New Roman"/>
          <w:b/>
          <w:color w:val="000000"/>
          <w:sz w:val="19"/>
        </w:rPr>
        <w:t>Table 4: Layer-Wise Softmax Attention Weight Distribution (HuBERT-Base)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D1D5DB"/>
          <w:left w:val="none"/>
          <w:right w:val="none"/>
          <w:insideV w:val="none"/>
        </w:tblBorders>
      </w:tblPr>
      <w:tblGrid>
        <w:gridCol w:w="2340"/>
        <w:gridCol w:w="2340"/>
        <w:gridCol w:w="2340"/>
        <w:gridCol w:w="2340"/>
      </w:tblGrid>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Index</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Softmax Weight</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Percentage</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Functional Acoustic Role</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1</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0.0707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7.07%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Waveform envelope &amp; low-level spectral energy</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0.0710</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7.10%</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Formant structures and spectral slope</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0.0711</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7.11%</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Pitch frequency baseline estimation</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4</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7.12%</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Spectral flux and voice onset timing</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5</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7.13%</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Phonetic-prosodic transition boundary</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6</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0.0717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7.17%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Intermediate harmonic structure encoding</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0.0725</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7.25%</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Broad phonetic category separation</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8</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0.0757</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7.57%</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Prosodic phrasing &amp; cadence abstraction</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9</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0.1002</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10.02%</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Emotional inflection &amp; macro-prosody onset</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10</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0.1107</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11.07%</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Peak affective salience &amp; intonation contours</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Layer 11</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0.1086</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10.86%</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Global utterance affect &amp; speaker dynamics</w:t>
            </w:r>
          </w:p>
        </w:tc>
      </w:tr>
      <w:tr>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Layer 12</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0.1053</w:t>
            </w:r>
          </w:p>
        </w:tc>
        <w:tc>
          <w:tcPr>
            <w:tcW w:type="dxa" w:w="2340"/>
            <w:tcMar>
              <w:top w:w="50" w:type="dxa"/>
              <w:bottom w:w="50" w:type="dxa"/>
              <w:left w:w="70" w:type="dxa"/>
              <w:right w:w="70" w:type="dxa"/>
            </w:tcMar>
          </w:tcPr>
          <w:p>
            <w:pPr>
              <w:spacing w:before="40" w:after="40"/>
              <w:jc w:val="center"/>
            </w:pPr>
            <w:r>
              <w:rPr>
                <w:rFonts w:ascii="Times New Roman" w:hAnsi="Times New Roman"/>
                <w:color w:val="000000"/>
                <w:sz w:val="17"/>
              </w:rPr>
              <w:t>10.53%</w:t>
            </w:r>
          </w:p>
        </w:tc>
        <w:tc>
          <w:tcPr>
            <w:tcW w:type="dxa" w:w="2340"/>
            <w:tcMar>
              <w:top w:w="50" w:type="dxa"/>
              <w:bottom w:w="50" w:type="dxa"/>
              <w:left w:w="70" w:type="dxa"/>
              <w:right w:w="70" w:type="dxa"/>
            </w:tcMar>
          </w:tcPr>
          <w:p>
            <w:pPr>
              <w:spacing w:before="40" w:after="40"/>
              <w:jc w:val="left"/>
            </w:pPr>
            <w:r>
              <w:rPr>
                <w:rFonts w:ascii="Times New Roman" w:hAnsi="Times New Roman"/>
                <w:color w:val="000000"/>
                <w:sz w:val="17"/>
              </w:rPr>
              <w:t>Phonetic discrimination &amp; lexical alignment</w:t>
            </w:r>
          </w:p>
        </w:tc>
      </w:tr>
      <w:tr>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Total Sum</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340"/>
            <w:tcMar>
              <w:top w:w="50" w:type="dxa"/>
              <w:bottom w:w="50" w:type="dxa"/>
              <w:left w:w="70" w:type="dxa"/>
              <w:right w:w="70" w:type="dxa"/>
            </w:tcMar>
          </w:tcPr>
          <w:p>
            <w:pPr>
              <w:spacing w:before="40" w:after="40"/>
              <w:jc w:val="left"/>
            </w:pPr>
            <w:r>
              <w:rPr>
                <w:rFonts w:ascii="Times New Roman" w:hAnsi="Times New Roman"/>
                <w:b/>
                <w:color w:val="000000"/>
                <w:sz w:val="17"/>
              </w:rPr>
              <w:t>Strict mathematical normalization verified</w:t>
            </w:r>
          </w:p>
        </w:tc>
      </w:tr>
    </w:tbl>
    <w:p>
      <w:pPr>
        <w:spacing w:after="80"/>
      </w:pPr>
    </w:p>
    <w:p>
      <w:pPr>
        <w:keepNext/>
        <w:spacing w:before="180" w:after="60"/>
        <w:jc w:val="left"/>
      </w:pPr>
      <w:r>
        <w:rPr>
          <w:rFonts w:ascii="Times New Roman" w:hAnsi="Times New Roman"/>
          <w:b/>
          <w:color w:val="000000"/>
          <w:sz w:val="20"/>
        </w:rPr>
        <w:t>7.3 Cross-Lingual Adaptation to Indic Hindi Speech</w:t>
      </w:r>
    </w:p>
    <w:p>
      <w:pPr>
        <w:spacing w:line="276" w:lineRule="auto" w:before="0" w:after="70"/>
        <w:ind w:firstLine="288"/>
        <w:jc w:val="both"/>
      </w:pPr>
      <w:r>
        <w:rPr>
          <w:rFonts w:ascii="Times New Roman" w:hAnsi="Times New Roman"/>
          <w:color w:val="000000"/>
          <w:sz w:val="20"/>
        </w:rPr>
        <w:t>Evaluating the English-trained Universal HuBERT model zero-shot on the native Hindi test split yielded 27.62% accuracy and 31.76% UAR (exceeding the 20.00% 5-class random chance baseline). While cross-lingual transfer occurred, linguistic differences limited precision. Supervised training of the specialized CNN-BiLSTM architecture directly on the Hindi training split achieved 74.42% test accuracy, 0.7201 Macro-F1, and 70.85% UAR (with the Top-2 ensemble of CNN-BiLSTM + LSTM reaching 75.19% accuracy and 70.56% UAR). This represents an absolute improvement of 46.80 percentage points (47.57 points for the ensemble) over zero-shot transfer. Figure 4 illustrates this comparison, and Figure 5 displays the corresponding normalized confusion matrix.</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w:t>
      </w:r>
    </w:p>
    <w:p>
      <w:pPr>
        <w:keepNext/>
        <w:spacing w:before="280" w:after="80"/>
        <w:jc w:val="left"/>
      </w:pPr>
      <w:r>
        <w:rPr>
          <w:rFonts w:ascii="Times New Roman" w:hAnsi="Times New Roman"/>
          <w:b/>
          <w:color w:val="000000"/>
          <w:sz w:val="22"/>
        </w:rPr>
        <w:t>8. Speech Behavioural Intelligence Profiling</w:t>
      </w:r>
    </w:p>
    <w:p>
      <w:pPr>
        <w:spacing w:line="276" w:lineRule="auto" w:before="0" w:after="70"/>
        <w:ind w:firstLine="288"/>
        <w:jc w:val="both"/>
      </w:pPr>
      <w:r>
        <w:rPr>
          <w:rFonts w:ascii="Times New Roman" w:hAnsi="Times New Roman"/>
          <w:color w:val="000000"/>
          <w:sz w:val="20"/>
        </w:rPr>
        <w:t>Figure 6 summarizes the objective acoustic patterns extracted across emotion categories by the Behaviour Engine:</w:t>
      </w:r>
    </w:p>
    <w:p>
      <w:pPr>
        <w:spacing w:line="276" w:lineRule="auto" w:before="0" w:after="60"/>
        <w:ind w:left="432" w:hanging="288"/>
        <w:jc w:val="both"/>
      </w:pPr>
      <w:r>
        <w:rPr>
          <w:rFonts w:ascii="Times New Roman" w:hAnsi="Times New Roman"/>
          <w:b/>
          <w:color w:val="000000"/>
          <w:sz w:val="19"/>
        </w:rPr>
        <w:t xml:space="preserve">• Anger: </w:t>
      </w:r>
      <w:r>
        <w:rPr>
          <w:rFonts w:ascii="Times New Roman" w:hAnsi="Times New Roman"/>
          <w:color w:val="000000"/>
          <w:sz w:val="19"/>
        </w:rPr>
        <w:t>Characterized by an accelerated speaking tempo (mean 4.2 syl/s), minimal hesitation (pause ratio 12.4%), high vocal intensity (mean loudness -16.2 dB), and sharp pitch variance (sigma_F0 = 54.3 Hz).</w:t>
      </w:r>
    </w:p>
    <w:p>
      <w:pPr>
        <w:spacing w:line="276" w:lineRule="auto" w:before="0" w:after="60"/>
        <w:ind w:left="432" w:hanging="288"/>
        <w:jc w:val="both"/>
      </w:pPr>
      <w:r>
        <w:rPr>
          <w:rFonts w:ascii="Times New Roman" w:hAnsi="Times New Roman"/>
          <w:b/>
          <w:color w:val="000000"/>
          <w:sz w:val="19"/>
        </w:rPr>
        <w:t xml:space="preserve">• Sadness: </w:t>
      </w:r>
      <w:r>
        <w:rPr>
          <w:rFonts w:ascii="Times New Roman" w:hAnsi="Times New Roman"/>
          <w:color w:val="000000"/>
          <w:sz w:val="19"/>
        </w:rPr>
        <w:t>Exhibits psychomotor deceleration with a slow speaking tempo (mean 2.2 syl/s), extensive silence intervals (pause ratio 31.8%), attenuated energy (mean loudness -29.4 dB), and flat fundamental frequency intonation (mean pitch 108.4 Hz, sigma_F0 = 18.2 Hz).</w:t>
      </w:r>
    </w:p>
    <w:p>
      <w:pPr>
        <w:spacing w:line="276" w:lineRule="auto" w:before="0" w:after="60"/>
        <w:ind w:left="432" w:hanging="288"/>
        <w:jc w:val="both"/>
      </w:pPr>
      <w:r>
        <w:rPr>
          <w:rFonts w:ascii="Times New Roman" w:hAnsi="Times New Roman"/>
          <w:b/>
          <w:color w:val="000000"/>
          <w:sz w:val="19"/>
        </w:rPr>
        <w:t xml:space="preserve">• Joy: </w:t>
      </w:r>
      <w:r>
        <w:rPr>
          <w:rFonts w:ascii="Times New Roman" w:hAnsi="Times New Roman"/>
          <w:color w:val="000000"/>
          <w:sz w:val="19"/>
        </w:rPr>
        <w:t>Features elevated pitch dynamics (mean pitch 232.1 Hz, sigma_F0 = 62.1 Hz) and moderate tempo (3.6 syl/s).</w:t>
      </w:r>
    </w:p>
    <w:p>
      <w:pPr>
        <w:spacing w:line="276" w:lineRule="auto" w:before="0" w:after="60"/>
        <w:ind w:left="432" w:hanging="288"/>
        <w:jc w:val="both"/>
      </w:pPr>
      <w:r>
        <w:rPr>
          <w:rFonts w:ascii="Times New Roman" w:hAnsi="Times New Roman"/>
          <w:b/>
          <w:color w:val="000000"/>
          <w:sz w:val="19"/>
        </w:rPr>
        <w:t xml:space="preserve">• Neutral / Calm: </w:t>
      </w:r>
      <w:r>
        <w:rPr>
          <w:rFonts w:ascii="Times New Roman" w:hAnsi="Times New Roman"/>
          <w:color w:val="000000"/>
          <w:sz w:val="19"/>
        </w:rPr>
        <w:t>Displays balanced cadence (2.8 to 3.4 syl/s), standard pause ratio (18% to 22%), and stable loudness (-22 to -26 dB).</w:t>
      </w:r>
    </w:p>
    <w:p>
      <w:pPr>
        <w:spacing w:before="160" w:after="60"/>
        <w:jc w:val="center"/>
      </w:pPr>
      <w:r>
        <w:drawing>
          <wp:inline xmlns:a="http://schemas.openxmlformats.org/drawingml/2006/main" xmlns:pic="http://schemas.openxmlformats.org/drawingml/2006/picture">
            <wp:extent cx="5486400" cy="3802069"/>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02069"/>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across Discrete Emotion Categories.</w:t>
      </w:r>
    </w:p>
    <w:p>
      <w:pPr>
        <w:keepNext/>
        <w:spacing w:before="280" w:after="80"/>
        <w:jc w:val="left"/>
      </w:pPr>
      <w:r>
        <w:rPr>
          <w:rFonts w:ascii="Times New Roman" w:hAnsi="Times New Roman"/>
          <w:b/>
          <w:color w:val="000000"/>
          <w:sz w:val="22"/>
        </w:rPr>
        <w:t>9. System Deployment Architecture</w:t>
      </w:r>
    </w:p>
    <w:p>
      <w:pPr>
        <w:spacing w:line="276" w:lineRule="auto" w:before="0" w:after="70"/>
        <w:ind w:firstLine="288"/>
        <w:jc w:val="both"/>
      </w:pPr>
      <w:r>
        <w:rPr>
          <w:rFonts w:ascii="Times New Roman" w:hAnsi="Times New Roman"/>
          <w:color w:val="000000"/>
          <w:sz w:val="20"/>
        </w:rPr>
        <w:t>The end-to-end framework is implemented as an Apple Silicon accelerated microservice paired with a minimal web application:</w:t>
      </w:r>
    </w:p>
    <w:p>
      <w:pPr>
        <w:spacing w:line="276" w:lineRule="auto" w:before="0" w:after="60"/>
        <w:ind w:left="432" w:hanging="288"/>
        <w:jc w:val="both"/>
      </w:pPr>
      <w:r>
        <w:rPr>
          <w:rFonts w:ascii="Times New Roman" w:hAnsi="Times New Roman"/>
          <w:b/>
          <w:color w:val="000000"/>
          <w:sz w:val="19"/>
        </w:rPr>
        <w:t xml:space="preserve">• Frontend UI (Next.js / TypeScript): </w:t>
      </w:r>
      <w:r>
        <w:rPr>
          <w:rFonts w:ascii="Times New Roman" w:hAnsi="Times New Roman"/>
          <w:color w:val="000000"/>
          <w:sz w:val="19"/>
        </w:rPr>
        <w:t>Minimal white-mode interface featuring a real-time Web Audio API frequency visualizer (AudioWaveformVisualizer) connected to live microphone input and audio playback.</w:t>
      </w:r>
    </w:p>
    <w:p>
      <w:pPr>
        <w:spacing w:line="276" w:lineRule="auto" w:before="0" w:after="60"/>
        <w:ind w:left="432" w:hanging="288"/>
        <w:jc w:val="both"/>
      </w:pPr>
      <w:r>
        <w:rPr>
          <w:rFonts w:ascii="Times New Roman" w:hAnsi="Times New Roman"/>
          <w:b/>
          <w:color w:val="000000"/>
          <w:sz w:val="19"/>
        </w:rPr>
        <w:t xml:space="preserve">• Backend Microservice (FastAPI): </w:t>
      </w:r>
      <w:r>
        <w:rPr>
          <w:rFonts w:ascii="Times New Roman" w:hAnsi="Times New Roman"/>
          <w:color w:val="000000"/>
          <w:sz w:val="19"/>
        </w:rPr>
        <w:t>Model registry serving the Hindi Specialist (CNN-BiLSTM) and Universal SER models with hardware acceleration, achieving 19.9 ms inference latency per clip for the lightweight CNN-BiLSTM specialist and 191.4 ms for the 12-layer Universal HuBERT model.</w:t>
      </w:r>
    </w:p>
    <w:p>
      <w:pPr>
        <w:keepNext/>
        <w:spacing w:before="280" w:after="80"/>
        <w:jc w:val="left"/>
      </w:pPr>
      <w:r>
        <w:rPr>
          <w:rFonts w:ascii="Times New Roman" w:hAnsi="Times New Roman"/>
          <w:b/>
          <w:color w:val="000000"/>
          <w:sz w:val="22"/>
        </w:rPr>
        <w:t>10. Discussion &amp; Limitations</w:t>
      </w:r>
    </w:p>
    <w:p>
      <w:pPr>
        <w:spacing w:line="276" w:lineRule="auto" w:before="0" w:after="70"/>
        <w:ind w:firstLine="288"/>
        <w:jc w:val="both"/>
      </w:pPr>
      <w:r>
        <w:rPr>
          <w:rFonts w:ascii="Times New Roman" w:hAnsi="Times New Roman"/>
          <w:color w:val="000000"/>
          <w:sz w:val="20"/>
        </w:rPr>
        <w:t>While the experimental results validate the efficacy of learnable layer pooling and disjoint evaluation protocols, several limitations should be noted:</w:t>
      </w:r>
    </w:p>
    <w:p>
      <w:pPr>
        <w:spacing w:line="276" w:lineRule="auto" w:before="0" w:after="60"/>
        <w:ind w:left="432" w:hanging="288"/>
        <w:jc w:val="both"/>
      </w:pPr>
      <w:r>
        <w:rPr>
          <w:rFonts w:ascii="Times New Roman" w:hAnsi="Times New Roman"/>
          <w:b/>
          <w:color w:val="000000"/>
          <w:sz w:val="19"/>
        </w:rPr>
        <w:t xml:space="preserve">1. Acoustic Cleanliness: </w:t>
      </w:r>
      <w:r>
        <w:rPr>
          <w:rFonts w:ascii="Times New Roman" w:hAnsi="Times New Roman"/>
          <w:color w:val="000000"/>
          <w:sz w:val="19"/>
        </w:rPr>
        <w:t>Corpora such as TESS feature near-zero ambient noise, which does not reflect conversational real-world audio.</w:t>
      </w:r>
    </w:p>
    <w:p>
      <w:pPr>
        <w:spacing w:line="276" w:lineRule="auto" w:before="0" w:after="60"/>
        <w:ind w:left="432" w:hanging="288"/>
        <w:jc w:val="both"/>
      </w:pPr>
      <w:r>
        <w:rPr>
          <w:rFonts w:ascii="Times New Roman" w:hAnsi="Times New Roman"/>
          <w:b/>
          <w:color w:val="000000"/>
          <w:sz w:val="19"/>
        </w:rPr>
        <w:t xml:space="preserve">2. Dialectal Diversity in Indic Speech: </w:t>
      </w:r>
      <w:r>
        <w:rPr>
          <w:rFonts w:ascii="Times New Roman" w:hAnsi="Times New Roman"/>
          <w:color w:val="000000"/>
          <w:sz w:val="19"/>
        </w:rPr>
        <w:t>The Hindi evaluation was conducted across 25 speakers; regional dialectal variations across northern and central India require broader multi-dialect data collection.</w:t>
      </w:r>
    </w:p>
    <w:p>
      <w:pPr>
        <w:spacing w:line="276" w:lineRule="auto" w:before="0" w:after="60"/>
        <w:ind w:left="432" w:hanging="288"/>
        <w:jc w:val="both"/>
      </w:pPr>
      <w:r>
        <w:rPr>
          <w:rFonts w:ascii="Times New Roman" w:hAnsi="Times New Roman"/>
          <w:b/>
          <w:color w:val="000000"/>
          <w:sz w:val="19"/>
        </w:rPr>
        <w:t xml:space="preserve">3. Pre-trained Audio Sampling: </w:t>
      </w:r>
      <w:r>
        <w:rPr>
          <w:rFonts w:ascii="Times New Roman" w:hAnsi="Times New Roman"/>
          <w:color w:val="000000"/>
          <w:sz w:val="19"/>
        </w:rPr>
        <w:t>Standard foundation models operate at 16 kHz, which truncates ultra-high frequency acoustic cues (&gt; 8 kHz).</w:t>
      </w:r>
    </w:p>
    <w:p>
      <w:pPr>
        <w:keepNext/>
        <w:spacing w:before="280" w:after="80"/>
        <w:jc w:val="left"/>
      </w:pPr>
      <w:r>
        <w:rPr>
          <w:rFonts w:ascii="Times New Roman" w:hAnsi="Times New Roman"/>
          <w:b/>
          <w:color w:val="000000"/>
          <w:sz w:val="22"/>
        </w:rPr>
        <w:t>11. Conclusion</w:t>
      </w:r>
    </w:p>
    <w:p>
      <w:pPr>
        <w:spacing w:line="276" w:lineRule="auto" w:before="0" w:after="70"/>
        <w:ind w:firstLine="288"/>
        <w:jc w:val="both"/>
      </w:pPr>
      <w:r>
        <w:rPr>
          <w:rFonts w:ascii="Times New Roman" w:hAnsi="Times New Roman"/>
          <w:color w:val="000000"/>
          <w:sz w:val="20"/>
        </w:rPr>
        <w:t>This research evaluated speech emotion recognition across multi-corpus and cross-lingual settings. The primary conclusions are:</w:t>
      </w:r>
    </w:p>
    <w:p>
      <w:pPr>
        <w:spacing w:line="276" w:lineRule="auto" w:before="0" w:after="60"/>
        <w:ind w:left="432" w:hanging="288"/>
        <w:jc w:val="both"/>
      </w:pPr>
      <w:r>
        <w:rPr>
          <w:rFonts w:ascii="Times New Roman" w:hAnsi="Times New Roman"/>
          <w:b/>
          <w:color w:val="000000"/>
          <w:sz w:val="19"/>
        </w:rPr>
        <w:t xml:space="preserve">1. Learnable Weighted Layer Pooling: </w:t>
      </w:r>
      <w:r>
        <w:rPr>
          <w:rFonts w:ascii="Times New Roman" w:hAnsi="Times New Roman"/>
          <w:color w:val="000000"/>
          <w:sz w:val="19"/>
        </w:rPr>
        <w:t>Demonstrates that intermediate transformer layers (Layers 9 to 11) capture the highest concentration of emotional prosody (31.95%), retaining stronger affective salience than early acoustic representations.</w:t>
      </w:r>
    </w:p>
    <w:p>
      <w:pPr>
        <w:spacing w:line="276" w:lineRule="auto" w:before="0" w:after="60"/>
        <w:ind w:left="432" w:hanging="288"/>
        <w:jc w:val="both"/>
      </w:pPr>
      <w:r>
        <w:rPr>
          <w:rFonts w:ascii="Times New Roman" w:hAnsi="Times New Roman"/>
          <w:b/>
          <w:color w:val="000000"/>
          <w:sz w:val="19"/>
        </w:rPr>
        <w:t xml:space="preserve">2. Speaker Diversity: </w:t>
      </w:r>
      <w:r>
        <w:rPr>
          <w:rFonts w:ascii="Times New Roman" w:hAnsi="Times New Roman"/>
          <w:color w:val="000000"/>
          <w:sz w:val="19"/>
        </w:rPr>
        <w:t>Essential for generalization: models trained on minimal speaker cohorts overfit speaker identity, whereas pre-training across larger cohorts supports speaker-independent evaluation.</w:t>
      </w:r>
    </w:p>
    <w:p>
      <w:pPr>
        <w:spacing w:line="276" w:lineRule="auto" w:before="0" w:after="60"/>
        <w:ind w:left="432" w:hanging="288"/>
        <w:jc w:val="both"/>
      </w:pPr>
      <w:r>
        <w:rPr>
          <w:rFonts w:ascii="Times New Roman" w:hAnsi="Times New Roman"/>
          <w:b/>
          <w:color w:val="000000"/>
          <w:sz w:val="19"/>
        </w:rPr>
        <w:t xml:space="preserve">3. Cross-Lingual Transfer: </w:t>
      </w:r>
      <w:r>
        <w:rPr>
          <w:rFonts w:ascii="Times New Roman" w:hAnsi="Times New Roman"/>
          <w:color w:val="000000"/>
          <w:sz w:val="19"/>
        </w:rPr>
        <w:t>English pre-trained models transfer moderately above chance (27.62% vs. 20.00% floor) to native Hindi speech, but supervised adaptation using specialized CNN-BiLSTM networks achieves 74.42% accuracy (75.19% via ensemble fusion).</w:t>
      </w:r>
    </w:p>
    <w:p>
      <w:pPr>
        <w:spacing w:line="276" w:lineRule="auto" w:before="0" w:after="60"/>
        <w:ind w:left="432" w:hanging="288"/>
        <w:jc w:val="both"/>
      </w:pPr>
      <w:r>
        <w:rPr>
          <w:rFonts w:ascii="Times New Roman" w:hAnsi="Times New Roman"/>
          <w:b/>
          <w:color w:val="000000"/>
          <w:sz w:val="19"/>
        </w:rPr>
        <w:t xml:space="preserve">4. Behavioural Metrics: </w:t>
      </w:r>
      <w:r>
        <w:rPr>
          <w:rFonts w:ascii="Times New Roman" w:hAnsi="Times New Roman"/>
          <w:color w:val="000000"/>
          <w:sz w:val="19"/>
        </w:rPr>
        <w:t>Combining discrete emotion classification with continuous acoustic measurements (speech rate, pause metrics, energy, and pitch) provides a more comprehensive vocal assessment.</w:t>
      </w:r>
    </w:p>
    <w:p>
      <w:pPr>
        <w:keepNext/>
        <w:spacing w:before="280" w:after="80"/>
        <w:jc w:val="left"/>
      </w:pPr>
      <w:r>
        <w:rPr>
          <w:rFonts w:ascii="Times New Roman" w:hAnsi="Times New Roman"/>
          <w:b/>
          <w:color w:val="000000"/>
          <w:sz w:val="22"/>
        </w:rPr>
        <w:t>References</w:t>
      </w:r>
    </w:p>
    <w:p>
      <w:pPr>
        <w:spacing w:line="264" w:lineRule="auto" w:before="0" w:after="50"/>
        <w:ind w:left="360" w:hanging="360"/>
        <w:jc w:val="left"/>
      </w:pPr>
      <w:r>
        <w:rPr>
          <w:rFonts w:ascii="Times New Roman" w:hAnsi="Times New Roman"/>
          <w:color w:val="000000"/>
          <w:sz w:val="17"/>
        </w:rPr>
        <w:t>[1] S. Kotian and S. Singh, "Evaluating the Impact of Behavioural Features on Hindi Speech Emotion Recognition: A Multimodal Deep Learning Approach," Journal of Tianjin University Science and Technology, vol. 59, no. 2, pp. 147–165, Feb. 2026, doi: 10.5281/zenodo.18797014.</w:t>
      </w:r>
    </w:p>
    <w:p>
      <w:pPr>
        <w:spacing w:line="264" w:lineRule="auto" w:before="0" w:after="50"/>
        <w:ind w:left="360" w:hanging="360"/>
        <w:jc w:val="left"/>
      </w:pPr>
      <w:r>
        <w:rPr>
          <w:rFonts w:ascii="Times New Roman" w:hAnsi="Times New Roman"/>
          <w:color w:val="000000"/>
          <w:sz w:val="17"/>
        </w:rPr>
        <w:t>[2] S.-w. Yang, P.-H. Chi, Y.-S. Chuang, C.-I. J. Lai, K. Lakhotia, Y. Y. Lin, A. T. Liu, J. Shi, X. Chang, G.-T. Lin et al., "SUPERB: Speech Processing Universal PERformance Benchmark," in Proc. Interspeech 2021, Brno, Czech Republic, 2021, pp. 1194–1198, doi: 10.21437/Interspeech.2021-1775.</w:t>
      </w:r>
    </w:p>
    <w:p>
      <w:pPr>
        <w:spacing w:line="264" w:lineRule="auto" w:before="0" w:after="50"/>
        <w:ind w:left="360" w:hanging="360"/>
        <w:jc w:val="left"/>
      </w:pPr>
      <w:r>
        <w:rPr>
          <w:rFonts w:ascii="Times New Roman" w:hAnsi="Times New Roman"/>
          <w:color w:val="000000"/>
          <w:sz w:val="17"/>
        </w:rPr>
        <w:t>[3] K. Chauhan, K. K. Sharma, and T. Varma, "MNITJ-SEHSD: A Hindi Emotional Speech Database," in Proc. 2023 International Conference on Communication, Circuits, and Systems (IC3S), Bhubaneswar, India, 2023, pp. 1–6, doi: 10.1109/IC3S57698.2023.10169497.</w:t>
      </w:r>
    </w:p>
    <w:p>
      <w:pPr>
        <w:spacing w:line="264" w:lineRule="auto" w:before="0" w:after="50"/>
        <w:ind w:left="360" w:hanging="360"/>
        <w:jc w:val="left"/>
      </w:pPr>
      <w:r>
        <w:rPr>
          <w:rFonts w:ascii="Times New Roman" w:hAnsi="Times New Roman"/>
          <w:color w:val="000000"/>
          <w:sz w:val="17"/>
        </w:rPr>
        <w:t>[4] P. Mehra and S. K. Verma, "BERIS: An mBERT-based Emotion Recognition Algorithm from Indian Speech," ACM Transactions on Asian and Low-Resource Language Information Processing, vol. 21, no. 5, art. 106, pp. 1–19, Apr. 2022, doi: 10.1145/3517195.</w:t>
      </w:r>
    </w:p>
    <w:p>
      <w:pPr>
        <w:spacing w:line="264" w:lineRule="auto" w:before="0" w:after="50"/>
        <w:ind w:left="360" w:hanging="360"/>
        <w:jc w:val="left"/>
      </w:pPr>
      <w:r>
        <w:rPr>
          <w:rFonts w:ascii="Times New Roman" w:hAnsi="Times New Roman"/>
          <w:color w:val="000000"/>
          <w:sz w:val="17"/>
        </w:rPr>
        <w:t>[5] R. Kawade and S. Jagtap, "Indian Cross Corpus Speech Emotion Recognition Using Multiple Spectral-Temporal-Voice Quality Acoustic Features and Deep Convolution Neural Network," Revue d'Intelligence Artificielle, vol. 38, no. 3, pp. 913–927, Jun. 2024, doi: 10.18280/ria.380318.</w:t>
      </w:r>
    </w:p>
    <w:p>
      <w:pPr>
        <w:spacing w:line="264" w:lineRule="auto" w:before="0" w:after="50"/>
        <w:ind w:left="360" w:hanging="360"/>
        <w:jc w:val="left"/>
      </w:pPr>
      <w:r>
        <w:rPr>
          <w:rFonts w:ascii="Times New Roman" w:hAnsi="Times New Roman"/>
          <w:color w:val="000000"/>
          <w:sz w:val="17"/>
        </w:rPr>
        <w:t>[6] Z. Ma, Z. Zheng, J. Ye, J. Li, Z. Gao, S. Zhang, and X. Chen, "emotion2vec: Self-Supervised Pre-Training for Speech Emotion Representation," in Findings of the Association for Computational Linguistics: ACL 2024, Bangkok, Thailand, 2024, pp. 15747–15760, doi: 10.18653/v1/2024.findings-acl.931.</w:t>
      </w:r>
    </w:p>
    <w:p>
      <w:pPr>
        <w:spacing w:line="264" w:lineRule="auto" w:before="0" w:after="50"/>
        <w:ind w:left="360" w:hanging="360"/>
        <w:jc w:val="left"/>
      </w:pPr>
      <w:r>
        <w:rPr>
          <w:rFonts w:ascii="Times New Roman" w:hAnsi="Times New Roman"/>
          <w:color w:val="000000"/>
          <w:sz w:val="17"/>
        </w:rPr>
        <w:t>[7] S. Chen, Y. Wu, C. Wang, S. Liu, D. Tompkins, Z. Chen, and F. Wei, "BEATs: Audio Pre-Training with Acoustic Tokenizers," in Proc. 40th International Conference on Machine Learning (ICML), vol. 202, 2023, pp. 5178–5193.</w:t>
      </w:r>
    </w:p>
    <w:p>
      <w:pPr>
        <w:spacing w:line="264" w:lineRule="auto" w:before="0" w:after="50"/>
        <w:ind w:left="360" w:hanging="360"/>
        <w:jc w:val="left"/>
      </w:pPr>
      <w:r>
        <w:rPr>
          <w:rFonts w:ascii="Times New Roman" w:hAnsi="Times New Roman"/>
          <w:color w:val="000000"/>
          <w:sz w:val="17"/>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64" w:lineRule="auto" w:before="0" w:after="50"/>
        <w:ind w:left="360" w:hanging="360"/>
        <w:jc w:val="left"/>
      </w:pPr>
      <w:r>
        <w:rPr>
          <w:rFonts w:ascii="Times New Roman" w:hAnsi="Times New Roman"/>
          <w:color w:val="000000"/>
          <w:sz w:val="17"/>
        </w:rPr>
        <w:t>[9] A. Baevski, Y. Zhou, A. Mohamed, and M. Auli, "wav2vec 2.0: A Framework for Self-Supervised Learning of Speech Representations," in Advances in Neural Information Processing Systems (NeurIPS), vol. 33, 2020, pp. 12449–12460.</w:t>
      </w:r>
    </w:p>
    <w:p>
      <w:pPr>
        <w:spacing w:line="264" w:lineRule="auto" w:before="0" w:after="50"/>
        <w:ind w:left="360" w:hanging="360"/>
        <w:jc w:val="left"/>
      </w:pPr>
      <w:r>
        <w:rPr>
          <w:rFonts w:ascii="Times New Roman" w:hAnsi="Times New Roman"/>
          <w:color w:val="000000"/>
          <w:sz w:val="17"/>
        </w:rPr>
        <w:t>[10] A. Babu, C. Wang, A. Tjandra, K. Lakhotia, Q. Xu, N. Goyal, K. Singh, P. von Platen, Y. Saraf, J. Pino, A. Baevski, A. Conneau, and M. Auli, "XLS-R: Self-supervised Cross-lingual Speech Representation Learning at Scale," in Proc. Interspeech 2022, Incheon, Korea, 2022, pp. 2278–2282, doi: 10.21437/Interspeech.2022-143.</w:t>
      </w:r>
    </w:p>
    <w:p>
      <w:pPr>
        <w:spacing w:line="264" w:lineRule="auto" w:before="0" w:after="50"/>
        <w:ind w:left="360" w:hanging="360"/>
        <w:jc w:val="left"/>
      </w:pPr>
      <w:r>
        <w:rPr>
          <w:rFonts w:ascii="Times New Roman" w:hAnsi="Times New Roman"/>
          <w:color w:val="000000"/>
          <w:sz w:val="17"/>
        </w:rPr>
        <w:t>[11] J. H. Chowdhury, S. Ramanna, and K. Kotecha, "Speech emotion recognition with light weight deep neural ensemble model using hand crafted features," Scientific Reports, vol. 15, no. 1, art. 11824, pp. 1–14, 2025, doi: 10.1038/s41598-025-95734-z. [Online]. Available: https://www.nature.com/articles/s41598-025-95734-z.</w:t>
      </w:r>
    </w:p>
    <w:p>
      <w:pPr>
        <w:spacing w:line="264" w:lineRule="auto" w:before="0" w:after="50"/>
        <w:ind w:left="360" w:hanging="360"/>
        <w:jc w:val="left"/>
      </w:pPr>
      <w:r>
        <w:rPr>
          <w:rFonts w:ascii="Times New Roman" w:hAnsi="Times New Roman"/>
          <w:color w:val="000000"/>
          <w:sz w:val="17"/>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Apr.–Jun. 2016, doi: 10.1109/TAFFC.2015.2457417.</w:t>
      </w:r>
    </w:p>
    <w:p>
      <w:pPr>
        <w:spacing w:line="264" w:lineRule="auto" w:before="0" w:after="50"/>
        <w:ind w:left="360" w:hanging="360"/>
        <w:jc w:val="left"/>
      </w:pPr>
      <w:r>
        <w:rPr>
          <w:rFonts w:ascii="Times New Roman" w:hAnsi="Times New Roman"/>
          <w:color w:val="000000"/>
          <w:sz w:val="17"/>
        </w:rPr>
        <w:t>[13] B. W. Schuller, A. Batliner, C. Bergler, E.-M. Messner, A. Hamilton, S. Amiriparian, A. Baird, G. Rizos, M. Schmitt, L. Stappen, H. Baumeister, A. D. MacIntyre, and S. Hantke, "The INTERSPEECH 2020 Computational Paralinguistics Challenge: Elderly Emotion, Breathing &amp; Masks," in Proc. Interspeech 2020, Shanghai, China, 2020, pp. 2042–2046, doi: 10.21437/Interspeech.2020-32.</w:t>
      </w:r>
    </w:p>
    <w:p>
      <w:pPr>
        <w:spacing w:line="264" w:lineRule="auto" w:before="0" w:after="50"/>
        <w:ind w:left="360" w:hanging="360"/>
        <w:jc w:val="left"/>
      </w:pPr>
      <w:r>
        <w:rPr>
          <w:rFonts w:ascii="Times New Roman" w:hAnsi="Times New Roman"/>
          <w:color w:val="000000"/>
          <w:sz w:val="17"/>
        </w:rPr>
        <w:t>[14] N. Wang and D. Yang, "Speech emotion recognition using fine-tuned Wav2vec2.0 and neural controlled differential equations classifier," PLoS ONE, vol. 20, no. 2, art. e0318297, pp. 1–13, Feb. 2025, doi: 10.1371/journal.pone.0318297.</w:t>
      </w:r>
    </w:p>
    <w:p>
      <w:pPr>
        <w:spacing w:line="264" w:lineRule="auto" w:before="0" w:after="50"/>
        <w:ind w:left="360" w:hanging="360"/>
        <w:jc w:val="left"/>
      </w:pPr>
      <w:r>
        <w:rPr>
          <w:rFonts w:ascii="Times New Roman" w:hAnsi="Times New Roman"/>
          <w:color w:val="000000"/>
          <w:sz w:val="17"/>
        </w:rPr>
        <w:t>[15] A. Hashem, M. Arif, and M. Alghamdi, "Speech emotion recognition approaches: A systematic review," Speech Communication, vol. 154, art. 102974, pp. 1–29, Oct. 2023, doi: 10.1016/j.specom.2023.102974.</w:t>
      </w:r>
    </w:p>
    <w:p>
      <w:pPr>
        <w:spacing w:line="264" w:lineRule="auto" w:before="0" w:after="50"/>
        <w:ind w:left="360" w:hanging="360"/>
        <w:jc w:val="left"/>
      </w:pPr>
      <w:r>
        <w:rPr>
          <w:rFonts w:ascii="Times New Roman" w:hAnsi="Times New Roman"/>
          <w:color w:val="000000"/>
          <w:sz w:val="17"/>
        </w:rPr>
        <w:t>[16] M. B. Akçay and K. Oğuz, "Speech emotion recognition: Emotional models, databases, features, preprocessing methods, supporting modalities, and classifiers," Speech Communication, vol. 116, pp. 56–76, Jan. 2020, doi: 10.1016/j.specom.2019.12.001.</w:t>
      </w:r>
    </w:p>
    <w:p>
      <w:pPr>
        <w:spacing w:line="264" w:lineRule="auto" w:before="0" w:after="50"/>
        <w:ind w:left="360" w:hanging="360"/>
        <w:jc w:val="left"/>
      </w:pPr>
      <w:r>
        <w:rPr>
          <w:rFonts w:ascii="Times New Roman" w:hAnsi="Times New Roman"/>
          <w:color w:val="000000"/>
          <w:sz w:val="17"/>
        </w:rPr>
        <w:t>[17] H. Cao, D. G. Cooper, M. K. Keutmann, R. C. Gur, A. Nenkova, and R. Verma, "CREMA-D: Crowd-Sourced Emotional Multimodal Actors Dataset," IEEE Transactions on Affective Computing, vol. 5, no. 4, pp. 377–390, Oct.–Dec. 2014, doi: 10.1109/TAFFC.2014.2336244.</w:t>
      </w:r>
    </w:p>
    <w:p>
      <w:pPr>
        <w:spacing w:line="264" w:lineRule="auto" w:before="0" w:after="50"/>
        <w:ind w:left="360" w:hanging="360"/>
        <w:jc w:val="left"/>
      </w:pPr>
      <w:r>
        <w:rPr>
          <w:rFonts w:ascii="Times New Roman" w:hAnsi="Times New Roman"/>
          <w:color w:val="000000"/>
          <w:sz w:val="17"/>
        </w:rPr>
        <w:t>[18] S. R. Livingstone and F. A. Russo, "The Ryerson Audio-Visual Database of Emotional Speech and Song (RAVDESS): A dynamic, multimodal set of facial and vocal expressions in North American English," PLoS ONE, vol. 13, no. 5, art. e0196391, pp. 1–33, May 2018, doi: 10.1371/journal.pone.0196391.</w:t>
      </w:r>
    </w:p>
    <w:p>
      <w:pPr>
        <w:spacing w:line="264" w:lineRule="auto" w:before="0" w:after="50"/>
        <w:ind w:left="360" w:hanging="360"/>
        <w:jc w:val="left"/>
      </w:pPr>
      <w:r>
        <w:rPr>
          <w:rFonts w:ascii="Times New Roman" w:hAnsi="Times New Roman"/>
          <w:color w:val="000000"/>
          <w:sz w:val="17"/>
        </w:rPr>
        <w:t>[19] S. Haq and P. J. B. Jackson, "Multimodal Emotion Recognition," in Machine Audition: Principles, Algorithms and Systems, W. Wang, Ed., Hershey, PA: IGI Global, 2010, pp. 398–423, doi: 10.4018/978-1-61520-919-4.ch017.</w:t>
      </w:r>
    </w:p>
    <w:p>
      <w:pPr>
        <w:spacing w:line="264" w:lineRule="auto" w:before="0" w:after="50"/>
        <w:ind w:left="360" w:hanging="360"/>
        <w:jc w:val="left"/>
      </w:pPr>
      <w:r>
        <w:rPr>
          <w:rFonts w:ascii="Times New Roman" w:hAnsi="Times New Roman"/>
          <w:color w:val="000000"/>
          <w:sz w:val="17"/>
        </w:rPr>
        <w:t>[20] M. K. Pichora-Fuller and K. Dupuis, "Toronto Emotional Speech Set (TESS)," Scholars Portal Dataverse, vol. 1, 2020, doi: 10.5683/SP2/E8H2MF.</w:t>
      </w:r>
    </w:p>
    <w:p>
      <w:pPr>
        <w:spacing w:line="264" w:lineRule="auto" w:before="0" w:after="50"/>
        <w:ind w:left="360" w:hanging="360"/>
        <w:jc w:val="left"/>
      </w:pPr>
      <w:r>
        <w:rPr>
          <w:rFonts w:ascii="Times New Roman" w:hAnsi="Times New Roman"/>
          <w:color w:val="000000"/>
          <w:sz w:val="17"/>
        </w:rPr>
        <w:t>[21] A. Goel, M. Hira, and A. Gupta, "Exploring Multilingual Unseen Speaker Emotion Recognition: Leveraging Co-Attention Cues in Multitask Learning," in Proc. Interspeech 2024, Kos Island, Greece, 2024, pp. 2340–2344, doi: 10.21437/Interspeech.2024-1820.</w:t>
      </w:r>
    </w:p>
    <w:p>
      <w:pPr>
        <w:spacing w:line="264" w:lineRule="auto" w:before="0" w:after="50"/>
        <w:ind w:left="360" w:hanging="360"/>
        <w:jc w:val="left"/>
      </w:pPr>
      <w:r>
        <w:rPr>
          <w:rFonts w:ascii="Times New Roman" w:hAnsi="Times New Roman"/>
          <w:color w:val="000000"/>
          <w:sz w:val="17"/>
        </w:rPr>
        <w:t>[22] H. Rathnayake, J. James, G. Leoni, A. Nicholas, C. Watson, and P. Keegan, "A review on speech emotion recognition for low-resource and Indigenous languages," Speech Communication, vol. 176, art. 103342, pp. 1–25, Jan. 2026, doi: 10.1016/j.specom.2025.103342.</w:t>
      </w:r>
    </w:p>
    <w:p>
      <w:pPr>
        <w:spacing w:line="264" w:lineRule="auto" w:before="0" w:after="50"/>
        <w:ind w:left="360" w:hanging="360"/>
        <w:jc w:val="left"/>
      </w:pPr>
      <w:r>
        <w:rPr>
          <w:rFonts w:ascii="Times New Roman" w:hAnsi="Times New Roman"/>
          <w:color w:val="000000"/>
          <w:sz w:val="17"/>
        </w:rPr>
        <w:t>[23] S. T. Alam Monisha and S. Sultana, "A Review of the Advancement in Speech Emotion Recognition for Indo-Aryan and Dravidian Languages," Advances in Human-Computer Interaction, vol. 2022, art. 9602429, pp. 1–11, Dec. 2022, doi: 10.1155/2022/9602429.</w:t>
      </w:r>
    </w:p>
    <w:p>
      <w:pPr>
        <w:spacing w:line="264" w:lineRule="auto" w:before="0" w:after="50"/>
        <w:ind w:left="360" w:hanging="360"/>
        <w:jc w:val="left"/>
      </w:pPr>
      <w:r>
        <w:rPr>
          <w:rFonts w:ascii="Times New Roman" w:hAnsi="Times New Roman"/>
          <w:color w:val="000000"/>
          <w:sz w:val="17"/>
        </w:rPr>
        <w:t>[24] A. Pasad, J.-C. Chou, and K. Livescu, "Layer-wise Analysis of a Self-supervised Speech Representation Model," in Proc. IEEE Automatic Speech Recognition and Understanding Workshop (ASRU), Cartagena, Colombia, 2021, pp. 914–921, doi: 10.1109/ASRU51503.2021.9688093.</w:t>
      </w:r>
    </w:p>
    <w:p>
      <w:pPr>
        <w:spacing w:line="264" w:lineRule="auto" w:before="0" w:after="50"/>
        <w:ind w:left="360" w:hanging="360"/>
        <w:jc w:val="left"/>
      </w:pPr>
      <w:r>
        <w:rPr>
          <w:rFonts w:ascii="Times New Roman" w:hAnsi="Times New Roman"/>
          <w:color w:val="000000"/>
          <w:sz w:val="17"/>
        </w:rPr>
        <w:t>[25] J. Wagner, D. Schiller, A. Seiderer, and E. André, "Deep learning in paralinguistic recognition tasks: Are hand-crafted features still relevant?," in Proc. Interspeech 2018, Hyderabad, India, 2018, pp. 147–151, doi: 10.21437/Interspeech.2018-1238.</w:t>
      </w:r>
    </w:p>
    <w:p>
      <w:pPr>
        <w:spacing w:line="264" w:lineRule="auto" w:before="0" w:after="50"/>
        <w:ind w:left="360" w:hanging="360"/>
        <w:jc w:val="left"/>
      </w:pPr>
      <w:r>
        <w:rPr>
          <w:rFonts w:ascii="Times New Roman" w:hAnsi="Times New Roman"/>
          <w:color w:val="000000"/>
          <w:sz w:val="17"/>
        </w:rPr>
        <w:t>[26] S. Latif, R. Rana, S. Khalifa, R. Jurdak, J. Qadir, and B. W. Schuller, "Survey of Deep Representation Learning for Speech Emotion Recognition," IEEE Transactions on Affective Computing, vol. 14, no. 2, pp. 1634–1654, Apr.–Jun. 2023, doi: 10.1109/TAFFC.2021.3114365.</w:t>
      </w:r>
    </w:p>
    <w:p>
      <w:pPr>
        <w:spacing w:line="264" w:lineRule="auto" w:before="0" w:after="50"/>
        <w:ind w:left="360" w:hanging="360"/>
        <w:jc w:val="left"/>
      </w:pPr>
      <w:r>
        <w:rPr>
          <w:rFonts w:ascii="Times New Roman" w:hAnsi="Times New Roman"/>
          <w:color w:val="000000"/>
          <w:sz w:val="17"/>
        </w:rPr>
        <w:t>[27] L. Pepino, P. Riera, and L. Ferrer, "Emotion Recognition from Speech Using wav2vec 2.0 Embeddings," in Proc. Interspeech 2021, Brno, Czech Republic, 2021, pp. 3400–3404, doi: 10.21437/Interspeech.2021-703.</w:t>
      </w:r>
    </w:p>
    <w:p>
      <w:pPr>
        <w:spacing w:line="264" w:lineRule="auto" w:before="0" w:after="50"/>
        <w:ind w:left="360" w:hanging="360"/>
        <w:jc w:val="left"/>
      </w:pPr>
      <w:r>
        <w:rPr>
          <w:rFonts w:ascii="Times New Roman" w:hAnsi="Times New Roman"/>
          <w:color w:val="000000"/>
          <w:sz w:val="17"/>
        </w:rPr>
        <w:t>[28] C. Busso, M. Bulut, C.-C. Lee, A. Kazemzadeh, E. Mower, S. Kim, J. N. Chang, S. Lee, and S. S. Narayanan, "IEMOCAP: Interactive emotional dyadic motion capture database," Language Resources and Evaluation, vol. 42, no. 4, pp. 335–359, Dec. 2008, doi: 10.1007/s10579-008-9076-6.</w:t>
      </w:r>
    </w:p>
    <w:p>
      <w:pPr>
        <w:spacing w:line="264" w:lineRule="auto" w:before="0" w:after="50"/>
        <w:ind w:left="360" w:hanging="360"/>
        <w:jc w:val="left"/>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64" w:lineRule="auto" w:before="0" w:after="50"/>
        <w:ind w:left="360" w:hanging="360"/>
        <w:jc w:val="left"/>
      </w:pPr>
      <w:r>
        <w:rPr>
          <w:rFonts w:ascii="Times New Roman" w:hAnsi="Times New Roman"/>
          <w:color w:val="000000"/>
          <w:sz w:val="17"/>
        </w:rPr>
        <w:t>[30] C. Sun, Y. Zhou, X. Huang, J. Yang, and X. Hou, "Combining wav2vec 2.0 Fine-Tuning and ConLearnNet for Speech Emotion Recognition," Electronics, vol. 13, no. 6, art. 1103, pp. 1–19, Mar. 2024, doi: 10.3390/electronics13061103.</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after="0"/>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