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Calibri" w:hAnsi="Calibri"/>
          <w:b/>
          <w:color w:val="0F172A"/>
          <w:sz w:val="40"/>
        </w:rPr>
        <w:t>Multi-Corpus and Multilingual Speech Emotion Recognition with Audio Behavioural Intelligence: A Cross-Lingual Evaluation and Learnable Weighted Layer Pooling Study</w:t>
      </w:r>
    </w:p>
    <w:p>
      <w:pPr>
        <w:spacing w:after="40"/>
      </w:pPr>
      <w:r>
        <w:rPr>
          <w:b/>
          <w:color w:val="1E293B"/>
          <w:sz w:val="26"/>
        </w:rPr>
        <w:t>Himanshi Patel</w:t>
      </w:r>
    </w:p>
    <w:p>
      <w:pPr>
        <w:spacing w:after="320"/>
      </w:pPr>
      <w:r>
        <w:rPr>
          <w:i/>
          <w:color w:val="475569"/>
          <w:sz w:val="20"/>
        </w:rPr>
        <w:t>Department of Computer Science and Engineering</w:t>
        <w:br/>
        <w:t>Project Repository: speech_emotion_detection (Branch: develop-v3)</w:t>
        <w:br/>
        <w:t>Target Domains: Speech Signal Processing, Affective Computing, Natural Language Processing, Multimodal Deep Learning</w:t>
      </w:r>
    </w:p>
    <w:p>
      <w:pPr>
        <w:spacing w:after="240"/>
      </w:pPr>
      <w:r>
        <w:rPr>
          <w:color w:val="CBD5E1"/>
        </w:rPr>
        <w:t>――――――――――――――――――――――――――――――――――――――――――――――――</w:t>
      </w:r>
    </w:p>
    <w:p>
      <w:pPr>
        <w:pStyle w:val="Heading2"/>
        <w:spacing w:before="160" w:after="80"/>
      </w:pPr>
      <w:r>
        <w:t>Abstract</w:t>
      </w:r>
    </w:p>
    <w:p>
      <w:pPr>
        <w:spacing w:line="276" w:lineRule="auto" w:after="160"/>
      </w:pPr>
      <w:r>
        <w:rPr>
          <w:sz w:val="21"/>
        </w:rPr>
        <w:t>Speech Emotion Recognition (SER) is an active area of investigation within human-computer interaction, psychiatric diagnostics, and automated voice analysis. However, contemporary SER research faces several methodological constraints. First, the widespread use of randomized dataset partitioning causes speaker identity leakage, which inflates experimental accuracy by 15% to 35% compared to real-world performance on unseen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multi-corpus and cross-lingual benchmarking framework evaluating eight acoustic and self-supervised deep learning architectures across five speech corpora totaling 12,180 standardized audio recordings (CREMA-D, RAVDESS, SAVEE, TESS, and native Hindi speech). We enforce speaker-independent partitions (with unseen test actors) and prompt-independent splits (with unseen vocabulary) to prevent data leakage. We propose a Learnable Weighted Layer Pooling mechanism across the 12 transformer hidden layers of self-supervised foundation backbones (HuBERT and Wav2Vec 2.0). Empirical probing reveals that intermediate layers (Layers 9 to 11) capture 33.3% of the total emotional discrimination weight, outperforming the final classification layer.</w:t>
        <w:br/>
        <w:br/>
        <w:t>Additionally, cross-lingual transfer from an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after="320"/>
      </w:pPr>
      <w:r>
        <w:rPr>
          <w:b/>
          <w:sz w:val="20"/>
        </w:rPr>
        <w:t xml:space="preserve">Keywords: </w:t>
      </w:r>
      <w:r>
        <w:rPr>
          <w:sz w:val="20"/>
        </w:rPr>
        <w:t>Speech Emotion Recognition, Self-Supervised Learning, Learnable Layer Pooling, Hindi Speech Emotion, Cross-Lingual Transfer, Vocal Behaviour, Speaker Disjoint Split, HuBERT, Wav2Vec 2.0, CNN-BiLSTM.</w:t>
      </w:r>
    </w:p>
    <w:p>
      <w:pPr>
        <w:pStyle w:val="Heading1"/>
        <w:spacing w:before="280"/>
      </w:pPr>
      <w:r>
        <w:t>1. Introduction &amp; Research Motivation</w:t>
      </w:r>
    </w:p>
    <w:p>
      <w:pPr>
        <w:pStyle w:val="Heading2"/>
      </w:pPr>
      <w:r>
        <w:t>1.1 Affective Computing and Paralinguistic Cues</w:t>
      </w:r>
    </w:p>
    <w:p>
      <w:pPr>
        <w:spacing w:line="276" w:lineRule="auto" w:after="120"/>
      </w:pPr>
      <w: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pStyle w:val="Heading2"/>
      </w:pPr>
      <w:r>
        <w:t>1.2 The Problem of Speaker Identity Leakage</w:t>
      </w:r>
    </w:p>
    <w:p>
      <w:pPr>
        <w:spacing w:line="276" w:lineRule="auto" w:after="120"/>
      </w:pPr>
      <w: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pStyle w:val="Heading2"/>
      </w:pPr>
      <w:r>
        <w:t>1.3 Indic and Low-Resource Language Representation</w:t>
      </w:r>
    </w:p>
    <w:p>
      <w:pPr>
        <w:spacing w:line="276" w:lineRule="auto" w:after="120"/>
      </w:pPr>
      <w: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pStyle w:val="Heading2"/>
      </w:pPr>
      <w:r>
        <w:t>1.4 Integrating Objective Vocal Metrics</w:t>
      </w:r>
    </w:p>
    <w:p>
      <w:pPr>
        <w:spacing w:line="276" w:lineRule="auto" w:after="120"/>
      </w:pPr>
      <w:r>
        <w:t>Standard SER architectures typically output discrete emotion class probabilities, such as P(Happy) = 0.85. However, clinical diagnostic applications, tele-counseling, and automated conversational systems benefit from continuous, interpretable acoustic measurements [5], [11]:</w:t>
        <w:br/>
        <w:t>1. Speech velocity (syllables per second) indicates psychomotor state.</w:t>
        <w:br/>
        <w:t>2. Pause frequency and duration reflect hesitation or cognitive processing load.</w:t>
        <w:br/>
        <w:t>3. Vocal energy variation indicates engagement level.</w:t>
        <w:br/>
        <w:t>4. Fundamental pitch (F0) variation differentiates dynamic intonation from flattened vocal affect.</w:t>
        <w:br/>
        <w:t>Coupling categorical emotion classification with systematic behavioral feature extraction provides a more informative assessment of speech recordings [1], [11].</w:t>
      </w:r>
    </w:p>
    <w:p>
      <w:pPr>
        <w:pStyle w:val="Heading2"/>
      </w:pPr>
      <w:r>
        <w:t>1.5 Research Questions</w:t>
      </w:r>
    </w:p>
    <w:p>
      <w:pPr>
        <w:spacing w:line="276" w:lineRule="auto" w:after="120"/>
      </w:pPr>
      <w:r>
        <w:t>This study addresses four primary research questions:</w:t>
        <w:br/>
        <w:t>• RQ1 (Layer Pooling Dynamics): Does learnable weighted pooling across all transformer hidden layers outperform standard mean pooling or top-layer classification, and which layers encode the most discriminative emotional information?</w:t>
        <w:br/>
        <w:t>• RQ2 (Speaker Diversity Law): What is the relationship between the number of training speakers and out-of-domain generalization performance on strictly unseen actors?</w:t>
        <w:br/>
        <w:t>• RQ3 (Cross-Lingual Transfer): To what degree do representations trained on English speech transfer to native Hindi recordings, and what performance gains occur with targeted supervised adaptation?</w:t>
        <w:br/>
        <w:t>• RQ4 (Behavioural Prosody Synthesis): How can algorithmic extraction of syllabic tempo, pause metrics, energy levels, and pitch contours be combined with neural predictions to provide structured voice analysis?</w:t>
      </w:r>
    </w:p>
    <w:p>
      <w:pPr>
        <w:pStyle w:val="Heading1"/>
        <w:spacing w:before="280"/>
      </w:pPr>
      <w:r>
        <w:t>2. Literature Survey &amp; Theoretical Foundations</w:t>
      </w:r>
    </w:p>
    <w:p>
      <w:pPr>
        <w:spacing w:line="276" w:lineRule="auto" w:after="200"/>
      </w:pPr>
      <w:r>
        <w:t>This investigation synthesizes 39 peer-reviewed publications from our reference library across four primary research domains:</w:t>
        <w:br/>
        <w:t>1. Indic &amp; Hindi Speech Emotion Recognition: Kotian and Singh (2026) [1] demonstrated that concatenating prosodic-behavioral descriptors with spectral features increased classification accuracy to 83.9% and Macro-F1 to 0.81 on Hindi speech. Kotian and Singh (2026) [2] benchmarked classical, deep learning, and transformer architectures, finding that CNN-BiLSTM networks provided an optimal balance of accuracy and computational efficiency for Hindi speech under constrained sample sizes. Chauhan and Sharma (2023) [3] introduced the MNITJ-SEHSD database, identifying acoustic overlap between anger and disgust resulting from shared high vocal intensity. Kawade and Jagtap (2024) [5] evaluated cross-lingual modeling across Indian languages, noting that syllable timing requires local supervised fine-tuning.</w:t>
        <w:br/>
        <w:br/>
        <w:t>2. Self-Supervised Speech Representation Models: Models such as Wav2Vec 2.0 (Baevski et al., 2020) [9] and HuBERT (Hsu et al., 2021) [8] learn representations from thousands of hours of unlabeled audio. However, Ma et al. (ACL 2024) on emotion2vec [6] and Chen et al. (ICML 2023) on BEATs [7] demonstrated that speech models optimize for phonetic invariance, which can suppress emotional cues in upper transformer layers. Probing studies by Pasad et al. (2021) [24] confirmed that acoustic and prosodic properties are concentrated within intermediate layers, motivating our Learnable Weighted Layer Pooling approach.</w:t>
        <w:br/>
        <w:br/>
        <w:t>3. Vocal Behavioural Feature Integration: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 confirming that syllable tempo and pause frequency correlate with psychological arousal and depression.</w:t>
        <w:br/>
        <w:br/>
        <w:t>4. Speaker Disjoint Protocols and Generalization: Wang and Yang (2025) [14] proved that random train/test splits can inflate accuracy scores by up to 34.2 percentage points because classifiers exploit speaker-specific spectral patterns. Hashem et al. (2023) [15] and Akçay and Oğuz (2020) [16] similarly emphasized that only speaker-disjoint evaluation protocols reflect genuine clinical or real-world capability.</w:t>
      </w:r>
    </w:p>
    <w:p>
      <w:pPr>
        <w:pStyle w:val="Heading1"/>
        <w:spacing w:before="280"/>
      </w:pPr>
      <w:r>
        <w:t>3. Dataset Ecosystem &amp; Zero-Leakage Splitting Protocols</w:t>
      </w:r>
    </w:p>
    <w:p>
      <w:pPr>
        <w:spacing w:line="276" w:lineRule="auto" w:after="160"/>
      </w:pPr>
      <w: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2E8F0"/>
            <w:tcMar>
              <w:top w:w="80" w:type="dxa"/>
              <w:bottom w:w="80" w:type="dxa"/>
              <w:left w:w="100" w:type="dxa"/>
              <w:right w:w="100" w:type="dxa"/>
            </w:tcMar>
          </w:tcPr>
          <w:p>
            <w:pPr>
              <w:spacing w:before="60" w:after="60" w:line="252" w:lineRule="auto"/>
            </w:pPr>
            <w:r>
              <w:rPr>
                <w:b/>
                <w:sz w:val="17"/>
              </w:rPr>
              <w:t>Corpus</w:t>
            </w:r>
          </w:p>
        </w:tc>
        <w:tc>
          <w:tcPr>
            <w:tcW w:type="dxa" w:w="1560"/>
            <w:shd w:fill="E2E8F0"/>
            <w:tcMar>
              <w:top w:w="80" w:type="dxa"/>
              <w:bottom w:w="80" w:type="dxa"/>
              <w:left w:w="100" w:type="dxa"/>
              <w:right w:w="100" w:type="dxa"/>
            </w:tcMar>
          </w:tcPr>
          <w:p>
            <w:pPr>
              <w:spacing w:before="60" w:after="60" w:line="252" w:lineRule="auto"/>
            </w:pPr>
            <w:r>
              <w:rPr>
                <w:b/>
                <w:sz w:val="17"/>
              </w:rPr>
              <w:t>Clips</w:t>
            </w:r>
          </w:p>
        </w:tc>
        <w:tc>
          <w:tcPr>
            <w:tcW w:type="dxa" w:w="1560"/>
            <w:shd w:fill="E2E8F0"/>
            <w:tcMar>
              <w:top w:w="80" w:type="dxa"/>
              <w:bottom w:w="80" w:type="dxa"/>
              <w:left w:w="100" w:type="dxa"/>
              <w:right w:w="100" w:type="dxa"/>
            </w:tcMar>
          </w:tcPr>
          <w:p>
            <w:pPr>
              <w:spacing w:before="60" w:after="60" w:line="252" w:lineRule="auto"/>
            </w:pPr>
            <w:r>
              <w:rPr>
                <w:b/>
                <w:sz w:val="17"/>
              </w:rPr>
              <w:t>Language</w:t>
            </w:r>
          </w:p>
        </w:tc>
        <w:tc>
          <w:tcPr>
            <w:tcW w:type="dxa" w:w="1560"/>
            <w:shd w:fill="E2E8F0"/>
            <w:tcMar>
              <w:top w:w="80" w:type="dxa"/>
              <w:bottom w:w="80" w:type="dxa"/>
              <w:left w:w="100" w:type="dxa"/>
              <w:right w:w="100" w:type="dxa"/>
            </w:tcMar>
          </w:tcPr>
          <w:p>
            <w:pPr>
              <w:spacing w:before="60" w:after="60" w:line="252" w:lineRule="auto"/>
            </w:pPr>
            <w:r>
              <w:rPr>
                <w:b/>
                <w:sz w:val="17"/>
              </w:rPr>
              <w:t>Speakers / Scope</w:t>
            </w:r>
          </w:p>
        </w:tc>
        <w:tc>
          <w:tcPr>
            <w:tcW w:type="dxa" w:w="1560"/>
            <w:shd w:fill="E2E8F0"/>
            <w:tcMar>
              <w:top w:w="80" w:type="dxa"/>
              <w:bottom w:w="80" w:type="dxa"/>
              <w:left w:w="100" w:type="dxa"/>
              <w:right w:w="100" w:type="dxa"/>
            </w:tcMar>
          </w:tcPr>
          <w:p>
            <w:pPr>
              <w:spacing w:before="60" w:after="60" w:line="252" w:lineRule="auto"/>
            </w:pPr>
            <w:r>
              <w:rPr>
                <w:b/>
                <w:sz w:val="17"/>
              </w:rPr>
              <w:t>Split Protocol</w:t>
            </w:r>
          </w:p>
        </w:tc>
        <w:tc>
          <w:tcPr>
            <w:tcW w:type="dxa" w:w="1560"/>
            <w:shd w:fill="E2E8F0"/>
            <w:tcMar>
              <w:top w:w="80" w:type="dxa"/>
              <w:bottom w:w="80" w:type="dxa"/>
              <w:left w:w="100" w:type="dxa"/>
              <w:right w:w="100" w:type="dxa"/>
            </w:tcMar>
          </w:tcPr>
          <w:p>
            <w:pPr>
              <w:spacing w:before="60" w:after="60" w:line="252" w:lineRule="auto"/>
            </w:pPr>
            <w:r>
              <w:rPr>
                <w:b/>
                <w:sz w:val="17"/>
              </w:rPr>
              <w:t>Classes</w:t>
            </w:r>
          </w:p>
        </w:tc>
      </w:tr>
      <w:tr>
        <w:tc>
          <w:tcPr>
            <w:tcW w:type="dxa" w:w="1560"/>
            <w:shd w:fill="F8FAFC"/>
            <w:tcMar>
              <w:top w:w="80" w:type="dxa"/>
              <w:bottom w:w="80" w:type="dxa"/>
              <w:left w:w="100" w:type="dxa"/>
              <w:right w:w="100" w:type="dxa"/>
            </w:tcMar>
          </w:tcPr>
          <w:p>
            <w:pPr>
              <w:spacing w:before="60" w:after="60" w:line="252" w:lineRule="auto"/>
            </w:pPr>
            <w:r>
              <w:rPr>
                <w:sz w:val="17"/>
              </w:rPr>
              <w:t>CREMA-D</w:t>
            </w:r>
          </w:p>
        </w:tc>
        <w:tc>
          <w:tcPr>
            <w:tcW w:type="dxa" w:w="1560"/>
            <w:shd w:fill="F8FAFC"/>
            <w:tcMar>
              <w:top w:w="80" w:type="dxa"/>
              <w:bottom w:w="80" w:type="dxa"/>
              <w:left w:w="100" w:type="dxa"/>
              <w:right w:w="100" w:type="dxa"/>
            </w:tcMar>
          </w:tcPr>
          <w:p>
            <w:pPr>
              <w:spacing w:before="60" w:after="60" w:line="252" w:lineRule="auto"/>
            </w:pPr>
            <w:r>
              <w:rPr>
                <w:sz w:val="17"/>
              </w:rPr>
              <w:t>7,442</w:t>
            </w:r>
          </w:p>
        </w:tc>
        <w:tc>
          <w:tcPr>
            <w:tcW w:type="dxa" w:w="1560"/>
            <w:shd w:fill="F8FAFC"/>
            <w:tcMar>
              <w:top w:w="80" w:type="dxa"/>
              <w:bottom w:w="80" w:type="dxa"/>
              <w:left w:w="100" w:type="dxa"/>
              <w:right w:w="100" w:type="dxa"/>
            </w:tcMar>
          </w:tcPr>
          <w:p>
            <w:pPr>
              <w:spacing w:before="60" w:after="60" w:line="252" w:lineRule="auto"/>
            </w:pPr>
            <w:r>
              <w:rPr>
                <w:sz w:val="17"/>
              </w:rPr>
              <w:t>English (US)</w:t>
            </w:r>
          </w:p>
        </w:tc>
        <w:tc>
          <w:tcPr>
            <w:tcW w:type="dxa" w:w="1560"/>
            <w:shd w:fill="F8FAFC"/>
            <w:tcMar>
              <w:top w:w="80" w:type="dxa"/>
              <w:bottom w:w="80" w:type="dxa"/>
              <w:left w:w="100" w:type="dxa"/>
              <w:right w:w="100" w:type="dxa"/>
            </w:tcMar>
          </w:tcPr>
          <w:p>
            <w:pPr>
              <w:spacing w:before="60" w:after="60" w:line="252" w:lineRule="auto"/>
            </w:pPr>
            <w:r>
              <w:rPr>
                <w:sz w:val="17"/>
              </w:rPr>
              <w:t>91 Diverse Actors</w:t>
            </w:r>
          </w:p>
        </w:tc>
        <w:tc>
          <w:tcPr>
            <w:tcW w:type="dxa" w:w="1560"/>
            <w:shd w:fill="F8FAFC"/>
            <w:tcMar>
              <w:top w:w="80" w:type="dxa"/>
              <w:bottom w:w="80" w:type="dxa"/>
              <w:left w:w="100" w:type="dxa"/>
              <w:right w:w="100" w:type="dxa"/>
            </w:tcMar>
          </w:tcPr>
          <w:p>
            <w:pPr>
              <w:spacing w:before="60" w:after="60" w:line="252" w:lineRule="auto"/>
            </w:pPr>
            <w:r>
              <w:rPr>
                <w:sz w:val="17"/>
              </w:rPr>
              <w:t>Actor-Disjoint (13 test)</w:t>
            </w:r>
          </w:p>
        </w:tc>
        <w:tc>
          <w:tcPr>
            <w:tcW w:type="dxa" w:w="1560"/>
            <w:shd w:fill="F8FAFC"/>
            <w:tcMar>
              <w:top w:w="80" w:type="dxa"/>
              <w:bottom w:w="80" w:type="dxa"/>
              <w:left w:w="100" w:type="dxa"/>
              <w:right w:w="100" w:type="dxa"/>
            </w:tcMar>
          </w:tcPr>
          <w:p>
            <w:pPr>
              <w:spacing w:before="60" w:after="60" w:line="252" w:lineRule="auto"/>
            </w:pPr>
            <w:r>
              <w:rPr>
                <w:sz w:val="17"/>
              </w:rPr>
              <w:t>6 Classes</w:t>
            </w:r>
          </w:p>
        </w:tc>
      </w:tr>
      <w:tr>
        <w:tc>
          <w:tcPr>
            <w:tcW w:type="dxa" w:w="1560"/>
            <w:tcMar>
              <w:top w:w="80" w:type="dxa"/>
              <w:bottom w:w="80" w:type="dxa"/>
              <w:left w:w="100" w:type="dxa"/>
              <w:right w:w="100" w:type="dxa"/>
            </w:tcMar>
          </w:tcPr>
          <w:p>
            <w:pPr>
              <w:spacing w:before="60" w:after="60" w:line="252" w:lineRule="auto"/>
            </w:pPr>
            <w:r>
              <w:rPr>
                <w:sz w:val="17"/>
              </w:rPr>
              <w:t>RAVDESS</w:t>
            </w:r>
          </w:p>
        </w:tc>
        <w:tc>
          <w:tcPr>
            <w:tcW w:type="dxa" w:w="1560"/>
            <w:tcMar>
              <w:top w:w="80" w:type="dxa"/>
              <w:bottom w:w="80" w:type="dxa"/>
              <w:left w:w="100" w:type="dxa"/>
              <w:right w:w="100" w:type="dxa"/>
            </w:tcMar>
          </w:tcPr>
          <w:p>
            <w:pPr>
              <w:spacing w:before="60" w:after="60" w:line="252" w:lineRule="auto"/>
            </w:pPr>
            <w:r>
              <w:rPr>
                <w:sz w:val="17"/>
              </w:rPr>
              <w:t>1,440</w:t>
            </w:r>
          </w:p>
        </w:tc>
        <w:tc>
          <w:tcPr>
            <w:tcW w:type="dxa" w:w="1560"/>
            <w:tcMar>
              <w:top w:w="80" w:type="dxa"/>
              <w:bottom w:w="80" w:type="dxa"/>
              <w:left w:w="100" w:type="dxa"/>
              <w:right w:w="100" w:type="dxa"/>
            </w:tcMar>
          </w:tcPr>
          <w:p>
            <w:pPr>
              <w:spacing w:before="60" w:after="60" w:line="252" w:lineRule="auto"/>
            </w:pPr>
            <w:r>
              <w:rPr>
                <w:sz w:val="17"/>
              </w:rPr>
              <w:t>English (NA)</w:t>
            </w:r>
          </w:p>
        </w:tc>
        <w:tc>
          <w:tcPr>
            <w:tcW w:type="dxa" w:w="1560"/>
            <w:tcMar>
              <w:top w:w="80" w:type="dxa"/>
              <w:bottom w:w="80" w:type="dxa"/>
              <w:left w:w="100" w:type="dxa"/>
              <w:right w:w="100" w:type="dxa"/>
            </w:tcMar>
          </w:tcPr>
          <w:p>
            <w:pPr>
              <w:spacing w:before="60" w:after="60" w:line="252" w:lineRule="auto"/>
            </w:pPr>
            <w:r>
              <w:rPr>
                <w:sz w:val="17"/>
              </w:rPr>
              <w:t>24 Professional Actors</w:t>
            </w:r>
          </w:p>
        </w:tc>
        <w:tc>
          <w:tcPr>
            <w:tcW w:type="dxa" w:w="1560"/>
            <w:tcMar>
              <w:top w:w="80" w:type="dxa"/>
              <w:bottom w:w="80" w:type="dxa"/>
              <w:left w:w="100" w:type="dxa"/>
              <w:right w:w="100" w:type="dxa"/>
            </w:tcMar>
          </w:tcPr>
          <w:p>
            <w:pPr>
              <w:spacing w:before="60" w:after="60" w:line="252" w:lineRule="auto"/>
            </w:pPr>
            <w:r>
              <w:rPr>
                <w:sz w:val="17"/>
              </w:rPr>
              <w:t>Actor-Disjoint (Actors 21-24)</w:t>
            </w:r>
          </w:p>
        </w:tc>
        <w:tc>
          <w:tcPr>
            <w:tcW w:type="dxa" w:w="1560"/>
            <w:tcMar>
              <w:top w:w="80" w:type="dxa"/>
              <w:bottom w:w="80" w:type="dxa"/>
              <w:left w:w="100" w:type="dxa"/>
              <w:right w:w="100" w:type="dxa"/>
            </w:tcMar>
          </w:tcPr>
          <w:p>
            <w:pPr>
              <w:spacing w:before="60" w:after="60" w:line="252" w:lineRule="auto"/>
            </w:pPr>
            <w:r>
              <w:rPr>
                <w:sz w:val="17"/>
              </w:rPr>
              <w:t>8 Classes</w:t>
            </w:r>
          </w:p>
        </w:tc>
      </w:tr>
      <w:tr>
        <w:tc>
          <w:tcPr>
            <w:tcW w:type="dxa" w:w="1560"/>
            <w:shd w:fill="F8FAFC"/>
            <w:tcMar>
              <w:top w:w="80" w:type="dxa"/>
              <w:bottom w:w="80" w:type="dxa"/>
              <w:left w:w="100" w:type="dxa"/>
              <w:right w:w="100" w:type="dxa"/>
            </w:tcMar>
          </w:tcPr>
          <w:p>
            <w:pPr>
              <w:spacing w:before="60" w:after="60" w:line="252" w:lineRule="auto"/>
            </w:pPr>
            <w:r>
              <w:rPr>
                <w:sz w:val="17"/>
              </w:rPr>
              <w:t>SAVEE</w:t>
            </w:r>
          </w:p>
        </w:tc>
        <w:tc>
          <w:tcPr>
            <w:tcW w:type="dxa" w:w="1560"/>
            <w:shd w:fill="F8FAFC"/>
            <w:tcMar>
              <w:top w:w="80" w:type="dxa"/>
              <w:bottom w:w="80" w:type="dxa"/>
              <w:left w:w="100" w:type="dxa"/>
              <w:right w:w="100" w:type="dxa"/>
            </w:tcMar>
          </w:tcPr>
          <w:p>
            <w:pPr>
              <w:spacing w:before="60" w:after="60" w:line="252" w:lineRule="auto"/>
            </w:pPr>
            <w:r>
              <w:rPr>
                <w:sz w:val="17"/>
              </w:rPr>
              <w:t>480</w:t>
            </w:r>
          </w:p>
        </w:tc>
        <w:tc>
          <w:tcPr>
            <w:tcW w:type="dxa" w:w="1560"/>
            <w:shd w:fill="F8FAFC"/>
            <w:tcMar>
              <w:top w:w="80" w:type="dxa"/>
              <w:bottom w:w="80" w:type="dxa"/>
              <w:left w:w="100" w:type="dxa"/>
              <w:right w:w="100" w:type="dxa"/>
            </w:tcMar>
          </w:tcPr>
          <w:p>
            <w:pPr>
              <w:spacing w:before="60" w:after="60" w:line="252" w:lineRule="auto"/>
            </w:pPr>
            <w:r>
              <w:rPr>
                <w:sz w:val="17"/>
              </w:rPr>
              <w:t>English (UK)</w:t>
            </w:r>
          </w:p>
        </w:tc>
        <w:tc>
          <w:tcPr>
            <w:tcW w:type="dxa" w:w="1560"/>
            <w:shd w:fill="F8FAFC"/>
            <w:tcMar>
              <w:top w:w="80" w:type="dxa"/>
              <w:bottom w:w="80" w:type="dxa"/>
              <w:left w:w="100" w:type="dxa"/>
              <w:right w:w="100" w:type="dxa"/>
            </w:tcMar>
          </w:tcPr>
          <w:p>
            <w:pPr>
              <w:spacing w:before="60" w:after="60" w:line="252" w:lineRule="auto"/>
            </w:pPr>
            <w:r>
              <w:rPr>
                <w:sz w:val="17"/>
              </w:rPr>
              <w:t>4 British Actors</w:t>
            </w:r>
          </w:p>
        </w:tc>
        <w:tc>
          <w:tcPr>
            <w:tcW w:type="dxa" w:w="1560"/>
            <w:shd w:fill="F8FAFC"/>
            <w:tcMar>
              <w:top w:w="80" w:type="dxa"/>
              <w:bottom w:w="80" w:type="dxa"/>
              <w:left w:w="100" w:type="dxa"/>
              <w:right w:w="100" w:type="dxa"/>
            </w:tcMar>
          </w:tcPr>
          <w:p>
            <w:pPr>
              <w:spacing w:before="60" w:after="60" w:line="252" w:lineRule="auto"/>
            </w:pPr>
            <w:r>
              <w:rPr>
                <w:sz w:val="17"/>
              </w:rPr>
              <w:t>Actor-Disjoint (Actor KL)</w:t>
            </w:r>
          </w:p>
        </w:tc>
        <w:tc>
          <w:tcPr>
            <w:tcW w:type="dxa" w:w="1560"/>
            <w:shd w:fill="F8FAFC"/>
            <w:tcMar>
              <w:top w:w="80" w:type="dxa"/>
              <w:bottom w:w="80" w:type="dxa"/>
              <w:left w:w="100" w:type="dxa"/>
              <w:right w:w="100" w:type="dxa"/>
            </w:tcMar>
          </w:tcPr>
          <w:p>
            <w:pPr>
              <w:spacing w:before="60" w:after="60" w:line="252" w:lineRule="auto"/>
            </w:pPr>
            <w:r>
              <w:rPr>
                <w:sz w:val="17"/>
              </w:rPr>
              <w:t>7 Classes</w:t>
            </w:r>
          </w:p>
        </w:tc>
      </w:tr>
      <w:tr>
        <w:tc>
          <w:tcPr>
            <w:tcW w:type="dxa" w:w="1560"/>
            <w:tcMar>
              <w:top w:w="80" w:type="dxa"/>
              <w:bottom w:w="80" w:type="dxa"/>
              <w:left w:w="100" w:type="dxa"/>
              <w:right w:w="100" w:type="dxa"/>
            </w:tcMar>
          </w:tcPr>
          <w:p>
            <w:pPr>
              <w:spacing w:before="60" w:after="60" w:line="252" w:lineRule="auto"/>
            </w:pPr>
            <w:r>
              <w:rPr>
                <w:sz w:val="17"/>
              </w:rPr>
              <w:t>TESS</w:t>
            </w:r>
          </w:p>
        </w:tc>
        <w:tc>
          <w:tcPr>
            <w:tcW w:type="dxa" w:w="1560"/>
            <w:tcMar>
              <w:top w:w="80" w:type="dxa"/>
              <w:bottom w:w="80" w:type="dxa"/>
              <w:left w:w="100" w:type="dxa"/>
              <w:right w:w="100" w:type="dxa"/>
            </w:tcMar>
          </w:tcPr>
          <w:p>
            <w:pPr>
              <w:spacing w:before="60" w:after="60" w:line="252" w:lineRule="auto"/>
            </w:pPr>
            <w:r>
              <w:rPr>
                <w:sz w:val="17"/>
              </w:rPr>
              <w:t>2,800</w:t>
            </w:r>
          </w:p>
        </w:tc>
        <w:tc>
          <w:tcPr>
            <w:tcW w:type="dxa" w:w="1560"/>
            <w:tcMar>
              <w:top w:w="80" w:type="dxa"/>
              <w:bottom w:w="80" w:type="dxa"/>
              <w:left w:w="100" w:type="dxa"/>
              <w:right w:w="100" w:type="dxa"/>
            </w:tcMar>
          </w:tcPr>
          <w:p>
            <w:pPr>
              <w:spacing w:before="60" w:after="60" w:line="252" w:lineRule="auto"/>
            </w:pPr>
            <w:r>
              <w:rPr>
                <w:sz w:val="17"/>
              </w:rPr>
              <w:t>English (CA)</w:t>
            </w:r>
          </w:p>
        </w:tc>
        <w:tc>
          <w:tcPr>
            <w:tcW w:type="dxa" w:w="1560"/>
            <w:tcMar>
              <w:top w:w="80" w:type="dxa"/>
              <w:bottom w:w="80" w:type="dxa"/>
              <w:left w:w="100" w:type="dxa"/>
              <w:right w:w="100" w:type="dxa"/>
            </w:tcMar>
          </w:tcPr>
          <w:p>
            <w:pPr>
              <w:spacing w:before="60" w:after="60" w:line="252" w:lineRule="auto"/>
            </w:pPr>
            <w:r>
              <w:rPr>
                <w:sz w:val="17"/>
              </w:rPr>
              <w:t>2 Actresses, 200 Words</w:t>
            </w:r>
          </w:p>
        </w:tc>
        <w:tc>
          <w:tcPr>
            <w:tcW w:type="dxa" w:w="1560"/>
            <w:tcMar>
              <w:top w:w="80" w:type="dxa"/>
              <w:bottom w:w="80" w:type="dxa"/>
              <w:left w:w="100" w:type="dxa"/>
              <w:right w:w="100" w:type="dxa"/>
            </w:tcMar>
          </w:tcPr>
          <w:p>
            <w:pPr>
              <w:spacing w:before="60" w:after="60" w:line="252" w:lineRule="auto"/>
            </w:pPr>
            <w:r>
              <w:rPr>
                <w:sz w:val="17"/>
              </w:rPr>
              <w:t>Prompt-Disjoint (30 words)</w:t>
            </w:r>
          </w:p>
        </w:tc>
        <w:tc>
          <w:tcPr>
            <w:tcW w:type="dxa" w:w="1560"/>
            <w:tcMar>
              <w:top w:w="80" w:type="dxa"/>
              <w:bottom w:w="80" w:type="dxa"/>
              <w:left w:w="100" w:type="dxa"/>
              <w:right w:w="100" w:type="dxa"/>
            </w:tcMar>
          </w:tcPr>
          <w:p>
            <w:pPr>
              <w:spacing w:before="60" w:after="60" w:line="252" w:lineRule="auto"/>
            </w:pPr>
            <w:r>
              <w:rPr>
                <w:sz w:val="17"/>
              </w:rPr>
              <w:t>7 Classes</w:t>
            </w:r>
          </w:p>
        </w:tc>
      </w:tr>
      <w:tr>
        <w:tc>
          <w:tcPr>
            <w:tcW w:type="dxa" w:w="1560"/>
            <w:shd w:fill="F8FAFC"/>
            <w:tcMar>
              <w:top w:w="80" w:type="dxa"/>
              <w:bottom w:w="80" w:type="dxa"/>
              <w:left w:w="100" w:type="dxa"/>
              <w:right w:w="100" w:type="dxa"/>
            </w:tcMar>
          </w:tcPr>
          <w:p>
            <w:pPr>
              <w:spacing w:before="60" w:after="60" w:line="252" w:lineRule="auto"/>
            </w:pPr>
            <w:r>
              <w:rPr>
                <w:sz w:val="17"/>
              </w:rPr>
              <w:t>Hindi SER</w:t>
            </w:r>
          </w:p>
        </w:tc>
        <w:tc>
          <w:tcPr>
            <w:tcW w:type="dxa" w:w="1560"/>
            <w:shd w:fill="F8FAFC"/>
            <w:tcMar>
              <w:top w:w="80" w:type="dxa"/>
              <w:bottom w:w="80" w:type="dxa"/>
              <w:left w:w="100" w:type="dxa"/>
              <w:right w:w="100" w:type="dxa"/>
            </w:tcMar>
          </w:tcPr>
          <w:p>
            <w:pPr>
              <w:spacing w:before="60" w:after="60" w:line="252" w:lineRule="auto"/>
            </w:pPr>
            <w:r>
              <w:rPr>
                <w:sz w:val="17"/>
              </w:rPr>
              <w:t>862</w:t>
            </w:r>
          </w:p>
        </w:tc>
        <w:tc>
          <w:tcPr>
            <w:tcW w:type="dxa" w:w="1560"/>
            <w:shd w:fill="F8FAFC"/>
            <w:tcMar>
              <w:top w:w="80" w:type="dxa"/>
              <w:bottom w:w="80" w:type="dxa"/>
              <w:left w:w="100" w:type="dxa"/>
              <w:right w:w="100" w:type="dxa"/>
            </w:tcMar>
          </w:tcPr>
          <w:p>
            <w:pPr>
              <w:spacing w:before="60" w:after="60" w:line="252" w:lineRule="auto"/>
            </w:pPr>
            <w:r>
              <w:rPr>
                <w:sz w:val="17"/>
              </w:rPr>
              <w:t>Hindi (Indic)</w:t>
            </w:r>
          </w:p>
        </w:tc>
        <w:tc>
          <w:tcPr>
            <w:tcW w:type="dxa" w:w="1560"/>
            <w:shd w:fill="F8FAFC"/>
            <w:tcMar>
              <w:top w:w="80" w:type="dxa"/>
              <w:bottom w:w="80" w:type="dxa"/>
              <w:left w:w="100" w:type="dxa"/>
              <w:right w:w="100" w:type="dxa"/>
            </w:tcMar>
          </w:tcPr>
          <w:p>
            <w:pPr>
              <w:spacing w:before="60" w:after="60" w:line="252" w:lineRule="auto"/>
            </w:pPr>
            <w:r>
              <w:rPr>
                <w:sz w:val="17"/>
              </w:rPr>
              <w:t>Multi-Speaker Repositories</w:t>
            </w:r>
          </w:p>
        </w:tc>
        <w:tc>
          <w:tcPr>
            <w:tcW w:type="dxa" w:w="1560"/>
            <w:shd w:fill="F8FAFC"/>
            <w:tcMar>
              <w:top w:w="80" w:type="dxa"/>
              <w:bottom w:w="80" w:type="dxa"/>
              <w:left w:w="100" w:type="dxa"/>
              <w:right w:w="100" w:type="dxa"/>
            </w:tcMar>
          </w:tcPr>
          <w:p>
            <w:pPr>
              <w:spacing w:before="60" w:after="60" w:line="252" w:lineRule="auto"/>
            </w:pPr>
            <w:r>
              <w:rPr>
                <w:sz w:val="17"/>
              </w:rPr>
              <w:t>Disjoint Split (15% test)</w:t>
            </w:r>
          </w:p>
        </w:tc>
        <w:tc>
          <w:tcPr>
            <w:tcW w:type="dxa" w:w="1560"/>
            <w:shd w:fill="F8FAFC"/>
            <w:tcMar>
              <w:top w:w="80" w:type="dxa"/>
              <w:bottom w:w="80" w:type="dxa"/>
              <w:left w:w="100" w:type="dxa"/>
              <w:right w:w="100" w:type="dxa"/>
            </w:tcMar>
          </w:tcPr>
          <w:p>
            <w:pPr>
              <w:spacing w:before="60" w:after="60" w:line="252" w:lineRule="auto"/>
            </w:pPr>
            <w:r>
              <w:rPr>
                <w:sz w:val="17"/>
              </w:rPr>
              <w:t>5 Classes</w:t>
            </w:r>
          </w:p>
        </w:tc>
      </w:tr>
      <w:tr>
        <w:tc>
          <w:tcPr>
            <w:tcW w:type="dxa" w:w="1560"/>
            <w:shd w:fill="F1F5F9"/>
            <w:tcMar>
              <w:top w:w="80" w:type="dxa"/>
              <w:bottom w:w="80" w:type="dxa"/>
              <w:left w:w="100" w:type="dxa"/>
              <w:right w:w="100" w:type="dxa"/>
            </w:tcMar>
          </w:tcPr>
          <w:p>
            <w:pPr>
              <w:spacing w:before="60" w:after="60" w:line="252" w:lineRule="auto"/>
            </w:pPr>
            <w:r>
              <w:rPr>
                <w:b/>
                <w:sz w:val="17"/>
              </w:rPr>
              <w:t>TOTAL</w:t>
            </w:r>
          </w:p>
        </w:tc>
        <w:tc>
          <w:tcPr>
            <w:tcW w:type="dxa" w:w="1560"/>
            <w:shd w:fill="F1F5F9"/>
            <w:tcMar>
              <w:top w:w="80" w:type="dxa"/>
              <w:bottom w:w="80" w:type="dxa"/>
              <w:left w:w="100" w:type="dxa"/>
              <w:right w:w="100" w:type="dxa"/>
            </w:tcMar>
          </w:tcPr>
          <w:p>
            <w:pPr>
              <w:spacing w:before="60" w:after="60" w:line="252" w:lineRule="auto"/>
            </w:pPr>
            <w:r>
              <w:rPr>
                <w:b/>
                <w:sz w:val="17"/>
              </w:rPr>
              <w:t>12,180</w:t>
            </w:r>
          </w:p>
        </w:tc>
        <w:tc>
          <w:tcPr>
            <w:tcW w:type="dxa" w:w="1560"/>
            <w:shd w:fill="F1F5F9"/>
            <w:tcMar>
              <w:top w:w="80" w:type="dxa"/>
              <w:bottom w:w="80" w:type="dxa"/>
              <w:left w:w="100" w:type="dxa"/>
              <w:right w:w="100" w:type="dxa"/>
            </w:tcMar>
          </w:tcPr>
          <w:p>
            <w:pPr>
              <w:spacing w:before="60" w:after="60" w:line="252" w:lineRule="auto"/>
            </w:pPr>
            <w:r>
              <w:rPr>
                <w:b/>
                <w:sz w:val="17"/>
              </w:rPr>
              <w:t>Multilingual</w:t>
            </w:r>
          </w:p>
        </w:tc>
        <w:tc>
          <w:tcPr>
            <w:tcW w:type="dxa" w:w="1560"/>
            <w:shd w:fill="F1F5F9"/>
            <w:tcMar>
              <w:top w:w="80" w:type="dxa"/>
              <w:bottom w:w="80" w:type="dxa"/>
              <w:left w:w="100" w:type="dxa"/>
              <w:right w:w="100" w:type="dxa"/>
            </w:tcMar>
          </w:tcPr>
          <w:p>
            <w:pPr>
              <w:spacing w:before="60" w:after="60" w:line="252" w:lineRule="auto"/>
            </w:pPr>
            <w:r>
              <w:rPr>
                <w:b/>
                <w:sz w:val="17"/>
              </w:rPr>
              <w:t>121+ Total Speakers</w:t>
            </w:r>
          </w:p>
        </w:tc>
        <w:tc>
          <w:tcPr>
            <w:tcW w:type="dxa" w:w="1560"/>
            <w:shd w:fill="F1F5F9"/>
            <w:tcMar>
              <w:top w:w="80" w:type="dxa"/>
              <w:bottom w:w="80" w:type="dxa"/>
              <w:left w:w="100" w:type="dxa"/>
              <w:right w:w="100" w:type="dxa"/>
            </w:tcMar>
          </w:tcPr>
          <w:p>
            <w:pPr>
              <w:spacing w:before="60" w:after="60" w:line="252" w:lineRule="auto"/>
            </w:pPr>
            <w:r>
              <w:rPr>
                <w:b/>
                <w:sz w:val="17"/>
              </w:rPr>
              <w:t>Zero Leakage Protocols</w:t>
            </w:r>
          </w:p>
        </w:tc>
        <w:tc>
          <w:tcPr>
            <w:tcW w:type="dxa" w:w="1560"/>
            <w:shd w:fill="F1F5F9"/>
            <w:tcMar>
              <w:top w:w="80" w:type="dxa"/>
              <w:bottom w:w="80" w:type="dxa"/>
              <w:left w:w="100" w:type="dxa"/>
              <w:right w:w="100" w:type="dxa"/>
            </w:tcMar>
          </w:tcPr>
          <w:p>
            <w:pPr>
              <w:spacing w:before="60" w:after="60" w:line="252" w:lineRule="auto"/>
            </w:pPr>
            <w:r>
              <w:rPr>
                <w:b/>
                <w:sz w:val="17"/>
              </w:rPr>
              <w:t>Canonical Maps</w:t>
            </w:r>
          </w:p>
        </w:tc>
      </w:tr>
    </w:tbl>
    <w:p>
      <w:pPr>
        <w:spacing w:after="160"/>
      </w:pPr>
    </w:p>
    <w:p>
      <w:pPr>
        <w:pStyle w:val="Heading1"/>
        <w:spacing w:before="280"/>
      </w:pPr>
      <w:r>
        <w:t>4. System Architecture &amp; Methodology</w:t>
      </w:r>
    </w:p>
    <w:p>
      <w:pPr>
        <w:spacing w:line="276" w:lineRule="auto" w:after="160"/>
      </w:pPr>
      <w:r>
        <w:t>Figure 1 outlines the complete system architecture, showing the processing flow from raw audio ingestion through feature extraction and model inference to the dual outputs: categorical emotion probabilities and behavioral prosody metrics.</w:t>
      </w:r>
    </w:p>
    <w:p>
      <w:pPr>
        <w:jc w:val="center"/>
      </w:pPr>
      <w:r>
        <w:drawing>
          <wp:inline xmlns:a="http://schemas.openxmlformats.org/drawingml/2006/main" xmlns:pic="http://schemas.openxmlformats.org/drawingml/2006/picture">
            <wp:extent cx="5669280" cy="259988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599883"/>
                    </a:xfrm>
                    <a:prstGeom prst="rect"/>
                  </pic:spPr>
                </pic:pic>
              </a:graphicData>
            </a:graphic>
          </wp:inline>
        </w:drawing>
      </w:r>
    </w:p>
    <w:p>
      <w:pPr>
        <w:spacing w:after="240"/>
        <w:jc w:val="center"/>
      </w:pPr>
      <w:r>
        <w:rPr>
          <w:b/>
          <w:color w:val="475569"/>
          <w:sz w:val="19"/>
        </w:rPr>
        <w:t>Figure 1: End-to-End System Architecture with Dual-Branch Behavioural and Emotion Inference.</w:t>
      </w:r>
    </w:p>
    <w:p>
      <w:pPr>
        <w:pStyle w:val="Heading2"/>
      </w:pPr>
      <w:r>
        <w:t>4.1 Acoustic Feature Extraction</w:t>
      </w:r>
    </w:p>
    <w:p>
      <w:pPr>
        <w:spacing w:line="276" w:lineRule="auto" w:after="120"/>
      </w:pPr>
      <w:r>
        <w:t>For acoustic baseline models, raw audio signals are transformed into time-frequency representations:</w:t>
        <w:br/>
        <w:t>• Log-Mel Filterbanks: 40 mel-scale filterbanks extracted via Short-Time Fourier Transform (STFT) with a 25 ms Hamming window and 10 ms hop length (512-point FFT).</w:t>
        <w:br/>
        <w:t>• MFCCs: 40 Mel-Frequency Cepstral Coefficients with first (Δ) and second (Δ²) temporal derivatives.</w:t>
        <w:br/>
        <w:t>• Cepstral Mean and Variance Normalization (CMVN): Applied per utterance to normalize recording conditions.</w:t>
      </w:r>
    </w:p>
    <w:p>
      <w:pPr>
        <w:pStyle w:val="Heading2"/>
      </w:pPr>
      <w:r>
        <w:t>4.2 Learnable Weighted Layer Pooling Mechanism</w:t>
      </w:r>
    </w:p>
    <w:p>
      <w:pPr>
        <w:spacing w:line="276" w:lineRule="auto" w:after="120"/>
      </w:pPr>
      <w:r>
        <w:t>Standard fine-tuning protocols typically use only the final transformer layer L12 or apply uniform unweighted averaging across all layers. However, speech representations vary hierarchically: early layers capture acoustic structure, intermediate layers encode prosodic variations, and upper layers converge toward phonetic units [6], [24].</w:t>
        <w:br/>
        <w:br/>
        <w:t>To learn the relative importance of each layer automatically, we implement Learnable Weighted Layer Pooling. Let H = [h1, h2, ..., hL] denote the sequence of frame-pooled hidden state vectors across all L = 12 transformer layers, where hi in R^D and D = 768. We introduce a learnable parameter vector w = [w1, w2, ..., wL]^T in R^L, initialized uniformly (wi = 0).</w:t>
        <w:br/>
        <w:br/>
        <w:t>The normalized layer weights alpha = [alpha1, alpha2, ..., alphaL]^T are computed via the softmax function:</w:t>
        <w:br/>
        <w:t>alpha_i = exp(w_i) / sum_j exp(w_j), where sum_i alpha_i = 1 and alpha_i &gt; 0.</w:t>
        <w:br/>
        <w:br/>
        <w:t>The pooled multi-layer representation is computed as: h_pool = sum_i alpha_i * h_i.</w:t>
        <w:br/>
        <w:t>The pooled vector h_pool is then passed through dropout (p = 0.3), a non-linear projection layer, and a classification layer. During backpropagation, gradients update the classification head, the layer weights w, and the transformer weights simultaneously.</w:t>
      </w:r>
    </w:p>
    <w:p>
      <w:pPr>
        <w:pStyle w:val="Heading2"/>
      </w:pPr>
      <w:r>
        <w:t>4.3 Supervised CNN-BiLSTM Architecture for Indic Speech</w:t>
      </w:r>
    </w:p>
    <w:p>
      <w:pPr>
        <w:spacing w:line="276" w:lineRule="auto" w:after="120"/>
      </w:pPr>
      <w:r>
        <w:t>When sample sizes are modest, fine-tuning large transformers can lead to overfitting [2]. We therefore construct a targeted CNN-BiLSTM architecture:</w:t>
        <w:br/>
        <w:t>1. Convolutional Front-End: Two sequential 1D convolutional layers (Conv1D(40 -&gt; 64, k=5) with BatchNorm, ReLU, and MaxPool, followed by Conv1D(64 -&gt; 128, k=5) with BatchNorm, ReLU, and MaxPool) extract local spectral features.</w:t>
        <w:br/>
        <w:t>2. Bidirectional Contextualization: A 2-layer Bidirectional LSTM with 256 units per direction models temporal prosodic trajectories over time.</w:t>
        <w:br/>
        <w:t>3. Attention Pooling and Dense Projection: Temporal attention computes a context vector, which is projected through a 128-dimensional dense layer with Dropout (p = 0.4) to the 5-class softmax output.</w:t>
      </w:r>
    </w:p>
    <w:p>
      <w:pPr>
        <w:pStyle w:val="Heading2"/>
      </w:pPr>
      <w:r>
        <w:t>4.4 Audio Behaviour Analysis Engine</w:t>
      </w:r>
    </w:p>
    <w:p>
      <w:pPr>
        <w:spacing w:line="276" w:lineRule="auto" w:after="200"/>
      </w:pPr>
      <w:r>
        <w:t>In parallel with classification, our acoustic processing engine extracts objective behavioral metrics:</w:t>
        <w:br/>
        <w:t>1. Syllabic Speaking Speed: Syllable nuclei are detected using smoothed energy envelope peaks and vowel-onset spectral flux across active speech duration. Tempo is categorized as Slow (&lt; 2.2 syl/s), Normal (2.2 - 3.8 syl/s), or Fast (&gt; 3.8 syl/s).</w:t>
        <w:br/>
        <w:t>2. Pause Frequency and Silence Ratio: Using frame-level energy thresholding with Voice Activity Detection (threshold set to -35 dB relative to peak energy), contiguous non-speech regions &gt; 200 ms are classified as pauses.</w:t>
        <w:br/>
        <w:t>3. Vocal Energy Dynamics: Short-time Root-Mean-Square (RMS) energy is computed over frames of length N = 512. Loudness variability is measured through the standard deviation of frame-wise energy.</w:t>
        <w:br/>
        <w:t>4. Fundamental Frequency Intonation (F0): We employ the probabilistic YIN (pYIN) algorithm [29] to track fundamental pitch F0(t) across voiced frames within [50, 450] Hz.</w:t>
      </w:r>
    </w:p>
    <w:p>
      <w:pPr>
        <w:pStyle w:val="Heading1"/>
        <w:spacing w:before="280"/>
      </w:pPr>
      <w:r>
        <w:t>5. Experimental Setup &amp; Training Protocols</w:t>
      </w:r>
    </w:p>
    <w:p>
      <w:pPr>
        <w:spacing w:line="276" w:lineRule="auto" w:after="200"/>
      </w:pPr>
      <w:r>
        <w:t>Models were trained using the AdamW optimizer (weight decay lambda = 0.01) with Cosine Annealing learning rate schedules. Transformer backbones utilized a base learning rate of 1e-5 and head rate of 1e-3. The CNN-BiLSTM was optimized at 5e-4 with ReduceLROnPlateau. Class-weighted cross-entropy loss was applied to mitigate class imbalances. Training and inference were executed on Apple Silicon Metal Performance Shaders (mps), yielding an average per-utterance latency of 38.4 ms. Models were evaluated using Overall Accuracy, Macro-Averaged F1-score, and Unweighted Average Recall (UAR).</w:t>
      </w:r>
    </w:p>
    <w:p>
      <w:pPr>
        <w:pStyle w:val="Heading1"/>
        <w:spacing w:before="280"/>
      </w:pPr>
      <w:r>
        <w:t>6. Multi-Model Benchmark Results &amp; Comparative Analysis</w:t>
      </w:r>
    </w:p>
    <w:p>
      <w:pPr>
        <w:pStyle w:val="Heading2"/>
      </w:pPr>
      <w:r>
        <w:t>6.1 Multi-Corpus Universal Foundation Model</w:t>
      </w:r>
    </w:p>
    <w:p>
      <w:pPr>
        <w:spacing w:line="276" w:lineRule="auto" w:after="160"/>
      </w:pPr>
      <w:r>
        <w:t>To evaluate whether a unified model can generalize across diverse acoustic environments, accents, and recording conditions, a Universal HuBERT Foundation Model was trained on the combined dataset (121 speakers) and evaluated against 1,701 unseen multi-corpus test utterances.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before="60" w:after="60"/>
            </w:pPr>
            <w:r>
              <w:rPr>
                <w:b/>
                <w:sz w:val="17"/>
              </w:rPr>
              <w:t>Model Architecture</w:t>
            </w:r>
          </w:p>
        </w:tc>
        <w:tc>
          <w:tcPr>
            <w:tcW w:type="dxa" w:w="1872"/>
            <w:shd w:fill="E2E8F0"/>
            <w:tcMar>
              <w:top w:w="80" w:type="dxa"/>
              <w:bottom w:w="80" w:type="dxa"/>
              <w:left w:w="100" w:type="dxa"/>
              <w:right w:w="100" w:type="dxa"/>
            </w:tcMar>
          </w:tcPr>
          <w:p>
            <w:pPr>
              <w:spacing w:before="60" w:after="60"/>
            </w:pPr>
            <w:r>
              <w:rPr>
                <w:b/>
                <w:sz w:val="17"/>
              </w:rPr>
              <w:t>Test Accuracy</w:t>
            </w:r>
          </w:p>
        </w:tc>
        <w:tc>
          <w:tcPr>
            <w:tcW w:type="dxa" w:w="1872"/>
            <w:shd w:fill="E2E8F0"/>
            <w:tcMar>
              <w:top w:w="80" w:type="dxa"/>
              <w:bottom w:w="80" w:type="dxa"/>
              <w:left w:w="100" w:type="dxa"/>
              <w:right w:w="100" w:type="dxa"/>
            </w:tcMar>
          </w:tcPr>
          <w:p>
            <w:pPr>
              <w:spacing w:before="60" w:after="60"/>
            </w:pPr>
            <w:r>
              <w:rPr>
                <w:b/>
                <w:sz w:val="17"/>
              </w:rPr>
              <w:t>Macro-F1</w:t>
            </w:r>
          </w:p>
        </w:tc>
        <w:tc>
          <w:tcPr>
            <w:tcW w:type="dxa" w:w="1872"/>
            <w:shd w:fill="E2E8F0"/>
            <w:tcMar>
              <w:top w:w="80" w:type="dxa"/>
              <w:bottom w:w="80" w:type="dxa"/>
              <w:left w:w="100" w:type="dxa"/>
              <w:right w:w="100" w:type="dxa"/>
            </w:tcMar>
          </w:tcPr>
          <w:p>
            <w:pPr>
              <w:spacing w:before="60" w:after="60"/>
            </w:pPr>
            <w:r>
              <w:rPr>
                <w:b/>
                <w:sz w:val="17"/>
              </w:rPr>
              <w:t>Test UAR</w:t>
            </w:r>
          </w:p>
        </w:tc>
        <w:tc>
          <w:tcPr>
            <w:tcW w:type="dxa" w:w="1872"/>
            <w:shd w:fill="E2E8F0"/>
            <w:tcMar>
              <w:top w:w="80" w:type="dxa"/>
              <w:bottom w:w="80" w:type="dxa"/>
              <w:left w:w="100" w:type="dxa"/>
              <w:right w:w="100" w:type="dxa"/>
            </w:tcMar>
          </w:tcPr>
          <w:p>
            <w:pPr>
              <w:spacing w:before="60" w:after="60"/>
            </w:pPr>
            <w:r>
              <w:rPr>
                <w:b/>
                <w:sz w:val="17"/>
              </w:rPr>
              <w:t>Chance Level</w:t>
            </w:r>
          </w:p>
        </w:tc>
      </w:tr>
      <w:tr>
        <w:tc>
          <w:tcPr>
            <w:tcW w:type="dxa" w:w="1872"/>
            <w:shd w:fill="F1F5F9"/>
            <w:tcMar>
              <w:top w:w="80" w:type="dxa"/>
              <w:bottom w:w="80" w:type="dxa"/>
              <w:left w:w="100" w:type="dxa"/>
              <w:right w:w="100" w:type="dxa"/>
            </w:tcMar>
          </w:tcPr>
          <w:p>
            <w:pPr>
              <w:spacing w:before="60" w:after="60"/>
            </w:pPr>
            <w:r>
              <w:rPr>
                <w:b/>
                <w:sz w:val="17"/>
              </w:rPr>
              <w:t>Universal HuBERT (Frozen Transfer)</w:t>
            </w:r>
          </w:p>
        </w:tc>
        <w:tc>
          <w:tcPr>
            <w:tcW w:type="dxa" w:w="1872"/>
            <w:shd w:fill="F1F5F9"/>
            <w:tcMar>
              <w:top w:w="80" w:type="dxa"/>
              <w:bottom w:w="80" w:type="dxa"/>
              <w:left w:w="100" w:type="dxa"/>
              <w:right w:w="100" w:type="dxa"/>
            </w:tcMar>
          </w:tcPr>
          <w:p>
            <w:pPr>
              <w:spacing w:before="60" w:after="60"/>
            </w:pPr>
            <w:r>
              <w:rPr>
                <w:b/>
                <w:sz w:val="17"/>
              </w:rPr>
              <w:t>68.31%</w:t>
            </w:r>
          </w:p>
        </w:tc>
        <w:tc>
          <w:tcPr>
            <w:tcW w:type="dxa" w:w="1872"/>
            <w:shd w:fill="F1F5F9"/>
            <w:tcMar>
              <w:top w:w="80" w:type="dxa"/>
              <w:bottom w:w="80" w:type="dxa"/>
              <w:left w:w="100" w:type="dxa"/>
              <w:right w:w="100" w:type="dxa"/>
            </w:tcMar>
          </w:tcPr>
          <w:p>
            <w:pPr>
              <w:spacing w:before="60" w:after="60"/>
            </w:pPr>
            <w:r>
              <w:rPr>
                <w:b/>
                <w:sz w:val="17"/>
              </w:rPr>
              <w:t>0.6779</w:t>
            </w:r>
          </w:p>
        </w:tc>
        <w:tc>
          <w:tcPr>
            <w:tcW w:type="dxa" w:w="1872"/>
            <w:shd w:fill="F1F5F9"/>
            <w:tcMar>
              <w:top w:w="80" w:type="dxa"/>
              <w:bottom w:w="80" w:type="dxa"/>
              <w:left w:w="100" w:type="dxa"/>
              <w:right w:w="100" w:type="dxa"/>
            </w:tcMar>
          </w:tcPr>
          <w:p>
            <w:pPr>
              <w:spacing w:before="60" w:after="60"/>
            </w:pPr>
            <w:r>
              <w:rPr>
                <w:b/>
                <w:sz w:val="17"/>
              </w:rPr>
              <w:t>68.61%</w:t>
            </w:r>
          </w:p>
        </w:tc>
        <w:tc>
          <w:tcPr>
            <w:tcW w:type="dxa" w:w="1872"/>
            <w:shd w:fill="F1F5F9"/>
            <w:tcMar>
              <w:top w:w="80" w:type="dxa"/>
              <w:bottom w:w="80" w:type="dxa"/>
              <w:left w:w="100" w:type="dxa"/>
              <w:right w:w="100" w:type="dxa"/>
            </w:tcMar>
          </w:tcPr>
          <w:p>
            <w:pPr>
              <w:spacing w:before="60" w:after="60"/>
            </w:pPr>
            <w:r>
              <w:rPr>
                <w:b/>
                <w:sz w:val="17"/>
              </w:rPr>
              <w:t>16.67%</w:t>
            </w:r>
          </w:p>
        </w:tc>
      </w:tr>
      <w:tr>
        <w:tc>
          <w:tcPr>
            <w:tcW w:type="dxa" w:w="1872"/>
            <w:tcMar>
              <w:top w:w="80" w:type="dxa"/>
              <w:bottom w:w="80" w:type="dxa"/>
              <w:left w:w="100" w:type="dxa"/>
              <w:right w:w="100" w:type="dxa"/>
            </w:tcMar>
          </w:tcPr>
          <w:p>
            <w:pPr>
              <w:spacing w:before="60" w:after="60"/>
            </w:pPr>
            <w:r>
              <w:rPr>
                <w:sz w:val="17"/>
              </w:rPr>
              <w:t>Soft-Voting Multi-Corpus Ensemble</w:t>
            </w:r>
          </w:p>
        </w:tc>
        <w:tc>
          <w:tcPr>
            <w:tcW w:type="dxa" w:w="1872"/>
            <w:tcMar>
              <w:top w:w="80" w:type="dxa"/>
              <w:bottom w:w="80" w:type="dxa"/>
              <w:left w:w="100" w:type="dxa"/>
              <w:right w:w="100" w:type="dxa"/>
            </w:tcMar>
          </w:tcPr>
          <w:p>
            <w:pPr>
              <w:spacing w:before="60" w:after="60"/>
            </w:pPr>
            <w:r>
              <w:rPr>
                <w:sz w:val="17"/>
              </w:rPr>
              <w:t>67.43%</w:t>
            </w:r>
          </w:p>
        </w:tc>
        <w:tc>
          <w:tcPr>
            <w:tcW w:type="dxa" w:w="1872"/>
            <w:tcMar>
              <w:top w:w="80" w:type="dxa"/>
              <w:bottom w:w="80" w:type="dxa"/>
              <w:left w:w="100" w:type="dxa"/>
              <w:right w:w="100" w:type="dxa"/>
            </w:tcMar>
          </w:tcPr>
          <w:p>
            <w:pPr>
              <w:spacing w:before="60" w:after="60"/>
            </w:pPr>
            <w:r>
              <w:rPr>
                <w:sz w:val="17"/>
              </w:rPr>
              <w:t>0.6692</w:t>
            </w:r>
          </w:p>
        </w:tc>
        <w:tc>
          <w:tcPr>
            <w:tcW w:type="dxa" w:w="1872"/>
            <w:tcMar>
              <w:top w:w="80" w:type="dxa"/>
              <w:bottom w:w="80" w:type="dxa"/>
              <w:left w:w="100" w:type="dxa"/>
              <w:right w:w="100" w:type="dxa"/>
            </w:tcMar>
          </w:tcPr>
          <w:p>
            <w:pPr>
              <w:spacing w:before="60" w:after="60"/>
            </w:pPr>
            <w:r>
              <w:rPr>
                <w:sz w:val="17"/>
              </w:rPr>
              <w:t>67.80%</w:t>
            </w:r>
          </w:p>
        </w:tc>
        <w:tc>
          <w:tcPr>
            <w:tcW w:type="dxa" w:w="1872"/>
            <w:tcMar>
              <w:top w:w="80" w:type="dxa"/>
              <w:bottom w:w="80" w:type="dxa"/>
              <w:left w:w="100" w:type="dxa"/>
              <w:right w:w="100" w:type="dxa"/>
            </w:tcMar>
          </w:tcPr>
          <w:p>
            <w:pPr>
              <w:spacing w:before="60" w:after="60"/>
            </w:pPr>
            <w:r>
              <w:rPr>
                <w:sz w:val="17"/>
              </w:rPr>
              <w:t>16.67%</w:t>
            </w:r>
          </w:p>
        </w:tc>
      </w:tr>
      <w:tr>
        <w:tc>
          <w:tcPr>
            <w:tcW w:type="dxa" w:w="1872"/>
            <w:shd w:fill="F8FAFC"/>
            <w:tcMar>
              <w:top w:w="80" w:type="dxa"/>
              <w:bottom w:w="80" w:type="dxa"/>
              <w:left w:w="100" w:type="dxa"/>
              <w:right w:w="100" w:type="dxa"/>
            </w:tcMar>
          </w:tcPr>
          <w:p>
            <w:pPr>
              <w:spacing w:before="60" w:after="60"/>
            </w:pPr>
            <w:r>
              <w:rPr>
                <w:sz w:val="17"/>
              </w:rPr>
              <w:t>Wav2Vec2 Base (Direct Combined)</w:t>
            </w:r>
          </w:p>
        </w:tc>
        <w:tc>
          <w:tcPr>
            <w:tcW w:type="dxa" w:w="1872"/>
            <w:shd w:fill="F8FAFC"/>
            <w:tcMar>
              <w:top w:w="80" w:type="dxa"/>
              <w:bottom w:w="80" w:type="dxa"/>
              <w:left w:w="100" w:type="dxa"/>
              <w:right w:w="100" w:type="dxa"/>
            </w:tcMar>
          </w:tcPr>
          <w:p>
            <w:pPr>
              <w:spacing w:before="60" w:after="60"/>
            </w:pPr>
            <w:r>
              <w:rPr>
                <w:sz w:val="17"/>
              </w:rPr>
              <w:t>63.26%</w:t>
            </w:r>
          </w:p>
        </w:tc>
        <w:tc>
          <w:tcPr>
            <w:tcW w:type="dxa" w:w="1872"/>
            <w:shd w:fill="F8FAFC"/>
            <w:tcMar>
              <w:top w:w="80" w:type="dxa"/>
              <w:bottom w:w="80" w:type="dxa"/>
              <w:left w:w="100" w:type="dxa"/>
              <w:right w:w="100" w:type="dxa"/>
            </w:tcMar>
          </w:tcPr>
          <w:p>
            <w:pPr>
              <w:spacing w:before="60" w:after="60"/>
            </w:pPr>
            <w:r>
              <w:rPr>
                <w:sz w:val="17"/>
              </w:rPr>
              <w:t>0.6215</w:t>
            </w:r>
          </w:p>
        </w:tc>
        <w:tc>
          <w:tcPr>
            <w:tcW w:type="dxa" w:w="1872"/>
            <w:shd w:fill="F8FAFC"/>
            <w:tcMar>
              <w:top w:w="80" w:type="dxa"/>
              <w:bottom w:w="80" w:type="dxa"/>
              <w:left w:w="100" w:type="dxa"/>
              <w:right w:w="100" w:type="dxa"/>
            </w:tcMar>
          </w:tcPr>
          <w:p>
            <w:pPr>
              <w:spacing w:before="60" w:after="60"/>
            </w:pPr>
            <w:r>
              <w:rPr>
                <w:sz w:val="17"/>
              </w:rPr>
              <w:t>63.50%</w:t>
            </w:r>
          </w:p>
        </w:tc>
        <w:tc>
          <w:tcPr>
            <w:tcW w:type="dxa" w:w="1872"/>
            <w:shd w:fill="F8FAFC"/>
            <w:tcMar>
              <w:top w:w="80" w:type="dxa"/>
              <w:bottom w:w="80" w:type="dxa"/>
              <w:left w:w="100" w:type="dxa"/>
              <w:right w:w="100" w:type="dxa"/>
            </w:tcMar>
          </w:tcPr>
          <w:p>
            <w:pPr>
              <w:spacing w:before="60" w:after="60"/>
            </w:pPr>
            <w:r>
              <w:rPr>
                <w:sz w:val="17"/>
              </w:rPr>
              <w:t>16.67%</w:t>
            </w:r>
          </w:p>
        </w:tc>
      </w:tr>
      <w:tr>
        <w:tc>
          <w:tcPr>
            <w:tcW w:type="dxa" w:w="1872"/>
            <w:tcMar>
              <w:top w:w="80" w:type="dxa"/>
              <w:bottom w:w="80" w:type="dxa"/>
              <w:left w:w="100" w:type="dxa"/>
              <w:right w:w="100" w:type="dxa"/>
            </w:tcMar>
          </w:tcPr>
          <w:p>
            <w:pPr>
              <w:spacing w:before="60" w:after="60"/>
            </w:pPr>
            <w:r>
              <w:rPr>
                <w:sz w:val="17"/>
              </w:rPr>
              <w:t>MFCC + LSTM Multi-Corpus Baseline</w:t>
            </w:r>
          </w:p>
        </w:tc>
        <w:tc>
          <w:tcPr>
            <w:tcW w:type="dxa" w:w="1872"/>
            <w:tcMar>
              <w:top w:w="80" w:type="dxa"/>
              <w:bottom w:w="80" w:type="dxa"/>
              <w:left w:w="100" w:type="dxa"/>
              <w:right w:w="100" w:type="dxa"/>
            </w:tcMar>
          </w:tcPr>
          <w:p>
            <w:pPr>
              <w:spacing w:before="60" w:after="60"/>
            </w:pPr>
            <w:r>
              <w:rPr>
                <w:sz w:val="17"/>
              </w:rPr>
              <w:t>44.15%</w:t>
            </w:r>
          </w:p>
        </w:tc>
        <w:tc>
          <w:tcPr>
            <w:tcW w:type="dxa" w:w="1872"/>
            <w:tcMar>
              <w:top w:w="80" w:type="dxa"/>
              <w:bottom w:w="80" w:type="dxa"/>
              <w:left w:w="100" w:type="dxa"/>
              <w:right w:w="100" w:type="dxa"/>
            </w:tcMar>
          </w:tcPr>
          <w:p>
            <w:pPr>
              <w:spacing w:before="60" w:after="60"/>
            </w:pPr>
            <w:r>
              <w:rPr>
                <w:sz w:val="17"/>
              </w:rPr>
              <w:t>0.4120</w:t>
            </w:r>
          </w:p>
        </w:tc>
        <w:tc>
          <w:tcPr>
            <w:tcW w:type="dxa" w:w="1872"/>
            <w:tcMar>
              <w:top w:w="80" w:type="dxa"/>
              <w:bottom w:w="80" w:type="dxa"/>
              <w:left w:w="100" w:type="dxa"/>
              <w:right w:w="100" w:type="dxa"/>
            </w:tcMar>
          </w:tcPr>
          <w:p>
            <w:pPr>
              <w:spacing w:before="60" w:after="60"/>
            </w:pPr>
            <w:r>
              <w:rPr>
                <w:sz w:val="17"/>
              </w:rPr>
              <w:t>43.82%</w:t>
            </w:r>
          </w:p>
        </w:tc>
        <w:tc>
          <w:tcPr>
            <w:tcW w:type="dxa" w:w="1872"/>
            <w:tcMar>
              <w:top w:w="80" w:type="dxa"/>
              <w:bottom w:w="80" w:type="dxa"/>
              <w:left w:w="100" w:type="dxa"/>
              <w:right w:w="100" w:type="dxa"/>
            </w:tcMar>
          </w:tcPr>
          <w:p>
            <w:pPr>
              <w:spacing w:before="60" w:after="60"/>
            </w:pPr>
            <w:r>
              <w:rPr>
                <w:sz w:val="17"/>
              </w:rPr>
              <w:t>16.67%</w:t>
            </w:r>
          </w:p>
        </w:tc>
      </w:tr>
      <w:tr>
        <w:tc>
          <w:tcPr>
            <w:tcW w:type="dxa" w:w="1872"/>
            <w:shd w:fill="F8FAFC"/>
            <w:tcMar>
              <w:top w:w="80" w:type="dxa"/>
              <w:bottom w:w="80" w:type="dxa"/>
              <w:left w:w="100" w:type="dxa"/>
              <w:right w:w="100" w:type="dxa"/>
            </w:tcMar>
          </w:tcPr>
          <w:p>
            <w:pPr>
              <w:spacing w:before="60" w:after="60"/>
            </w:pPr>
            <w:r>
              <w:rPr>
                <w:sz w:val="17"/>
              </w:rPr>
              <w:t>Random Chance Baseline</w:t>
            </w:r>
          </w:p>
        </w:tc>
        <w:tc>
          <w:tcPr>
            <w:tcW w:type="dxa" w:w="1872"/>
            <w:shd w:fill="F8FAFC"/>
            <w:tcMar>
              <w:top w:w="80" w:type="dxa"/>
              <w:bottom w:w="80" w:type="dxa"/>
              <w:left w:w="100" w:type="dxa"/>
              <w:right w:w="100" w:type="dxa"/>
            </w:tcMar>
          </w:tcPr>
          <w:p>
            <w:pPr>
              <w:spacing w:before="60" w:after="60"/>
            </w:pPr>
            <w:r>
              <w:rPr>
                <w:sz w:val="17"/>
              </w:rPr>
              <w:t>16.67%</w:t>
            </w:r>
          </w:p>
        </w:tc>
        <w:tc>
          <w:tcPr>
            <w:tcW w:type="dxa" w:w="1872"/>
            <w:shd w:fill="F8FAFC"/>
            <w:tcMar>
              <w:top w:w="80" w:type="dxa"/>
              <w:bottom w:w="80" w:type="dxa"/>
              <w:left w:w="100" w:type="dxa"/>
              <w:right w:w="100" w:type="dxa"/>
            </w:tcMar>
          </w:tcPr>
          <w:p>
            <w:pPr>
              <w:spacing w:before="60" w:after="60"/>
            </w:pPr>
            <w:r>
              <w:rPr>
                <w:sz w:val="17"/>
              </w:rPr>
              <w:t>0.1667</w:t>
            </w:r>
          </w:p>
        </w:tc>
        <w:tc>
          <w:tcPr>
            <w:tcW w:type="dxa" w:w="1872"/>
            <w:shd w:fill="F8FAFC"/>
            <w:tcMar>
              <w:top w:w="80" w:type="dxa"/>
              <w:bottom w:w="80" w:type="dxa"/>
              <w:left w:w="100" w:type="dxa"/>
              <w:right w:w="100" w:type="dxa"/>
            </w:tcMar>
          </w:tcPr>
          <w:p>
            <w:pPr>
              <w:spacing w:before="60" w:after="60"/>
            </w:pPr>
            <w:r>
              <w:rPr>
                <w:sz w:val="17"/>
              </w:rPr>
              <w:t>16.67%</w:t>
            </w:r>
          </w:p>
        </w:tc>
        <w:tc>
          <w:tcPr>
            <w:tcW w:type="dxa" w:w="1872"/>
            <w:shd w:fill="F8FAFC"/>
            <w:tcMar>
              <w:top w:w="80" w:type="dxa"/>
              <w:bottom w:w="80" w:type="dxa"/>
              <w:left w:w="100" w:type="dxa"/>
              <w:right w:w="100" w:type="dxa"/>
            </w:tcMar>
          </w:tcPr>
          <w:p>
            <w:pPr>
              <w:spacing w:before="60" w:after="60"/>
            </w:pPr>
            <w:r>
              <w:rPr>
                <w:sz w:val="17"/>
              </w:rPr>
              <w:t>16.67%</w:t>
            </w:r>
          </w:p>
        </w:tc>
      </w:tr>
    </w:tbl>
    <w:p>
      <w:pPr>
        <w:spacing w:after="160"/>
      </w:pPr>
    </w:p>
    <w:p>
      <w:pPr>
        <w:jc w:val="center"/>
      </w:pPr>
      <w:r>
        <w:drawing>
          <wp:inline xmlns:a="http://schemas.openxmlformats.org/drawingml/2006/main" xmlns:pic="http://schemas.openxmlformats.org/drawingml/2006/picture">
            <wp:extent cx="5486400" cy="2900309"/>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0"/>
                    <a:stretch>
                      <a:fillRect/>
                    </a:stretch>
                  </pic:blipFill>
                  <pic:spPr>
                    <a:xfrm>
                      <a:off x="0" y="0"/>
                      <a:ext cx="5486400" cy="2900309"/>
                    </a:xfrm>
                    <a:prstGeom prst="rect"/>
                  </pic:spPr>
                </pic:pic>
              </a:graphicData>
            </a:graphic>
          </wp:inline>
        </w:drawing>
      </w:r>
    </w:p>
    <w:p>
      <w:pPr>
        <w:spacing w:after="240"/>
        <w:jc w:val="center"/>
      </w:pPr>
      <w:r>
        <w:rPr>
          <w:b/>
          <w:color w:val="475569"/>
          <w:sz w:val="19"/>
        </w:rPr>
        <w:t>Figure 3: Benchmark Test Performance Across All Five Corpora and Multi-Corpus Evaluation.</w:t>
      </w:r>
    </w:p>
    <w:p>
      <w:pPr>
        <w:pStyle w:val="Heading2"/>
      </w:pPr>
      <w:r>
        <w:t>6.2 In-Domain Multi-Corpus Summary</w:t>
      </w:r>
    </w:p>
    <w:p>
      <w:pPr>
        <w:spacing w:line="276" w:lineRule="auto" w:after="200"/>
      </w:pPr>
      <w:r>
        <w:t>• CREMA-D (91 Actors, 13 Unseen Test Actors): Soft-Voting Top-5 Ensemble achieved 75.57% Accuracy and 0.7594 Macro-F1. HuBERT with Learnable Layer Pooling reached 71.98% Accuracy, outperforming Wav2Vec2 Base (69.25%) and MFCC+CNN-BiLSTM (62.80%).</w:t>
        <w:br/>
        <w:t>• RAVDESS (24 Actors, Actors 21 to 24 Unseen): Transfer ensemble achieved 73.75% Accuracy. Transfer from CREMA-D pre-training to RAVDESS produced 72.92% Accuracy, compared to 32.50% when trained from scratch on RAVDESS alone.</w:t>
        <w:br/>
        <w:t>• SAVEE (4 Actors, Actor KL Unseen): Transfer ensemble reached 51.67% Accuracy and 0.3860 Macro-F1, doubling the scratch baseline of 25.0% which suffered from vocal tract overfitting.</w:t>
        <w:br/>
        <w:t>• TESS (2 Actresses, 200 Words, 30 Unseen Target Words): All SSL foundation models achieved 100.00% Accuracy and 1.0000 Macro-F1, confirming word-independent emotional generalization across both actresses.</w:t>
      </w:r>
    </w:p>
    <w:p>
      <w:pPr>
        <w:pStyle w:val="Heading1"/>
        <w:spacing w:before="280"/>
      </w:pPr>
      <w:r>
        <w:t>7. Empirical Findings &amp; Ablation Studies</w:t>
      </w:r>
    </w:p>
    <w:p>
      <w:pPr>
        <w:pStyle w:val="Heading2"/>
      </w:pPr>
      <w:r>
        <w:t>7.1 The Speaker Diversity Effect</w:t>
      </w:r>
    </w:p>
    <w:p>
      <w:pPr>
        <w:spacing w:line="276" w:lineRule="auto" w:after="160"/>
      </w:pPr>
      <w: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pStyle w:val="Heading2"/>
      </w:pPr>
      <w:r>
        <w:t>7.2 Layer Weight Distribution Across Transformer Depth</w:t>
      </w:r>
    </w:p>
    <w:p>
      <w:pPr>
        <w:spacing w:line="276" w:lineRule="auto" w:after="160"/>
      </w:pPr>
      <w:r>
        <w:t>Figure 2 illustrates the learned softmax weights alpha across the 12 transformer encoder blocks. Layers 1 to 4 receive moderate weights (0.071 to 0.076), encoding low-level spectral properties. Layers 9 to 11 reach peak weighting (alpha_9 = 0.108, alpha_10 = 0.114, alpha_11 = 0.111), capturing 33.3% of the total layer weight. These layers represent intonation and prosodic trajectories. Layer 12 drops to 0.092 as the representation shifts toward phonetic recognition.</w:t>
      </w:r>
    </w:p>
    <w:p>
      <w:pPr>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1"/>
                    <a:stretch>
                      <a:fillRect/>
                    </a:stretch>
                  </pic:blipFill>
                  <pic:spPr>
                    <a:xfrm>
                      <a:off x="0" y="0"/>
                      <a:ext cx="5303520" cy="2813031"/>
                    </a:xfrm>
                    <a:prstGeom prst="rect"/>
                  </pic:spPr>
                </pic:pic>
              </a:graphicData>
            </a:graphic>
          </wp:inline>
        </w:drawing>
      </w:r>
    </w:p>
    <w:p>
      <w:pPr>
        <w:spacing w:after="240"/>
        <w:jc w:val="center"/>
      </w:pPr>
      <w:r>
        <w:rPr>
          <w:b/>
          <w:color w:val="475569"/>
          <w:sz w:val="19"/>
        </w:rPr>
        <w:t>Figure 2: Empirical Layer Weight Distribution in Learnable Weighted Layer Pooling.</w:t>
      </w:r>
    </w:p>
    <w:p>
      <w:pPr>
        <w:pStyle w:val="Heading2"/>
      </w:pPr>
      <w:r>
        <w:t>7.3 Hindi Speech Emotion: Zero-Shot vs. Supervised Adaptation</w:t>
      </w:r>
    </w:p>
    <w:p>
      <w:pPr>
        <w:spacing w:line="276" w:lineRule="auto" w:after="160"/>
      </w:pPr>
      <w:r>
        <w:t>Evaluating the English-trained Universal HuBERT model zero-shot on native Hindi speech yielded 27.62% accuracy and 31.76% UAR (above 25.0% chance).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confusion matrix.</w:t>
      </w:r>
    </w:p>
    <w:p>
      <w:pPr>
        <w:jc w:val="center"/>
      </w:pPr>
      <w:r>
        <w:drawing>
          <wp:inline xmlns:a="http://schemas.openxmlformats.org/drawingml/2006/main" xmlns:pic="http://schemas.openxmlformats.org/drawingml/2006/picture">
            <wp:extent cx="4937760" cy="3042863"/>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2"/>
                    <a:stretch>
                      <a:fillRect/>
                    </a:stretch>
                  </pic:blipFill>
                  <pic:spPr>
                    <a:xfrm>
                      <a:off x="0" y="0"/>
                      <a:ext cx="4937760" cy="3042863"/>
                    </a:xfrm>
                    <a:prstGeom prst="rect"/>
                  </pic:spPr>
                </pic:pic>
              </a:graphicData>
            </a:graphic>
          </wp:inline>
        </w:drawing>
      </w:r>
    </w:p>
    <w:p>
      <w:pPr>
        <w:spacing w:after="200"/>
        <w:jc w:val="center"/>
      </w:pPr>
      <w:r>
        <w:rPr>
          <w:b/>
          <w:color w:val="475569"/>
          <w:sz w:val="19"/>
        </w:rPr>
        <w:t>Figure 4: Cross-Lingual Adaptation to Indic Hindi Speech (Zero-Shot vs. Supervised).</w:t>
      </w:r>
    </w:p>
    <w:p>
      <w:pPr>
        <w:jc w:val="center"/>
      </w:pPr>
      <w:r>
        <w:drawing>
          <wp:inline xmlns:a="http://schemas.openxmlformats.org/drawingml/2006/main" xmlns:pic="http://schemas.openxmlformats.org/drawingml/2006/picture">
            <wp:extent cx="4206240" cy="3809962"/>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3"/>
                    <a:stretch>
                      <a:fillRect/>
                    </a:stretch>
                  </pic:blipFill>
                  <pic:spPr>
                    <a:xfrm>
                      <a:off x="0" y="0"/>
                      <a:ext cx="4206240" cy="3809962"/>
                    </a:xfrm>
                    <a:prstGeom prst="rect"/>
                  </pic:spPr>
                </pic:pic>
              </a:graphicData>
            </a:graphic>
          </wp:inline>
        </w:drawing>
      </w:r>
    </w:p>
    <w:p>
      <w:pPr>
        <w:spacing w:after="240"/>
        <w:jc w:val="center"/>
      </w:pPr>
      <w:r>
        <w:rPr>
          <w:b/>
          <w:color w:val="475569"/>
          <w:sz w:val="19"/>
        </w:rPr>
        <w:t>Figure 5: Normalized Confusion Matrix for the Hindi Emotion Specialist Model.</w:t>
      </w:r>
    </w:p>
    <w:p>
      <w:pPr>
        <w:pStyle w:val="Heading1"/>
        <w:spacing w:before="280"/>
      </w:pPr>
      <w:r>
        <w:t>8. Speech Behavioural Intelligence &amp; Diagnostic Profiling</w:t>
      </w:r>
    </w:p>
    <w:p>
      <w:pPr>
        <w:spacing w:line="276" w:lineRule="auto" w:after="160"/>
      </w:pPr>
      <w:r>
        <w:t>Figure 6 summarizes the objective acoustic patterns extracted across emotion categories by the Behaviour Engine. Anger is characterized by elevated speaking rate (4.2 syl/s), low pause ratios (12.4%), and high energy (-16.2 dB). Sadness exhibits slow speech velocity (2.2 syl/s), frequent pauses (31.8% silence ratio), and depressed pitch (108 Hz). Calm recordings show relaxed tempo (2.3 syl/s) with gentle energy (-31.4 dB). Combining discrete classifications with continuous measurements enables the automated generation of actionable diagnostic reports.</w:t>
      </w:r>
    </w:p>
    <w:p>
      <w:pPr>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4"/>
                    <a:stretch>
                      <a:fillRect/>
                    </a:stretch>
                  </pic:blipFill>
                  <pic:spPr>
                    <a:xfrm>
                      <a:off x="0" y="0"/>
                      <a:ext cx="5486400" cy="3802069"/>
                    </a:xfrm>
                    <a:prstGeom prst="rect"/>
                  </pic:spPr>
                </pic:pic>
              </a:graphicData>
            </a:graphic>
          </wp:inline>
        </w:drawing>
      </w:r>
    </w:p>
    <w:p>
      <w:pPr>
        <w:spacing w:after="240"/>
        <w:jc w:val="center"/>
      </w:pPr>
      <w:r>
        <w:rPr>
          <w:b/>
          <w:color w:val="475569"/>
          <w:sz w:val="19"/>
        </w:rPr>
        <w:t>Figure 6: Multimodal Acoustic Behaviour Profiles Across Emotion Categories.</w:t>
      </w:r>
    </w:p>
    <w:p>
      <w:pPr>
        <w:pStyle w:val="Heading1"/>
        <w:spacing w:before="280"/>
      </w:pPr>
      <w:r>
        <w:t>9. Full-Stack Implementation &amp; Web Application</w:t>
      </w:r>
    </w:p>
    <w:p>
      <w:pPr>
        <w:spacing w:line="276" w:lineRule="auto" w:after="200"/>
      </w:pPr>
      <w:r>
        <w:t>The complete architecture was deployed as a production-ready application:</w:t>
        <w:br/>
        <w:t>• Backend REST Microservice: Implemented in FastAPI (scripts/inference_api.py and web/server.py), serving /predict, /models, /health, and pre-configured benchmark audio streams under Apple Silicon Metal Performance Shaders acceleration.</w:t>
        <w:br/>
        <w:t>• Frontend Web Studio: Developed in Next.js 16 (React 19, TypeScript) following a clean, minimal white-mode aesthetic. Features a real-time audio waveform visualizer connected to the microphone stream during recording and the audio element during file playback, alongside benchmark sample buttons and clear emotion telemetry cards.</w:t>
      </w:r>
    </w:p>
    <w:p>
      <w:pPr>
        <w:pStyle w:val="Heading1"/>
        <w:spacing w:before="280"/>
      </w:pPr>
      <w:r>
        <w:t>10. Limitations &amp; Ethical Considerations</w:t>
      </w:r>
    </w:p>
    <w:p>
      <w:pPr>
        <w:spacing w:line="276" w:lineRule="auto" w:after="200"/>
      </w:pPr>
      <w:r>
        <w:t>1. Acoustic Channel Variability: Real-world telephony introduces background noise and lossy codecs (e.g., AMR, G.711). Future iterations should incorporate data augmentation with simulated room impulse responses.</w:t>
        <w:br/>
        <w:t>2. Subjective Ground Truth: Emotion labels reflect external perception rather than internal neurophysiological state.</w:t>
        <w:br/>
        <w:t>3. Indic Dialectal Breadth: Hindi encompasses multiple regional dialects. Future work will expand training corpora to cover additional regional variants.</w:t>
      </w:r>
    </w:p>
    <w:p>
      <w:pPr>
        <w:pStyle w:val="Heading1"/>
        <w:spacing w:before="280"/>
      </w:pPr>
      <w:r>
        <w:t>11. Conclusion</w:t>
      </w:r>
    </w:p>
    <w:p>
      <w:pPr>
        <w:spacing w:line="276" w:lineRule="auto" w:after="240"/>
      </w:pPr>
      <w:r>
        <w:t>This research evaluated speech emotion recognition across multi-corpus and cross-lingual settings. The primary conclusions are:</w:t>
        <w:br/>
        <w:t>1. Learnable Weighted Layer Pooling demonstrates that intermediate transformer layers (Layers 9 to 11) capture the highest concentration of emotional prosody, outperforming top-layer pooling.</w:t>
        <w:br/>
        <w:t>2. Speaker Diversity is essential for generalization: models trained on minimal speaker cohorts overfit speaker identity, whereas pre-training across larger cohorts supports speaker-independent evaluation.</w:t>
        <w:br/>
        <w:t>3. Cross-Lingual Transfer: English pre-trained models transfer moderately above chance to native Hindi speech, but supervised adaptation using specialized CNN-BiLSTM networks achieves 75.19% accuracy.</w:t>
        <w:br/>
        <w:t>4. Behavioural Metrics: Combining discrete emotion classification with continuous acoustic measurements (speech rate, pause metrics, energy, and pitch) provides a more comprehensive vocal assessment.</w:t>
      </w:r>
    </w:p>
    <w:p>
      <w:pPr>
        <w:pStyle w:val="Heading1"/>
        <w:spacing w:before="280" w:after="120"/>
      </w:pPr>
      <w:r>
        <w:t>12. Academic References (IEEE Style)</w:t>
      </w:r>
    </w:p>
    <w:p>
      <w:pPr>
        <w:spacing w:line="264" w:lineRule="auto" w:after="80"/>
        <w:ind w:left="504" w:hanging="504"/>
      </w:pPr>
      <w:r>
        <w:rPr>
          <w:color w:val="334155"/>
          <w:sz w:val="19"/>
        </w:rPr>
        <w:t>[1] S. Kotian and S. Singh, "Evaluating the Impact of Behavioural Features on Hindi Speech Emotion Recognition: A Multimodal Deep Learning Approach," International Journal of Applied Artificial Intelligence and Robotics, vol. 2, no. 1, pp. 1-10, 2026.</w:t>
      </w:r>
    </w:p>
    <w:p>
      <w:pPr>
        <w:spacing w:line="264" w:lineRule="auto" w:after="80"/>
        <w:ind w:left="504" w:hanging="504"/>
      </w:pPr>
      <w:r>
        <w:rPr>
          <w:color w:val="334155"/>
          <w:sz w:val="19"/>
        </w:rPr>
        <w:t>[2] S. Kotian and S. Singh, "Benchmarking Classical, Deep Learning and Transformer Models for Hindi Speech Emotion Recognition: A Multimodal Analysis," Interdisciplinary Journal of AI, Machine Learning &amp; Data Science, vol. 1, no. 1, art. e001, 2026, doi: 10.66261/fetdj998.</w:t>
      </w:r>
    </w:p>
    <w:p>
      <w:pPr>
        <w:spacing w:line="264" w:lineRule="auto" w:after="80"/>
        <w:ind w:left="504" w:hanging="504"/>
      </w:pPr>
      <w:r>
        <w:rPr>
          <w:color w:val="334155"/>
          <w:sz w:val="19"/>
        </w:rPr>
        <w:t>[3] K. Chauhan and M. Sharma, "MNITJ-SEHSD: A Hindi Emotional Speech Database," IEEE Transactions on Affective Computing, vol. 14, no. 3, pp. 2105-2117, 2023.</w:t>
      </w:r>
    </w:p>
    <w:p>
      <w:pPr>
        <w:spacing w:line="264" w:lineRule="auto" w:after="80"/>
        <w:ind w:left="504" w:hanging="504"/>
      </w:pPr>
      <w:r>
        <w:rPr>
          <w:color w:val="334155"/>
          <w:sz w:val="19"/>
        </w:rPr>
        <w:t>[4] R. Mehra and N. Verma, "A Comprehensive Review of Speech Emotion Recognition in Indic Languages," ACM Computing Surveys, vol. 55, no. 4, pp. 1-36, 2022.</w:t>
      </w:r>
    </w:p>
    <w:p>
      <w:pPr>
        <w:spacing w:line="264" w:lineRule="auto" w:after="80"/>
        <w:ind w:left="504" w:hanging="504"/>
      </w:pPr>
      <w:r>
        <w:rPr>
          <w:color w:val="334155"/>
          <w:sz w:val="19"/>
        </w:rPr>
        <w:t>[5] P. Kawade and V. Jagtap, "Cross-Lingual Acoustic Modeling for Indian Speech Emotion Recognition," in Proc. Interspeech, 2024, pp. 3120-3124.</w:t>
      </w:r>
    </w:p>
    <w:p>
      <w:pPr>
        <w:spacing w:line="264" w:lineRule="auto" w:after="80"/>
        <w:ind w:left="504" w:hanging="504"/>
      </w:pPr>
      <w:r>
        <w:rPr>
          <w:color w:val="334155"/>
          <w:sz w:val="19"/>
        </w:rPr>
        <w:t>[6] Z. Ma, Z. Zheng, J. Ye, J. Li, Y. Guan, and S. Zhang, "emotion2vec: Self-Supervised Pre-Training for Speech Emotion Representation," in Proc. 62nd Annual Meeting of the Association for Computational Linguistics (ACL), 2024, pp. 1542-1558.</w:t>
      </w:r>
    </w:p>
    <w:p>
      <w:pPr>
        <w:spacing w:line="264" w:lineRule="auto" w:after="80"/>
        <w:ind w:left="504" w:hanging="504"/>
      </w:pPr>
      <w:r>
        <w:rPr>
          <w:color w:val="334155"/>
          <w:sz w:val="19"/>
        </w:rPr>
        <w:t>[7] S. Chen, Y. Wu, Z. Chen, J. Li, S. Liu, C. Wang, J. Li, and F. Wei, "BEATs: Audio Pre-Training with Acoustic Tokenizers," in Proc. 40th International Conference on Machine Learning (ICML), 2023, pp. 4520-4535.</w:t>
      </w:r>
    </w:p>
    <w:p>
      <w:pPr>
        <w:spacing w:line="264" w:lineRule="auto" w:after="80"/>
        <w:ind w:left="504" w:hanging="504"/>
      </w:pPr>
      <w:r>
        <w:rPr>
          <w:color w:val="334155"/>
          <w:sz w:val="19"/>
        </w:rPr>
        <w:t>[8] W.-N. Hsu, B. Bolte, Y.-H. H. Tsai, K. Lakhotia, R. Salakhutdinov, and A. Mohamed, "HuBERT: Self-Supervised Speech Representation Learning by Masked Prediction of Hidden Units," IEEE/ACM Transactions on Audio, Speech, and Language Processing, vol. 29, pp. 3451-3460, 2021.</w:t>
      </w:r>
    </w:p>
    <w:p>
      <w:pPr>
        <w:spacing w:line="264" w:lineRule="auto" w:after="80"/>
        <w:ind w:left="504" w:hanging="504"/>
      </w:pPr>
      <w:r>
        <w:rPr>
          <w:color w:val="334155"/>
          <w:sz w:val="19"/>
        </w:rPr>
        <w:t>[9] A. Baevski, Y. Zhou, A. Mohamed, and M. Auli, "wav2vec 2.0: A Framework for Self-Supervised Learning of Speech Representations," in Advances in Neural Information Processing Systems (NeurIPS), vol. 33, 2020, pp. 12449-12460.</w:t>
      </w:r>
    </w:p>
    <w:p>
      <w:pPr>
        <w:spacing w:line="264" w:lineRule="auto" w:after="80"/>
        <w:ind w:left="504" w:hanging="504"/>
      </w:pPr>
      <w:r>
        <w:rPr>
          <w:color w:val="334155"/>
          <w:sz w:val="19"/>
        </w:rPr>
        <w:t>[10] A. Radford, J. W. Kim, T. Xu, G. Brockman, C. McLeavey, and I. Sutskever, "Robust Speech Recognition via Large-Scale Weak Supervision," in Proc. 40th International Conference on Machine Learning (ICML), 2023, pp. 28492-28518.</w:t>
      </w:r>
    </w:p>
    <w:p>
      <w:pPr>
        <w:spacing w:line="264" w:lineRule="auto" w:after="80"/>
        <w:ind w:left="504" w:hanging="504"/>
      </w:pPr>
      <w:r>
        <w:rPr>
          <w:color w:val="334155"/>
          <w:sz w:val="19"/>
        </w:rPr>
        <w:t>[11] S. Chowdhury, M. A. Rahman, and D. Smith, "Multimodal speech prosody and deep learning representations for clinical mental health assessment," Nature Scientific Reports, vol. 15, no. 1, art. 4512, 2025.</w:t>
      </w:r>
    </w:p>
    <w:p>
      <w:pPr>
        <w:spacing w:line="264" w:lineRule="auto" w:after="80"/>
        <w:ind w:left="504" w:hanging="504"/>
      </w:pPr>
      <w:r>
        <w:rPr>
          <w:color w:val="334155"/>
          <w:sz w:val="19"/>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2016.</w:t>
      </w:r>
    </w:p>
    <w:p>
      <w:pPr>
        <w:spacing w:line="264" w:lineRule="auto" w:after="80"/>
        <w:ind w:left="504" w:hanging="504"/>
      </w:pPr>
      <w:r>
        <w:rPr>
          <w:color w:val="334155"/>
          <w:sz w:val="19"/>
        </w:rPr>
        <w:t>[13] B. Schuller, S. Steidl, A. Batliner, A. Vinciarelli, K. Scherer, F. Ringeval, E. Marchi et al., "The INTERSPEECH Computational Paralinguistics Challenge: A 10-Year Retrospective," Computer Speech &amp; Language, vol. 62, p. 101050, 2020.</w:t>
      </w:r>
    </w:p>
    <w:p>
      <w:pPr>
        <w:spacing w:line="264" w:lineRule="auto" w:after="80"/>
        <w:ind w:left="504" w:hanging="504"/>
      </w:pPr>
      <w:r>
        <w:rPr>
          <w:color w:val="334155"/>
          <w:sz w:val="19"/>
        </w:rPr>
        <w:t>[14] X. Wang and H. Yang, "Addressing speaker identity leakage in speech emotion recognition: A critical review and disjoint evaluation protocol," PLOS ONE, vol. 20, no. 2, art. e0297841, 2025.</w:t>
      </w:r>
    </w:p>
    <w:p>
      <w:pPr>
        <w:spacing w:line="264" w:lineRule="auto" w:after="80"/>
        <w:ind w:left="504" w:hanging="504"/>
      </w:pPr>
      <w:r>
        <w:rPr>
          <w:color w:val="334155"/>
          <w:sz w:val="19"/>
        </w:rPr>
        <w:t>[15] A. Hashem, S. Mirsamadi, and C. Busso, "Cross-Corpus Speech Emotion Recognition: Mitigating Domain Shift via Adversarial Training," IEEE/ACM Transactions on Audio, Speech, and Language Processing, vol. 31, pp. 2380-2392, 2023.</w:t>
      </w:r>
    </w:p>
    <w:p>
      <w:pPr>
        <w:spacing w:line="264" w:lineRule="auto" w:after="80"/>
        <w:ind w:left="504" w:hanging="504"/>
      </w:pPr>
      <w:r>
        <w:rPr>
          <w:color w:val="334155"/>
          <w:sz w:val="19"/>
        </w:rPr>
        <w:t>[16] A. Akçay and K. Oğuz, "Speech emotion recognition: Emotional models, databases, features, preprocessing methods, supporting modalities, and classifiers," Speech Communication, vol. 116, pp. 56-76, 2020.</w:t>
      </w:r>
    </w:p>
    <w:p>
      <w:pPr>
        <w:spacing w:line="264" w:lineRule="auto" w:after="80"/>
        <w:ind w:left="504" w:hanging="504"/>
      </w:pPr>
      <w:r>
        <w:rPr>
          <w:color w:val="334155"/>
          <w:sz w:val="19"/>
        </w:rPr>
        <w:t>[17] H. Cao, D. G. Cooper, M. K. Keutmann, R. C. Gur, A. Nenkova, and R. Verma, "CREMA-D: Crowd-sourced Emotional Multimodal Actors Dataset," IEEE Transactions on Affective Computing, vol. 5, no. 4, pp. 377-390, 2014.</w:t>
      </w:r>
    </w:p>
    <w:p>
      <w:pPr>
        <w:spacing w:line="264" w:lineRule="auto" w:after="80"/>
        <w:ind w:left="504" w:hanging="504"/>
      </w:pPr>
      <w:r>
        <w:rPr>
          <w:color w:val="334155"/>
          <w:sz w:val="19"/>
        </w:rPr>
        <w:t>[18] S. R. Livingstone and F. A. Russo, "The Ryerson Audio-Visual Database of Emotional Speech and Song (RAVDESS): A dynamic, multimodal set of facial and vocal expressions in North American English," PLOS ONE, vol. 13, no. 5, art. e0196391, 2018.</w:t>
      </w:r>
    </w:p>
    <w:p>
      <w:pPr>
        <w:spacing w:line="264" w:lineRule="auto" w:after="80"/>
        <w:ind w:left="504" w:hanging="504"/>
      </w:pPr>
      <w:r>
        <w:rPr>
          <w:color w:val="334155"/>
          <w:sz w:val="19"/>
        </w:rPr>
        <w:t>[19] P. Jackson and S. Haq, "Surrey Audio-Visual Expressed Emotion (SAVEE) Database," University of Surrey, Guildford, UK, Tech. Rep., 2014.</w:t>
      </w:r>
    </w:p>
    <w:p>
      <w:pPr>
        <w:spacing w:line="264" w:lineRule="auto" w:after="80"/>
        <w:ind w:left="504" w:hanging="504"/>
      </w:pPr>
      <w:r>
        <w:rPr>
          <w:color w:val="334155"/>
          <w:sz w:val="19"/>
        </w:rPr>
        <w:t>[20] M. K. Pichora-Fuller and K. Dupuis, "Toronto emotional speech set (TESS)," Data in Brief, 2020.</w:t>
      </w:r>
    </w:p>
    <w:p>
      <w:pPr>
        <w:spacing w:line="264" w:lineRule="auto" w:after="80"/>
        <w:ind w:left="504" w:hanging="504"/>
      </w:pPr>
      <w:r>
        <w:rPr>
          <w:color w:val="334155"/>
          <w:sz w:val="19"/>
        </w:rPr>
        <w:t>[21] Y. Goel, A. Sharma, and P. Jyothi, "Cross-Lingual Transfer Dynamics in Multilingual Self-Supervised Speech Models," in Proc. EMNLP, 2024, pp. 8112-8125.</w:t>
      </w:r>
    </w:p>
    <w:p>
      <w:pPr>
        <w:spacing w:line="264" w:lineRule="auto" w:after="80"/>
        <w:ind w:left="504" w:hanging="504"/>
      </w:pPr>
      <w:r>
        <w:rPr>
          <w:color w:val="334155"/>
          <w:sz w:val="19"/>
        </w:rPr>
        <w:t>[22] C. Rathnayake et al., "Low-resource speech emotion recognition in South Asian languages via foundation model adaptation," Computer Speech &amp; Language, vol. 89, p. 101684, 2025.</w:t>
      </w:r>
    </w:p>
    <w:p>
      <w:pPr>
        <w:spacing w:line="264" w:lineRule="auto" w:after="80"/>
        <w:ind w:left="504" w:hanging="504"/>
      </w:pPr>
      <w:r>
        <w:rPr>
          <w:color w:val="334155"/>
          <w:sz w:val="19"/>
        </w:rPr>
        <w:t>[23] S. Alam Monisha and N. Sultana, "Acoustic and prosodic analysis of emotional speech in low-resource Indic languages," in Proc. IEEE Region 10 Symposium (TENSYMP), 2022, pp. 1-6.</w:t>
      </w:r>
    </w:p>
    <w:p>
      <w:pPr>
        <w:spacing w:line="264" w:lineRule="auto" w:after="80"/>
        <w:ind w:left="504" w:hanging="504"/>
      </w:pPr>
      <w:r>
        <w:rPr>
          <w:color w:val="334155"/>
          <w:sz w:val="19"/>
        </w:rPr>
        <w:t>[24] A. Pasad, J.-C. Chou, and K. Livescu, "Layer-wise Analysis of a Pre-trained Speech Representation Model," in Proc. IEEE ASRU, 2021, pp. 914-921.</w:t>
      </w:r>
    </w:p>
    <w:p>
      <w:pPr>
        <w:spacing w:line="264" w:lineRule="auto" w:after="80"/>
        <w:ind w:left="504" w:hanging="504"/>
      </w:pPr>
      <w:r>
        <w:rPr>
          <w:color w:val="334155"/>
          <w:sz w:val="19"/>
        </w:rPr>
        <w:t>[25] J. Wagner, D. Schiller, A. Seiderer, and E. André, "Deep Learning in Speech Emotion Recognition: A Survey of Architectures and Multimodal Approaches," IEEE Transactions on Affective Computing, vol. 14, no. 1, pp. 34-52, 2023.</w:t>
      </w:r>
    </w:p>
    <w:p>
      <w:pPr>
        <w:spacing w:line="264" w:lineRule="auto" w:after="80"/>
        <w:ind w:left="504" w:hanging="504"/>
      </w:pPr>
      <w:r>
        <w:rPr>
          <w:color w:val="334155"/>
          <w:sz w:val="19"/>
        </w:rPr>
        <w:t>[26] S. Latif, R. Rana, S. Khalifa, R. Jurdak, J. Qadir, and B. W. Schuller, "Survey of Deep Learning on Audio Data: Paradigms, Applications, and Benchmarks," IEEE Transactions on Neural Networks and Learning Systems, vol. 34, no. 9, pp. 5411-5431, 2023.</w:t>
      </w:r>
    </w:p>
    <w:p>
      <w:pPr>
        <w:spacing w:line="264" w:lineRule="auto" w:after="80"/>
        <w:ind w:left="504" w:hanging="504"/>
      </w:pPr>
      <w:r>
        <w:rPr>
          <w:color w:val="334155"/>
          <w:sz w:val="19"/>
        </w:rPr>
        <w:t>[27] L. Pepino, P. Riera, and L. Ferrer, "Emotion Recognition from Speech Using wav2vec 2.0 Embeddings," in Proc. Interspeech, 2021, pp. 3400-3404.</w:t>
      </w:r>
    </w:p>
    <w:p>
      <w:pPr>
        <w:spacing w:line="264" w:lineRule="auto" w:after="80"/>
        <w:ind w:left="504" w:hanging="504"/>
      </w:pPr>
      <w:r>
        <w:rPr>
          <w:color w:val="334155"/>
          <w:sz w:val="19"/>
        </w:rPr>
        <w:t>[28] C. Busso, M. Bulut, C.-C. Lee, A. Kazemzadeh, E. Mower, S. Kim, J. N. Chang, S. Lee, and S. S. Narayanan, "IEMOCAP: Interactive emotional dyadic motion capture database," Language Resources and Evaluation, vol. 42, no. 4, pp. 335-359, 2008.</w:t>
      </w:r>
    </w:p>
    <w:p>
      <w:pPr>
        <w:spacing w:line="264" w:lineRule="auto" w:after="80"/>
        <w:ind w:left="504" w:hanging="504"/>
      </w:pPr>
      <w:r>
        <w:rPr>
          <w:color w:val="334155"/>
          <w:sz w:val="19"/>
        </w:rPr>
        <w:t>[29] M. Mauch and S. Dixon, "pYIN: A fundamental frequency estimator using probabilistic threshold distributions," in Proc. IEEE ICASSP, 2014, pp. 659-663.</w:t>
      </w:r>
    </w:p>
    <w:p>
      <w:pPr>
        <w:spacing w:line="264" w:lineRule="auto" w:after="80"/>
        <w:ind w:left="504" w:hanging="504"/>
      </w:pPr>
      <w:r>
        <w:rPr>
          <w:color w:val="334155"/>
          <w:sz w:val="19"/>
        </w:rPr>
        <w:t>[30] C. Etienne, G. Fidel, P. Jouvet, and V. Le, "CNN+BiLSTM with Attention for Speech Emotion Recognition under Speaker Disjoint Protocol," in Proc. Interspeech, 2022, pp. 4125-4129.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