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Bettercroft Cashier JDK Migration</w:t>
      </w:r>
    </w:p>
    <w:p>
      <w:pPr>
        <w:jc w:val="center"/>
      </w:pPr>
      <w:r>
        <w:rPr>
          <w:sz w:val="20"/>
        </w:rPr>
        <w:t>SOW Reference: TG-SOW-2026-013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Bettercroft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Brightwave Labs shall provide consulting and development services for the Bettercroft Cashier JDK Migration engagement:</w:t>
      </w:r>
    </w:p>
    <w:p>
      <w:pPr>
        <w:pStyle w:val="ListBullet"/>
      </w:pPr>
      <w:r>
        <w:t>Cashier services upgrade from JDK 7 to JDK 17</w:t>
      </w:r>
    </w:p>
    <w:p>
      <w:pPr>
        <w:pStyle w:val="ListBullet"/>
      </w:pPr>
      <w:r>
        <w:t>POC for independent service upgrades</w:t>
      </w:r>
    </w:p>
    <w:p>
      <w:pPr>
        <w:pStyle w:val="ListBullet"/>
      </w:pPr>
      <w:r>
        <w:t>Code sync with conflict resolution</w:t>
      </w:r>
    </w:p>
    <w:p>
      <w:pPr>
        <w:pStyle w:val="ListBullet"/>
      </w:pPr>
      <w:r>
        <w:t>Deprecated code removal and Struts refactoring</w:t>
      </w:r>
    </w:p>
    <w:p>
      <w:pPr>
        <w:pStyle w:val="ListBullet"/>
      </w:pPr>
      <w:r>
        <w:t>RMI communication layer assessment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Prathamesh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$65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Omkar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Cashier services upgrade from JDK 7 to JDK 17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POC for independent service upgrades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Code sync with conflict resolution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Deprecated code removal and Struts refactoring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RMI communication layer assessment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Services migrated</w:t>
            </w:r>
          </w:p>
        </w:tc>
        <w:tc>
          <w:tcPr>
            <w:tcW w:type="dxa" w:w="4320"/>
          </w:tcPr>
          <w:p>
            <w:r>
              <w:t>≥3/month</w:t>
            </w:r>
          </w:p>
        </w:tc>
      </w:tr>
      <w:tr>
        <w:tc>
          <w:tcPr>
            <w:tcW w:type="dxa" w:w="4320"/>
          </w:tcPr>
          <w:p>
            <w:r>
              <w:t>Zero regression</w:t>
            </w:r>
          </w:p>
        </w:tc>
        <w:tc>
          <w:tcPr>
            <w:tcW w:type="dxa" w:w="4320"/>
          </w:tcPr>
          <w:p>
            <w:r>
              <w:t>100% deposit flow pass</w:t>
            </w:r>
          </w:p>
        </w:tc>
      </w:tr>
      <w:tr>
        <w:tc>
          <w:tcPr>
            <w:tcW w:type="dxa" w:w="4320"/>
          </w:tcPr>
          <w:p>
            <w:r>
              <w:t>Code sync</w:t>
            </w:r>
          </w:p>
        </w:tc>
        <w:tc>
          <w:tcPr>
            <w:tcW w:type="dxa" w:w="4320"/>
          </w:tcPr>
          <w:p>
            <w:r>
              <w:t>Weekly merges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$21,840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Bettercroft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