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Canvara (Archway K8s Migration)</w:t>
      </w:r>
    </w:p>
    <w:p>
      <w:pPr>
        <w:jc w:val="center"/>
      </w:pPr>
      <w:r>
        <w:rPr>
          <w:sz w:val="20"/>
        </w:rPr>
        <w:t>SOW Reference: TG-SOW-2026-015</w:t>
      </w:r>
    </w:p>
    <w:p/>
    <w:p>
      <w:pPr>
        <w:pStyle w:val="Heading2"/>
      </w:pPr>
      <w:r>
        <w:t>Contract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SOW #</w:t>
            </w:r>
          </w:p>
        </w:tc>
        <w:tc>
          <w:tcPr>
            <w:tcW w:type="dxa" w:w="4320"/>
          </w:tcPr>
          <w:p>
            <w:r>
              <w:t>TG-SOW-2026-015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Archway Inc.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Mar 18, 2026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Net 30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2"/>
      </w:pPr>
      <w:r>
        <w:t>Scope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160"/>
          </w:tcPr>
          <w:p>
            <w:r>
              <w:t>S-01</w:t>
            </w:r>
          </w:p>
        </w:tc>
        <w:tc>
          <w:tcPr>
            <w:tcW w:type="dxa" w:w="2160"/>
          </w:tcPr>
          <w:p>
            <w:r>
              <w:t>K8s migration from PCF for 70+ applications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Mar 18, 2026</w:t>
            </w:r>
          </w:p>
        </w:tc>
      </w:tr>
      <w:tr>
        <w:tc>
          <w:tcPr>
            <w:tcW w:type="dxa" w:w="2160"/>
          </w:tcPr>
          <w:p>
            <w:r>
              <w:t>S-02</w:t>
            </w:r>
          </w:p>
        </w:tc>
        <w:tc>
          <w:tcPr>
            <w:tcW w:type="dxa" w:w="2160"/>
          </w:tcPr>
          <w:p>
            <w:r>
              <w:t>Common health-check library for 25 services across 11 fabrics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Mar 18, 2026</w:t>
            </w:r>
          </w:p>
        </w:tc>
      </w:tr>
      <w:tr>
        <w:tc>
          <w:tcPr>
            <w:tcW w:type="dxa" w:w="2160"/>
          </w:tcPr>
          <w:p>
            <w:r>
              <w:t>S-03</w:t>
            </w:r>
          </w:p>
        </w:tc>
        <w:tc>
          <w:tcPr>
            <w:tcW w:type="dxa" w:w="2160"/>
          </w:tcPr>
          <w:p>
            <w:r>
              <w:t>Integration test enablement for 15+ apps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Mar 18, 2026</w:t>
            </w:r>
          </w:p>
        </w:tc>
      </w:tr>
      <w:tr>
        <w:tc>
          <w:tcPr>
            <w:tcW w:type="dxa" w:w="2160"/>
          </w:tcPr>
          <w:p>
            <w:r>
              <w:t>S-04</w:t>
            </w:r>
          </w:p>
        </w:tc>
        <w:tc>
          <w:tcPr>
            <w:tcW w:type="dxa" w:w="2160"/>
          </w:tcPr>
          <w:p>
            <w:r>
              <w:t>Health-check library integration with K8s probes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Mar 18, 2026</w:t>
            </w:r>
          </w:p>
        </w:tc>
      </w:tr>
      <w:tr>
        <w:tc>
          <w:tcPr>
            <w:tcW w:type="dxa" w:w="2160"/>
          </w:tcPr>
          <w:p>
            <w:r>
              <w:t>S-05</w:t>
            </w:r>
          </w:p>
        </w:tc>
        <w:tc>
          <w:tcPr>
            <w:tcW w:type="dxa" w:w="2160"/>
          </w:tcPr>
          <w:p>
            <w:r>
              <w:t>Performance testing post-migration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Mar 18, 2026</w:t>
            </w:r>
          </w:p>
        </w:tc>
      </w:tr>
    </w:tbl>
    <w:p/>
    <w:p>
      <w:pPr>
        <w:pStyle w:val="Heading2"/>
      </w:pPr>
      <w:r>
        <w:t>Resource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Consultant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Alloc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Rate/Hr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Hrs/Mo</w:t>
            </w:r>
          </w:p>
        </w:tc>
      </w:tr>
      <w:tr>
        <w:tc>
          <w:tcPr>
            <w:tcW w:type="dxa" w:w="1440"/>
          </w:tcPr>
          <w:p>
            <w:r>
              <w:t>R-01</w:t>
            </w:r>
          </w:p>
        </w:tc>
        <w:tc>
          <w:tcPr>
            <w:tcW w:type="dxa" w:w="1440"/>
          </w:tcPr>
          <w:p>
            <w:r>
              <w:t>Mahesh Lal</w:t>
            </w:r>
          </w:p>
        </w:tc>
        <w:tc>
          <w:tcPr>
            <w:tcW w:type="dxa" w:w="1440"/>
          </w:tcPr>
          <w:p>
            <w:r>
              <w:t>Principal Consultant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$100</w:t>
            </w:r>
          </w:p>
        </w:tc>
        <w:tc>
          <w:tcPr>
            <w:tcW w:type="dxa" w:w="1440"/>
          </w:tcPr>
          <w:p>
            <w:r>
              <w:t>16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$1,600/mo</w:t>
            </w:r>
          </w:p>
        </w:tc>
      </w:tr>
    </w:tbl>
    <w:p/>
    <w:p>
      <w:pPr>
        <w:pStyle w:val="Heading2"/>
      </w:pPr>
      <w: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KPI-01</w:t>
            </w:r>
          </w:p>
        </w:tc>
        <w:tc>
          <w:tcPr>
            <w:tcW w:type="dxa" w:w="2880"/>
          </w:tcPr>
          <w:p>
            <w:r>
              <w:t>Apps migrated to K8s staging</w:t>
            </w:r>
          </w:p>
        </w:tc>
        <w:tc>
          <w:tcPr>
            <w:tcW w:type="dxa" w:w="2880"/>
          </w:tcPr>
          <w:p>
            <w:r>
              <w:t>≥20/month</w:t>
            </w:r>
          </w:p>
        </w:tc>
      </w:tr>
      <w:tr>
        <w:tc>
          <w:tcPr>
            <w:tcW w:type="dxa" w:w="2880"/>
          </w:tcPr>
          <w:p>
            <w:r>
              <w:t>KPI-02</w:t>
            </w:r>
          </w:p>
        </w:tc>
        <w:tc>
          <w:tcPr>
            <w:tcW w:type="dxa" w:w="2880"/>
          </w:tcPr>
          <w:p>
            <w:r>
              <w:t>Integration test coverage</w:t>
            </w:r>
          </w:p>
        </w:tc>
        <w:tc>
          <w:tcPr>
            <w:tcW w:type="dxa" w:w="2880"/>
          </w:tcPr>
          <w:p>
            <w:r>
              <w:t>≥15 apps</w:t>
            </w:r>
          </w:p>
        </w:tc>
      </w:tr>
      <w:tr>
        <w:tc>
          <w:tcPr>
            <w:tcW w:type="dxa" w:w="2880"/>
          </w:tcPr>
          <w:p>
            <w:r>
              <w:t>KPI-03</w:t>
            </w:r>
          </w:p>
        </w:tc>
        <w:tc>
          <w:tcPr>
            <w:tcW w:type="dxa" w:w="2880"/>
          </w:tcPr>
          <w:p>
            <w:r>
              <w:t>Health-check adoption</w:t>
            </w:r>
          </w:p>
        </w:tc>
        <w:tc>
          <w:tcPr>
            <w:tcW w:type="dxa" w:w="2880"/>
          </w:tcPr>
          <w:p>
            <w:r>
              <w:t>25 services</w:t>
            </w:r>
          </w:p>
        </w:tc>
      </w:tr>
    </w:tbl>
    <w:p/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Archway Inc.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