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STATEMENT OF WORK</w:t>
      </w:r>
    </w:p>
    <w:p>
      <w:pPr>
        <w:jc w:val="center"/>
      </w:pPr>
      <w:r>
        <w:rPr>
          <w:b/>
          <w:sz w:val="28"/>
        </w:rPr>
        <w:t>Ledger InLife Retention</w:t>
      </w:r>
    </w:p>
    <w:p>
      <w:pPr>
        <w:jc w:val="center"/>
      </w:pPr>
      <w:r>
        <w:rPr>
          <w:sz w:val="20"/>
        </w:rPr>
        <w:t>SOW Reference: TG-SOW-2026-010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The Ledger Group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Brightwave Labs Solutions Pvt. Ltd.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Feb 1, 2026</w:t>
            </w:r>
          </w:p>
        </w:tc>
      </w:tr>
      <w:tr>
        <w:tc>
          <w:tcPr>
            <w:tcW w:type="dxa" w:w="4320"/>
          </w:tcPr>
          <w:p>
            <w:r>
              <w:t>End Date</w:t>
            </w:r>
          </w:p>
        </w:tc>
        <w:tc>
          <w:tcPr>
            <w:tcW w:type="dxa" w:w="4320"/>
          </w:tcPr>
          <w:p>
            <w:r>
              <w:t>Mar 18, 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/>
    <w:p>
      <w:pPr>
        <w:pStyle w:val="Heading2"/>
      </w:pPr>
      <w:r>
        <w:t>Scope</w:t>
      </w:r>
    </w:p>
    <w:p>
      <w:pPr>
        <w:pStyle w:val="ListBullet"/>
      </w:pPr>
      <w:r>
        <w:t>Cancellation flow redesign — content-led friction</w:t>
      </w:r>
    </w:p>
    <w:p>
      <w:pPr>
        <w:pStyle w:val="ListBullet"/>
      </w:pPr>
      <w:r>
        <w:t>Dynamic save offers based on context</w:t>
      </w:r>
    </w:p>
    <w:p>
      <w:pPr>
        <w:pStyle w:val="ListBullet"/>
      </w:pPr>
      <w:r>
        <w:t>Post-cancellation engagement (opt-ins, restart)</w:t>
      </w:r>
    </w:p>
    <w:p>
      <w:pPr>
        <w:pStyle w:val="ListBullet"/>
      </w:pPr>
      <w:r>
        <w:t>WCAG-compliant reusable component library</w:t>
      </w:r>
    </w:p>
    <w:p>
      <w:pPr>
        <w:pStyle w:val="ListBullet"/>
      </w:pPr>
      <w:r>
        <w:t>A/B testing infrastructure</w:t>
      </w:r>
    </w:p>
    <w:p>
      <w:pPr>
        <w:pStyle w:val="Heading2"/>
      </w:pPr>
      <w:r>
        <w:t>Team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Rate</w:t>
            </w:r>
          </w:p>
        </w:tc>
      </w:tr>
      <w:tr>
        <w:tc>
          <w:tcPr>
            <w:tcW w:type="dxa" w:w="2880"/>
          </w:tcPr>
          <w:p>
            <w:r>
              <w:t>Santhosh</w:t>
            </w:r>
          </w:p>
        </w:tc>
        <w:tc>
          <w:tcPr>
            <w:tcW w:type="dxa" w:w="2880"/>
          </w:tcPr>
          <w:p>
            <w:r>
              <w:t>Senior Consultant</w:t>
            </w:r>
          </w:p>
        </w:tc>
        <w:tc>
          <w:tcPr>
            <w:tcW w:type="dxa" w:w="2880"/>
          </w:tcPr>
          <w:p>
            <w:r>
              <w:t>$55</w:t>
            </w:r>
          </w:p>
        </w:tc>
      </w:tr>
      <w:tr>
        <w:tc>
          <w:tcPr>
            <w:tcW w:type="dxa" w:w="2880"/>
          </w:tcPr>
          <w:p>
            <w:r>
              <w:t>Rekha</w:t>
            </w:r>
          </w:p>
        </w:tc>
        <w:tc>
          <w:tcPr>
            <w:tcW w:type="dxa" w:w="2880"/>
          </w:tcPr>
          <w:p>
            <w:r>
              <w:t>Technology Consultant</w:t>
            </w:r>
          </w:p>
        </w:tc>
        <w:tc>
          <w:tcPr>
            <w:tcW w:type="dxa" w:w="2880"/>
          </w:tcPr>
          <w:p>
            <w:r>
              <w:t>$45</w:t>
            </w:r>
          </w:p>
        </w:tc>
      </w:tr>
    </w:tbl>
    <w:p/>
    <w:p>
      <w:pPr>
        <w:pStyle w:val="Heading2"/>
      </w:pPr>
      <w:r>
        <w:t>KPIs</w:t>
      </w:r>
    </w:p>
    <w:p>
      <w:r>
        <w:t>• Churn reduction — ≥5%</w:t>
      </w:r>
    </w:p>
    <w:p>
      <w:r>
        <w:t>• WCAG compliance — AA level</w:t>
      </w:r>
    </w:p>
    <w:p>
      <w:r>
        <w:t>• A/B test coverage — ≥3 experiments/quarter</w:t>
      </w:r>
    </w:p>
    <w:p>
      <w:pPr>
        <w:pStyle w:val="Heading2"/>
      </w:pPr>
      <w:r>
        <w:t>Signatures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For: Brightwave Labs Solutions Pvt. Ltd.</w:t>
            </w:r>
          </w:p>
        </w:tc>
        <w:tc>
          <w:tcPr>
            <w:tcW w:type="dxa" w:w="4320"/>
          </w:tcPr>
          <w:p>
            <w:r>
              <w:t>For: The Ledger Group</w:t>
            </w:r>
          </w:p>
        </w:tc>
      </w:tr>
      <w:tr>
        <w:tc>
          <w:tcPr>
            <w:tcW w:type="dxa" w:w="4320"/>
          </w:tcPr>
          <w:p>
            <w:r>
              <w:t>Name: ___________________________</w:t>
            </w:r>
          </w:p>
        </w:tc>
        <w:tc>
          <w:tcPr>
            <w:tcW w:type="dxa" w:w="4320"/>
          </w:tcPr>
          <w:p>
            <w:r>
              <w:t>Name: ___________________________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___________________________</w:t>
            </w:r>
          </w:p>
        </w:tc>
        <w:tc>
          <w:tcPr>
            <w:tcW w:type="dxa" w:w="4320"/>
          </w:tcPr>
          <w:p>
            <w:r>
              <w:t>Date: ___________________________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