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Mobiscape - Apple MDM</w:t>
      </w:r>
    </w:p>
    <w:p>
      <w:pPr>
        <w:jc w:val="center"/>
      </w:pPr>
      <w:r>
        <w:rPr>
          <w:sz w:val="20"/>
        </w:rPr>
        <w:t>SOW Reference: TG-SOW-2026-004</w:t>
      </w:r>
    </w:p>
    <w:p/>
    <w:p>
      <w:pPr>
        <w:pStyle w:val="Heading2"/>
      </w:pPr>
      <w:r>
        <w:t>Contract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SOW #</w:t>
            </w:r>
          </w:p>
        </w:tc>
        <w:tc>
          <w:tcPr>
            <w:tcW w:type="dxa" w:w="4320"/>
          </w:tcPr>
          <w:p>
            <w:r>
              <w:t>TG-SOW-2026-004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Mobiscape Technologies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Net 30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2"/>
      </w:pPr>
      <w:r>
        <w:t>Scope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160"/>
          </w:tcPr>
          <w:p>
            <w:r>
              <w:t>S-01</w:t>
            </w:r>
          </w:p>
        </w:tc>
        <w:tc>
          <w:tcPr>
            <w:tcW w:type="dxa" w:w="2160"/>
          </w:tcPr>
          <w:p>
            <w:r>
              <w:t>Apple device management — Compliance module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Jun 30, 2026</w:t>
            </w:r>
          </w:p>
        </w:tc>
      </w:tr>
      <w:tr>
        <w:tc>
          <w:tcPr>
            <w:tcW w:type="dxa" w:w="2160"/>
          </w:tcPr>
          <w:p>
            <w:r>
              <w:t>S-02</w:t>
            </w:r>
          </w:p>
        </w:tc>
        <w:tc>
          <w:tcPr>
            <w:tcW w:type="dxa" w:w="2160"/>
          </w:tcPr>
          <w:p>
            <w:r>
              <w:t>LAPS (Local Admin Password Solution)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Jun 30, 2026</w:t>
            </w:r>
          </w:p>
        </w:tc>
      </w:tr>
      <w:tr>
        <w:tc>
          <w:tcPr>
            <w:tcW w:type="dxa" w:w="2160"/>
          </w:tcPr>
          <w:p>
            <w:r>
              <w:t>S-03</w:t>
            </w:r>
          </w:p>
        </w:tc>
        <w:tc>
          <w:tcPr>
            <w:tcW w:type="dxa" w:w="2160"/>
          </w:tcPr>
          <w:p>
            <w:r>
              <w:t>Apple Configurations extraction and enforcement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Jun 30, 2026</w:t>
            </w:r>
          </w:p>
        </w:tc>
      </w:tr>
      <w:tr>
        <w:tc>
          <w:tcPr>
            <w:tcW w:type="dxa" w:w="2160"/>
          </w:tcPr>
          <w:p>
            <w:r>
              <w:t>S-04</w:t>
            </w:r>
          </w:p>
        </w:tc>
        <w:tc>
          <w:tcPr>
            <w:tcW w:type="dxa" w:w="2160"/>
          </w:tcPr>
          <w:p>
            <w:r>
              <w:t>Recovery Lock and Firmware Password Management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Jun 30, 2026</w:t>
            </w:r>
          </w:p>
        </w:tc>
      </w:tr>
      <w:tr>
        <w:tc>
          <w:tcPr>
            <w:tcW w:type="dxa" w:w="2160"/>
          </w:tcPr>
          <w:p>
            <w:r>
              <w:t>S-05</w:t>
            </w:r>
          </w:p>
        </w:tc>
        <w:tc>
          <w:tcPr>
            <w:tcW w:type="dxa" w:w="2160"/>
          </w:tcPr>
          <w:p>
            <w:r>
              <w:t>Holiday Calendar Config and Workflow Changes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Jun 30, 2026</w:t>
            </w:r>
          </w:p>
        </w:tc>
      </w:tr>
    </w:tbl>
    <w:p/>
    <w:p>
      <w:pPr>
        <w:pStyle w:val="Heading2"/>
      </w:pPr>
      <w:r>
        <w:t>Resource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Consultant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Alloc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Rate/Hr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Hrs/Mo</w:t>
            </w:r>
          </w:p>
        </w:tc>
      </w:tr>
      <w:tr>
        <w:tc>
          <w:tcPr>
            <w:tcW w:type="dxa" w:w="1440"/>
          </w:tcPr>
          <w:p>
            <w:r>
              <w:t>R-01</w:t>
            </w:r>
          </w:p>
        </w:tc>
        <w:tc>
          <w:tcPr>
            <w:tcW w:type="dxa" w:w="1440"/>
          </w:tcPr>
          <w:p>
            <w:r>
              <w:t>Abhimanyu S.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R-02</w:t>
            </w:r>
          </w:p>
        </w:tc>
        <w:tc>
          <w:tcPr>
            <w:tcW w:type="dxa" w:w="1440"/>
          </w:tcPr>
          <w:p>
            <w:r>
              <w:t>Adithya</w:t>
            </w:r>
          </w:p>
        </w:tc>
        <w:tc>
          <w:tcPr>
            <w:tcW w:type="dxa" w:w="1440"/>
          </w:tcPr>
          <w:p>
            <w:r>
              <w:t>Technology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$45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$16,000/mo</w:t>
            </w:r>
          </w:p>
        </w:tc>
      </w:tr>
    </w:tbl>
    <w:p/>
    <w:p>
      <w:pPr>
        <w:pStyle w:val="Heading2"/>
      </w:pPr>
      <w: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KPI-01</w:t>
            </w:r>
          </w:p>
        </w:tc>
        <w:tc>
          <w:tcPr>
            <w:tcW w:type="dxa" w:w="2880"/>
          </w:tcPr>
          <w:p>
            <w:r>
              <w:t>Config coverage</w:t>
            </w:r>
          </w:p>
        </w:tc>
        <w:tc>
          <w:tcPr>
            <w:tcW w:type="dxa" w:w="2880"/>
          </w:tcPr>
          <w:p>
            <w:r>
              <w:t>≥90% Apple settings</w:t>
            </w:r>
          </w:p>
        </w:tc>
      </w:tr>
      <w:tr>
        <w:tc>
          <w:tcPr>
            <w:tcW w:type="dxa" w:w="2880"/>
          </w:tcPr>
          <w:p>
            <w:r>
              <w:t>KPI-02</w:t>
            </w:r>
          </w:p>
        </w:tc>
        <w:tc>
          <w:tcPr>
            <w:tcW w:type="dxa" w:w="2880"/>
          </w:tcPr>
          <w:p>
            <w:r>
              <w:t>Policy enforcement success</w:t>
            </w:r>
          </w:p>
        </w:tc>
        <w:tc>
          <w:tcPr>
            <w:tcW w:type="dxa" w:w="2880"/>
          </w:tcPr>
          <w:p>
            <w:r>
              <w:t>≥95%</w:t>
            </w:r>
          </w:p>
        </w:tc>
      </w:tr>
      <w:tr>
        <w:tc>
          <w:tcPr>
            <w:tcW w:type="dxa" w:w="2880"/>
          </w:tcPr>
          <w:p>
            <w:r>
              <w:t>KPI-03</w:t>
            </w:r>
          </w:p>
        </w:tc>
        <w:tc>
          <w:tcPr>
            <w:tcW w:type="dxa" w:w="2880"/>
          </w:tcPr>
          <w:p>
            <w:r>
              <w:t>Release cadence</w:t>
            </w:r>
          </w:p>
        </w:tc>
        <w:tc>
          <w:tcPr>
            <w:tcW w:type="dxa" w:w="2880"/>
          </w:tcPr>
          <w:p>
            <w:r>
              <w:t>Bi-weekly</w:t>
            </w:r>
          </w:p>
        </w:tc>
      </w:tr>
    </w:tbl>
    <w:p/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Mobiscape Technologies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