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Mobiscape – Data Protection</w:t>
      </w:r>
    </w:p>
    <w:p>
      <w:pPr>
        <w:jc w:val="center"/>
      </w:pPr>
      <w:r>
        <w:rPr>
          <w:sz w:val="20"/>
        </w:rPr>
        <w:t>SOW Reference: TG-SOW-2026-005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Mobiscape Technologies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Brightwave Labs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Feb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Mar 22,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pPr>
        <w:pStyle w:val="ListBullet"/>
      </w:pPr>
      <w:r>
        <w:t>PII/PHI/SPII detection engine development</w:t>
      </w:r>
    </w:p>
    <w:p>
      <w:pPr>
        <w:pStyle w:val="ListBullet"/>
      </w:pPr>
      <w:r>
        <w:t>Centralized rule parsing and customizable detection patterns</w:t>
      </w:r>
    </w:p>
    <w:p>
      <w:pPr>
        <w:pStyle w:val="ListBullet"/>
      </w:pPr>
      <w:r>
        <w:t>Data scanning and sensitive information classification</w:t>
      </w:r>
    </w:p>
    <w:p>
      <w:pPr>
        <w:pStyle w:val="ListBullet"/>
      </w:pPr>
      <w:r>
        <w:t>Compliance scoring and audit-ready reporting</w:t>
      </w:r>
    </w:p>
    <w:p>
      <w:pPr>
        <w:pStyle w:val="ListBullet"/>
      </w:pPr>
      <w:r>
        <w:t>Automated masking, encryption, quarantine workflows</w:t>
      </w:r>
    </w:p>
    <w:p>
      <w:pPr>
        <w:pStyle w:val="Heading2"/>
      </w:pPr>
      <w:r>
        <w:t>2. Team &amp;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Hourly Rate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Hours/Mo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Utkarsh R.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</w:t>
      </w:r>
    </w:p>
    <w:p>
      <w:r>
        <w:t>D1: PII/PHI/SPII detection engine development  [Target: Mar 22, 2026]</w:t>
      </w:r>
    </w:p>
    <w:p>
      <w:r>
        <w:t>D2: Centralized rule parsing and customizable detection patterns  [Target: Mar 22, 2026]</w:t>
      </w:r>
    </w:p>
    <w:p>
      <w:r>
        <w:t>D3: Data scanning and sensitive information classification  [Target: Mar 22, 2026]</w:t>
      </w:r>
    </w:p>
    <w:p>
      <w:r>
        <w:t>D4: Compliance scoring and audit-ready reporting  [Target: Mar 22, 2026]</w:t>
      </w:r>
    </w:p>
    <w:p>
      <w:r>
        <w:t>D5: Automated masking, encryption, quarantine workflows  [Target: Mar 22, 2026]</w:t>
      </w:r>
    </w:p>
    <w:p>
      <w:pPr>
        <w:pStyle w:val="Heading2"/>
      </w:pPr>
      <w:r>
        <w:t>4. KPIs</w:t>
      </w:r>
    </w:p>
    <w:p>
      <w:pPr>
        <w:pStyle w:val="ListBullet"/>
      </w:pPr>
      <w:r>
        <w:t>Detection accuracy: ≥95%</w:t>
      </w:r>
    </w:p>
    <w:p>
      <w:pPr>
        <w:pStyle w:val="ListBullet"/>
      </w:pPr>
      <w:r>
        <w:t>False positive rate: &lt;5%</w:t>
      </w:r>
    </w:p>
    <w:p>
      <w:pPr>
        <w:pStyle w:val="ListBullet"/>
      </w:pPr>
      <w:r>
        <w:t>Scan throughput: ≥1000 records/min</w:t>
      </w:r>
    </w:p>
    <w:p>
      <w:pPr>
        <w:pStyle w:val="Heading2"/>
      </w:pPr>
      <w:r>
        <w:t>5. General Terms</w:t>
      </w:r>
    </w:p>
    <w:p>
      <w:r>
        <w:t>All work invoiced monthly based on Kimai timesheets. Scope changes via CR process. Client responsible for infrastructure costs.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Brightwave Labs Solutions Pvt. Ltd.</w:t>
            </w:r>
          </w:p>
        </w:tc>
        <w:tc>
          <w:tcPr>
            <w:tcW w:type="dxa" w:w="4320"/>
          </w:tcPr>
          <w:p>
            <w:r>
              <w:t>For: Mobiscape Technologies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