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STATEMENT OF WORK</w:t>
      </w:r>
    </w:p>
    <w:p>
      <w:pPr>
        <w:jc w:val="center"/>
      </w:pPr>
      <w:r>
        <w:rPr>
          <w:b/>
          <w:sz w:val="28"/>
        </w:rPr>
        <w:t>Parcelly Rate System</w:t>
      </w:r>
    </w:p>
    <w:p>
      <w:pPr>
        <w:jc w:val="center"/>
      </w:pPr>
      <w:r>
        <w:rPr>
          <w:sz w:val="20"/>
        </w:rPr>
        <w:t>SOW Reference: TG-SOW-2026-018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Parcelly Pty Ltd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Brightwave Labs Solutions Pvt. Ltd.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Feb 1, 2026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Mar 25, 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2"/>
      </w:pPr>
      <w:r>
        <w:t>1. Scope of Work</w:t>
      </w:r>
    </w:p>
    <w:p>
      <w:r>
        <w:t>Brightwave Labs shall provide consulting and development services for the Parcelly Rate System engagement:</w:t>
      </w:r>
    </w:p>
    <w:p>
      <w:pPr>
        <w:pStyle w:val="ListBullet"/>
      </w:pPr>
      <w:r>
        <w:t>Rate system to replace manual rate card deployment</w:t>
      </w:r>
    </w:p>
    <w:p>
      <w:pPr>
        <w:pStyle w:val="ListBullet"/>
      </w:pPr>
      <w:r>
        <w:t>Serviceability file automation (Phase 1)</w:t>
      </w:r>
    </w:p>
    <w:p>
      <w:pPr>
        <w:pStyle w:val="ListBullet"/>
      </w:pPr>
      <w:r>
        <w:t>Stakeholder interviews and event storming</w:t>
      </w:r>
    </w:p>
    <w:p>
      <w:pPr>
        <w:pStyle w:val="ListBullet"/>
      </w:pPr>
      <w:r>
        <w:t>Domain modeling and architecture design</w:t>
      </w:r>
    </w:p>
    <w:p>
      <w:pPr>
        <w:pStyle w:val="Heading2"/>
      </w:pPr>
      <w:r>
        <w:t>2. Team Composition &amp; Billing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Rate (USD/hr)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Hours</w:t>
            </w:r>
          </w:p>
        </w:tc>
      </w:tr>
      <w:tr>
        <w:tc>
          <w:tcPr>
            <w:tcW w:type="dxa" w:w="1728"/>
          </w:tcPr>
          <w:p>
            <w:r>
              <w:t>Nayyab</w:t>
            </w:r>
          </w:p>
        </w:tc>
        <w:tc>
          <w:tcPr>
            <w:tcW w:type="dxa" w:w="1728"/>
          </w:tcPr>
          <w:p>
            <w:r>
              <w:t>Senior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Gaurav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$45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</w:tbl>
    <w:p/>
    <w:p>
      <w:pPr>
        <w:pStyle w:val="Heading2"/>
      </w:pPr>
      <w:r>
        <w:t>3. Deliverables &amp;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Rate system to replace manual rate card deployment</w:t>
            </w:r>
          </w:p>
        </w:tc>
        <w:tc>
          <w:tcPr>
            <w:tcW w:type="dxa" w:w="2880"/>
          </w:tcPr>
          <w:p>
            <w:r>
              <w:t>Mar 25, 2026</w:t>
            </w:r>
          </w:p>
        </w:tc>
      </w:tr>
      <w:tr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>
            <w:r>
              <w:t>Serviceability file automation (Phase 1)</w:t>
            </w:r>
          </w:p>
        </w:tc>
        <w:tc>
          <w:tcPr>
            <w:tcW w:type="dxa" w:w="2880"/>
          </w:tcPr>
          <w:p>
            <w:r>
              <w:t>Mar 25, 2026</w:t>
            </w:r>
          </w:p>
        </w:tc>
      </w:tr>
      <w:tr>
        <w:tc>
          <w:tcPr>
            <w:tcW w:type="dxa" w:w="2880"/>
          </w:tcPr>
          <w:p>
            <w:r>
              <w:t>D3</w:t>
            </w:r>
          </w:p>
        </w:tc>
        <w:tc>
          <w:tcPr>
            <w:tcW w:type="dxa" w:w="2880"/>
          </w:tcPr>
          <w:p>
            <w:r>
              <w:t>Stakeholder interviews and event storming</w:t>
            </w:r>
          </w:p>
        </w:tc>
        <w:tc>
          <w:tcPr>
            <w:tcW w:type="dxa" w:w="2880"/>
          </w:tcPr>
          <w:p>
            <w:r>
              <w:t>Mar 25, 2026</w:t>
            </w:r>
          </w:p>
        </w:tc>
      </w:tr>
      <w:tr>
        <w:tc>
          <w:tcPr>
            <w:tcW w:type="dxa" w:w="2880"/>
          </w:tcPr>
          <w:p>
            <w:r>
              <w:t>D4</w:t>
            </w:r>
          </w:p>
        </w:tc>
        <w:tc>
          <w:tcPr>
            <w:tcW w:type="dxa" w:w="2880"/>
          </w:tcPr>
          <w:p>
            <w:r>
              <w:t>Domain modeling and architecture design</w:t>
            </w:r>
          </w:p>
        </w:tc>
        <w:tc>
          <w:tcPr>
            <w:tcW w:type="dxa" w:w="2880"/>
          </w:tcPr>
          <w:p>
            <w:r>
              <w:t>Mar 25, 2026</w:t>
            </w:r>
          </w:p>
        </w:tc>
      </w:tr>
    </w:tbl>
    <w:p/>
    <w:p>
      <w:pPr>
        <w:pStyle w:val="Heading2"/>
      </w:pPr>
      <w:r>
        <w:t>4. Key Performance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Deployment time reduction</w:t>
            </w:r>
          </w:p>
        </w:tc>
        <w:tc>
          <w:tcPr>
            <w:tcW w:type="dxa" w:w="4320"/>
          </w:tcPr>
          <w:p>
            <w:r>
              <w:t>From 0.5 day to &lt;10 min</w:t>
            </w:r>
          </w:p>
        </w:tc>
      </w:tr>
      <w:tr>
        <w:tc>
          <w:tcPr>
            <w:tcW w:type="dxa" w:w="4320"/>
          </w:tcPr>
          <w:p>
            <w:r>
              <w:t>Serviceability automation</w:t>
            </w:r>
          </w:p>
        </w:tc>
        <w:tc>
          <w:tcPr>
            <w:tcW w:type="dxa" w:w="4320"/>
          </w:tcPr>
          <w:p>
            <w:r>
              <w:t>Phase 1 complete</w:t>
            </w:r>
          </w:p>
        </w:tc>
      </w:tr>
      <w:tr>
        <w:tc>
          <w:tcPr>
            <w:tcW w:type="dxa" w:w="4320"/>
          </w:tcPr>
          <w:p>
            <w:r>
              <w:t>Stakeholder satisfaction</w:t>
            </w:r>
          </w:p>
        </w:tc>
        <w:tc>
          <w:tcPr>
            <w:tcW w:type="dxa" w:w="4320"/>
          </w:tcPr>
          <w:p>
            <w:r>
              <w:t>≥4/5</w:t>
            </w:r>
          </w:p>
        </w:tc>
      </w:tr>
    </w:tbl>
    <w:p/>
    <w:p>
      <w:pPr>
        <w:pStyle w:val="Heading2"/>
      </w:pPr>
      <w:r>
        <w:t>5. Commercial Terms</w:t>
      </w:r>
    </w:p>
    <w:p>
      <w:r>
        <w:t>Estimated monthly value: $16,000</w:t>
      </w:r>
    </w:p>
    <w:p>
      <w:r>
        <w:t>Invoicing: Monthly in arrears based on actual hours logged in Kimai.</w:t>
      </w:r>
    </w:p>
    <w:p>
      <w:r>
        <w:t>Payment terms: Net 30 days from invoice date.</w:t>
      </w:r>
    </w:p>
    <w:p>
      <w:pPr>
        <w:pStyle w:val="Heading2"/>
      </w:pPr>
      <w:r>
        <w:t>6. Assumptions &amp; Exclusions</w:t>
      </w:r>
    </w:p>
    <w:p>
      <w:pPr>
        <w:pStyle w:val="ListBullet"/>
      </w:pPr>
      <w:r>
        <w:t>Client provides timely access to environments and stakeholders.</w:t>
      </w:r>
    </w:p>
    <w:p>
      <w:pPr>
        <w:pStyle w:val="ListBullet"/>
      </w:pPr>
      <w:r>
        <w:t>Infrastructure and hosting costs borne by client.</w:t>
      </w:r>
    </w:p>
    <w:p>
      <w:pPr>
        <w:pStyle w:val="ListBullet"/>
      </w:pPr>
      <w:r>
        <w:t>Scope changes require formal Change Request approval.</w:t>
      </w:r>
    </w:p>
    <w:p>
      <w:pPr>
        <w:pStyle w:val="Heading2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For: Brightwave Labs Solutions Pvt. Ltd.</w:t>
            </w:r>
          </w:p>
        </w:tc>
        <w:tc>
          <w:tcPr>
            <w:tcW w:type="dxa" w:w="4320"/>
          </w:tcPr>
          <w:p>
            <w:r>
              <w:t>For: Parcelly Pty Ltd</w:t>
            </w:r>
          </w:p>
        </w:tc>
      </w:tr>
      <w:tr>
        <w:tc>
          <w:tcPr>
            <w:tcW w:type="dxa" w:w="4320"/>
          </w:tcPr>
          <w:p>
            <w:r>
              <w:t>Name: ___________________________</w:t>
            </w:r>
          </w:p>
        </w:tc>
        <w:tc>
          <w:tcPr>
            <w:tcW w:type="dxa" w:w="4320"/>
          </w:tcPr>
          <w:p>
            <w:r>
              <w:t>Name: ___________________________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</w:t>
            </w:r>
          </w:p>
        </w:tc>
        <w:tc>
          <w:tcPr>
            <w:tcW w:type="dxa" w:w="4320"/>
          </w:tcPr>
          <w:p>
            <w:r>
              <w:t>Date: 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