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Parcelly Shipping Squad</w:t>
      </w:r>
    </w:p>
    <w:p>
      <w:r>
        <w:t>Reference: TG-SOW-2026-017</w:t>
      </w:r>
    </w:p>
    <w:p>
      <w:r>
        <w:t>Date: Jan 1, 2026</w:t>
      </w:r>
    </w:p>
    <w:p/>
    <w:p>
      <w:r>
        <w:t>This Statement of Work ("SOW") is entered into between Brightwave Labs Solutions Pvt. Ltd. ("Vendor") and Parcelly Pty Ltd ("Client") for the provision of technology consulting services as described below. This engagement shall commence on Jan 1, 2026 and conclude on Mar 22, 2026, unless extended by mutual agreement.</w:t>
      </w:r>
    </w:p>
    <w:p/>
    <w:p>
      <w:pPr>
        <w:pStyle w:val="Heading2"/>
      </w:pPr>
      <w:r>
        <w:t>Engagement Overview</w:t>
      </w:r>
    </w:p>
    <w:p>
      <w:r>
        <w:t>The Vendor shall deliver the following services under this engagement: SO Phase 2 designs for custom courier pick and mix; Shipping order workflow enhancements; Carrier integration testing. All deliverables shall be completed within the engagement period unless otherwise agreed via Change Request.</w:t>
      </w:r>
    </w:p>
    <w:p/>
    <w:p>
      <w:pPr>
        <w:pStyle w:val="Heading2"/>
      </w:pPr>
      <w:r>
        <w:t>Team &amp; Commercials</w:t>
      </w:r>
    </w:p>
    <w:p>
      <w:r>
        <w:t>The following consultants are assigned to this engagement: Rishabh A. (Technology Consultant, 100% allocation, billed at $45/hour, estimated 160 hours/month). Actual hours will be tracked via Kimai and invoiced monthly in arrears. Payment terms are Net 30 from invoice date.</w:t>
      </w:r>
    </w:p>
    <w:p/>
    <w:p>
      <w:pPr>
        <w:pStyle w:val="Heading2"/>
      </w:pPr>
      <w:r>
        <w:t>Performance Expectations</w:t>
      </w:r>
    </w:p>
    <w:p>
      <w:r>
        <w:t>The engagement will be measured against the following indicators: Design completion (target: Phase 2 by Q1); Carrier coverage (target: ≥5 carriers); Order accuracy (target: ≥99%). These will be reviewed monthly during steering committee meetings.</w:t>
      </w:r>
    </w:p>
    <w:p/>
    <w:p>
      <w:r>
        <w:t>General terms: Client shall provide access to necessary environments and stakeholders. Infrastructure costs are borne by Client. Any scope changes require written approval from both parties. All intellectual property created under this SOW transfers to Client upon full payment.</w:t>
      </w:r>
    </w:p>
    <w:p/>
    <w:p>
      <w:pPr>
        <w:pStyle w:val="Heading2"/>
      </w:pPr>
      <w:r>
        <w:t>Signatures</w:t>
      </w:r>
    </w:p>
    <w:tbl>
      <w:tblPr>
        <w:tblStyle w:val="LightGrid-Accent1"/>
        <w:tblW w:type="auto" w:w="0"/>
        <w:tblLook w:firstColumn="1" w:firstRow="1" w:lastColumn="0" w:lastRow="0" w:noHBand="0" w:noVBand="1" w:val="04A0"/>
      </w:tblPr>
      <w:tblGrid>
        <w:gridCol w:w="4320"/>
        <w:gridCol w:w="4320"/>
      </w:tblGrid>
      <w:tr>
        <w:tc>
          <w:tcPr>
            <w:tcW w:type="dxa" w:w="4320"/>
          </w:tcPr>
          <w:p>
            <w:r>
              <w:t>For: Brightwave Labs Solutions Pvt. Ltd.</w:t>
            </w:r>
          </w:p>
        </w:tc>
        <w:tc>
          <w:tcPr>
            <w:tcW w:type="dxa" w:w="4320"/>
          </w:tcPr>
          <w:p>
            <w:r>
              <w:t>For: Parcelly Pty Ltd</w:t>
            </w:r>
          </w:p>
        </w:tc>
      </w:tr>
      <w:tr>
        <w:tc>
          <w:tcPr>
            <w:tcW w:type="dxa" w:w="4320"/>
          </w:tcPr>
          <w:p>
            <w:r>
              <w:t>Name: ___________________________</w:t>
            </w:r>
          </w:p>
        </w:tc>
        <w:tc>
          <w:tcPr>
            <w:tcW w:type="dxa" w:w="4320"/>
          </w:tcPr>
          <w:p>
            <w:r>
              <w:t>Name: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