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SummitCapital Portfolio Platform</w:t>
      </w:r>
    </w:p>
    <w:p>
      <w:pPr>
        <w:jc w:val="center"/>
      </w:pPr>
      <w:r>
        <w:rPr>
          <w:sz w:val="20"/>
        </w:rPr>
        <w:t>SOW Reference: TG-SOW-2026-006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Summit Capital Partners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1. Scope of Work</w:t>
      </w:r>
    </w:p>
    <w:p>
      <w:r>
        <w:t>Brightwave Labs shall provide consulting and development services for the SummitCapital Portfolio Platform engagement:</w:t>
      </w:r>
    </w:p>
    <w:p>
      <w:pPr>
        <w:pStyle w:val="ListBullet"/>
      </w:pPr>
      <w:r>
        <w:t>Product enhancements across all Summit Capital portfolio products</w:t>
      </w:r>
    </w:p>
    <w:p>
      <w:pPr>
        <w:pStyle w:val="ListBullet"/>
      </w:pPr>
      <w:r>
        <w:t>Enhancements for 4+ cross-functional teams per month</w:t>
      </w:r>
    </w:p>
    <w:p>
      <w:pPr>
        <w:pStyle w:val="ListBullet"/>
      </w:pPr>
      <w:r>
        <w:t>Migration of investor and finance team apps</w:t>
      </w:r>
    </w:p>
    <w:p>
      <w:pPr>
        <w:pStyle w:val="ListBullet"/>
      </w:pPr>
      <w:r>
        <w:t>Ongoing production support and maintenance</w:t>
      </w:r>
    </w:p>
    <w:p>
      <w:pPr>
        <w:pStyle w:val="Heading2"/>
      </w:pPr>
      <w:r>
        <w:t>2. Team Composition &amp; Billing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 (USD/hr)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Hours</w:t>
            </w:r>
          </w:p>
        </w:tc>
      </w:tr>
      <w:tr>
        <w:tc>
          <w:tcPr>
            <w:tcW w:type="dxa" w:w="1728"/>
          </w:tcPr>
          <w:p>
            <w:r>
              <w:t>Mahesh Lal</w:t>
            </w:r>
          </w:p>
        </w:tc>
        <w:tc>
          <w:tcPr>
            <w:tcW w:type="dxa" w:w="1728"/>
          </w:tcPr>
          <w:p>
            <w:r>
              <w:t>Principal Consultant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Ajitem</w:t>
            </w:r>
          </w:p>
        </w:tc>
        <w:tc>
          <w:tcPr>
            <w:tcW w:type="dxa" w:w="1728"/>
          </w:tcPr>
          <w:p>
            <w:r>
              <w:t>Lead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  <w:tr>
        <w:tc>
          <w:tcPr>
            <w:tcW w:type="dxa" w:w="1728"/>
          </w:tcPr>
          <w:p>
            <w:r>
              <w:t>Sounak</w:t>
            </w:r>
          </w:p>
        </w:tc>
        <w:tc>
          <w:tcPr>
            <w:tcW w:type="dxa" w:w="1728"/>
          </w:tcPr>
          <w:p>
            <w:r>
              <w:t>Senior Consultant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160</w:t>
            </w:r>
          </w:p>
        </w:tc>
      </w:tr>
    </w:tbl>
    <w:p/>
    <w:p>
      <w:pPr>
        <w:pStyle w:val="Heading2"/>
      </w:pPr>
      <w:r>
        <w:t>3. Deliverables &amp;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Product enhancements across all Summit Capital portfolio products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Enhancements for 4+ cross-functional teams per month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Migration of investor and finance team apps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Ongoing production support and maintenance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</w:tbl>
    <w:p/>
    <w:p>
      <w:pPr>
        <w:pStyle w:val="Heading2"/>
      </w:pPr>
      <w:r>
        <w:t>4. Key Performance Indicators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Feature delivery</w:t>
            </w:r>
          </w:p>
        </w:tc>
        <w:tc>
          <w:tcPr>
            <w:tcW w:type="dxa" w:w="4320"/>
          </w:tcPr>
          <w:p>
            <w:r>
              <w:t>4+ enhancements/month</w:t>
            </w:r>
          </w:p>
        </w:tc>
      </w:tr>
      <w:tr>
        <w:tc>
          <w:tcPr>
            <w:tcW w:type="dxa" w:w="4320"/>
          </w:tcPr>
          <w:p>
            <w:r>
              <w:t>Migration completion</w:t>
            </w:r>
          </w:p>
        </w:tc>
        <w:tc>
          <w:tcPr>
            <w:tcW w:type="dxa" w:w="4320"/>
          </w:tcPr>
          <w:p>
            <w:r>
              <w:t>≥90%</w:t>
            </w:r>
          </w:p>
        </w:tc>
      </w:tr>
      <w:tr>
        <w:tc>
          <w:tcPr>
            <w:tcW w:type="dxa" w:w="4320"/>
          </w:tcPr>
          <w:p>
            <w:r>
              <w:t>Incident response</w:t>
            </w:r>
          </w:p>
        </w:tc>
        <w:tc>
          <w:tcPr>
            <w:tcW w:type="dxa" w:w="4320"/>
          </w:tcPr>
          <w:p>
            <w:r>
              <w:t>&lt;4 hrs P1</w:t>
            </w:r>
          </w:p>
        </w:tc>
      </w:tr>
    </w:tbl>
    <w:p/>
    <w:p>
      <w:pPr>
        <w:pStyle w:val="Heading2"/>
      </w:pPr>
      <w:r>
        <w:t>5. Commercial Terms</w:t>
      </w:r>
    </w:p>
    <w:p>
      <w:r>
        <w:t>Estimated monthly value: $28,747</w:t>
      </w:r>
    </w:p>
    <w:p>
      <w:r>
        <w:t>Invoicing: Monthly in arrears based on actual hours logged in Kimai.</w:t>
      </w:r>
    </w:p>
    <w:p>
      <w:r>
        <w:t>Payment terms: Net 30 days from invoice date.</w:t>
      </w:r>
    </w:p>
    <w:p>
      <w:pPr>
        <w:pStyle w:val="Heading2"/>
      </w:pPr>
      <w:r>
        <w:t>6. Assumptions &amp; Exclusions</w:t>
      </w:r>
    </w:p>
    <w:p>
      <w:pPr>
        <w:pStyle w:val="ListBullet"/>
      </w:pPr>
      <w:r>
        <w:t>Client provides timely access to environments and stakeholders.</w:t>
      </w:r>
    </w:p>
    <w:p>
      <w:pPr>
        <w:pStyle w:val="ListBullet"/>
      </w:pPr>
      <w:r>
        <w:t>Infrastructure and hosting costs borne by client.</w:t>
      </w:r>
    </w:p>
    <w:p>
      <w:pPr>
        <w:pStyle w:val="ListBullet"/>
      </w:pPr>
      <w:r>
        <w:t>Scope changes require formal Change Request approval.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Summit Capital Partners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