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Summit Capital Sprout (Data Intelligence)</w:t>
      </w:r>
    </w:p>
    <w:p>
      <w:pPr>
        <w:jc w:val="center"/>
      </w:pPr>
      <w:r>
        <w:rPr>
          <w:sz w:val="20"/>
        </w:rPr>
        <w:t>SOW Reference: TG-SOW-2026-007</w:t>
      </w:r>
    </w:p>
    <w:p/>
    <w:p>
      <w:pPr>
        <w:pStyle w:val="Heading2"/>
      </w:pPr>
      <w:r>
        <w:t>Contract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SOW #</w:t>
            </w:r>
          </w:p>
        </w:tc>
        <w:tc>
          <w:tcPr>
            <w:tcW w:type="dxa" w:w="4320"/>
          </w:tcPr>
          <w:p>
            <w:r>
              <w:t>TG-SOW-2026-007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Summit Capital Partners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Mar 18, 2026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30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2"/>
      </w:pPr>
      <w:r>
        <w:t>Scope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S-01</w:t>
            </w:r>
          </w:p>
        </w:tc>
        <w:tc>
          <w:tcPr>
            <w:tcW w:type="dxa" w:w="2160"/>
          </w:tcPr>
          <w:p>
            <w:r>
              <w:t>Data ingestion and transformation pipeline streamlining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  <w:tr>
        <w:tc>
          <w:tcPr>
            <w:tcW w:type="dxa" w:w="2160"/>
          </w:tcPr>
          <w:p>
            <w:r>
              <w:t>S-02</w:t>
            </w:r>
          </w:p>
        </w:tc>
        <w:tc>
          <w:tcPr>
            <w:tcW w:type="dxa" w:w="2160"/>
          </w:tcPr>
          <w:p>
            <w:r>
              <w:t>Large-scale web scraping productionization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  <w:tr>
        <w:tc>
          <w:tcPr>
            <w:tcW w:type="dxa" w:w="2160"/>
          </w:tcPr>
          <w:p>
            <w:r>
              <w:t>S-03</w:t>
            </w:r>
          </w:p>
        </w:tc>
        <w:tc>
          <w:tcPr>
            <w:tcW w:type="dxa" w:w="2160"/>
          </w:tcPr>
          <w:p>
            <w:r>
              <w:t>Data coverage expansion and dataset augmentation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  <w:tr>
        <w:tc>
          <w:tcPr>
            <w:tcW w:type="dxa" w:w="2160"/>
          </w:tcPr>
          <w:p>
            <w:r>
              <w:t>S-04</w:t>
            </w:r>
          </w:p>
        </w:tc>
        <w:tc>
          <w:tcPr>
            <w:tcW w:type="dxa" w:w="2160"/>
          </w:tcPr>
          <w:p>
            <w:r>
              <w:t>Ad-hoc data requests and 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</w:tbl>
    <w:p/>
    <w:p>
      <w:pPr>
        <w:pStyle w:val="Heading2"/>
      </w:pPr>
      <w:r>
        <w:t>Resource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Alloc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Rate/Hr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Hrs/Mo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t>Anish Anil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R-02</w:t>
            </w:r>
          </w:p>
        </w:tc>
        <w:tc>
          <w:tcPr>
            <w:tcW w:type="dxa" w:w="1440"/>
          </w:tcPr>
          <w:p>
            <w:r>
              <w:t>Mayur B.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$17,600/mo</w:t>
            </w:r>
          </w:p>
        </w:tc>
      </w:tr>
    </w:tbl>
    <w:p/>
    <w:p>
      <w:pPr>
        <w:pStyle w:val="Heading2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KPI-01</w:t>
            </w:r>
          </w:p>
        </w:tc>
        <w:tc>
          <w:tcPr>
            <w:tcW w:type="dxa" w:w="2880"/>
          </w:tcPr>
          <w:p>
            <w:r>
              <w:t>Pipeline reliability</w:t>
            </w:r>
          </w:p>
        </w:tc>
        <w:tc>
          <w:tcPr>
            <w:tcW w:type="dxa" w:w="2880"/>
          </w:tcPr>
          <w:p>
            <w:r>
              <w:t>≥99%</w:t>
            </w:r>
          </w:p>
        </w:tc>
      </w:tr>
      <w:tr>
        <w:tc>
          <w:tcPr>
            <w:tcW w:type="dxa" w:w="2880"/>
          </w:tcPr>
          <w:p>
            <w:r>
              <w:t>KPI-02</w:t>
            </w:r>
          </w:p>
        </w:tc>
        <w:tc>
          <w:tcPr>
            <w:tcW w:type="dxa" w:w="2880"/>
          </w:tcPr>
          <w:p>
            <w:r>
              <w:t>Scraping throughput</w:t>
            </w:r>
          </w:p>
        </w:tc>
        <w:tc>
          <w:tcPr>
            <w:tcW w:type="dxa" w:w="2880"/>
          </w:tcPr>
          <w:p>
            <w:r>
              <w:t>≥5000 pages/day</w:t>
            </w:r>
          </w:p>
        </w:tc>
      </w:tr>
      <w:tr>
        <w:tc>
          <w:tcPr>
            <w:tcW w:type="dxa" w:w="2880"/>
          </w:tcPr>
          <w:p>
            <w:r>
              <w:t>KPI-03</w:t>
            </w:r>
          </w:p>
        </w:tc>
        <w:tc>
          <w:tcPr>
            <w:tcW w:type="dxa" w:w="2880"/>
          </w:tcPr>
          <w:p>
            <w:r>
              <w:t>Ad-hoc turnaround</w:t>
            </w:r>
          </w:p>
        </w:tc>
        <w:tc>
          <w:tcPr>
            <w:tcW w:type="dxa" w:w="2880"/>
          </w:tcPr>
          <w:p>
            <w:r>
              <w:t>&lt;2 business days</w:t>
            </w:r>
          </w:p>
        </w:tc>
      </w:tr>
    </w:tbl>
    <w:p/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Summit Capital Partners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