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The Ledger – Ad Revenue</w:t>
      </w:r>
    </w:p>
    <w:p>
      <w:pPr>
        <w:jc w:val="center"/>
      </w:pPr>
      <w:r>
        <w:rPr>
          <w:sz w:val="20"/>
        </w:rPr>
        <w:t>SOW Reference: TG-SOW-2026-009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The Ledger Group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pPr>
        <w:pStyle w:val="ListBullet"/>
      </w:pPr>
      <w:r>
        <w:t>New ad-slot implementation on Home and Topic pages</w:t>
      </w:r>
    </w:p>
    <w:p>
      <w:pPr>
        <w:pStyle w:val="ListBullet"/>
      </w:pPr>
      <w:r>
        <w:t>ABS integration using Double Verify</w:t>
      </w:r>
    </w:p>
    <w:p>
      <w:pPr>
        <w:pStyle w:val="ListBullet"/>
      </w:pPr>
      <w:r>
        <w:t>Limited Ads feature development</w:t>
      </w:r>
    </w:p>
    <w:p>
      <w:pPr>
        <w:pStyle w:val="ListBullet"/>
      </w:pPr>
      <w:r>
        <w:t>App performance optimization (caching)</w:t>
      </w:r>
    </w:p>
    <w:p>
      <w:pPr>
        <w:pStyle w:val="ListBullet"/>
      </w:pPr>
      <w:r>
        <w:t>iOS compliance changes for ad slots</w:t>
      </w:r>
    </w:p>
    <w:p>
      <w:pPr>
        <w:pStyle w:val="Heading2"/>
      </w:pPr>
      <w:r>
        <w:t>2. Team &amp;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Hourly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Hours/Mo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Ashutosh</w:t>
            </w:r>
          </w:p>
        </w:tc>
        <w:tc>
          <w:tcPr>
            <w:tcW w:type="dxa" w:w="1728"/>
          </w:tcPr>
          <w:p>
            <w:r>
              <w:t>Lead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$80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Rahul K.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Saagar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</w:t>
      </w:r>
    </w:p>
    <w:p>
      <w:r>
        <w:t>D1: New ad-slot implementation on Home and Topic pages  [Target: Jun 30, 2026]</w:t>
      </w:r>
    </w:p>
    <w:p>
      <w:r>
        <w:t>D2: ABS integration using Double Verify  [Target: Jun 30, 2026]</w:t>
      </w:r>
    </w:p>
    <w:p>
      <w:r>
        <w:t>D3: Limited Ads feature development  [Target: Jun 30, 2026]</w:t>
      </w:r>
    </w:p>
    <w:p>
      <w:r>
        <w:t>D4: App performance optimization (caching)  [Target: Jun 30, 2026]</w:t>
      </w:r>
    </w:p>
    <w:p>
      <w:r>
        <w:t>D5: iOS compliance changes for ad slots  [Target: Jun 30, 2026]</w:t>
      </w:r>
    </w:p>
    <w:p>
      <w:pPr>
        <w:pStyle w:val="Heading2"/>
      </w:pPr>
      <w:r>
        <w:t>4. KPIs</w:t>
      </w:r>
    </w:p>
    <w:p>
      <w:pPr>
        <w:pStyle w:val="ListBullet"/>
      </w:pPr>
      <w:r>
        <w:t>Ad revenue uplift: ≥10%</w:t>
      </w:r>
    </w:p>
    <w:p>
      <w:pPr>
        <w:pStyle w:val="ListBullet"/>
      </w:pPr>
      <w:r>
        <w:t>App load time improvement: ≥10%</w:t>
      </w:r>
    </w:p>
    <w:p>
      <w:pPr>
        <w:pStyle w:val="ListBullet"/>
      </w:pPr>
      <w:r>
        <w:t>Crash-free sessions: ≥99.5%</w:t>
      </w:r>
    </w:p>
    <w:p>
      <w:pPr>
        <w:pStyle w:val="Heading2"/>
      </w:pPr>
      <w:r>
        <w:t>5. General Terms</w:t>
      </w:r>
    </w:p>
    <w:p>
      <w:r>
        <w:t>All work invoiced monthly based on Kimai timesheets. Scope changes via CR process. Client responsible for infrastructure costs.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The Ledger Group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