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Wellnest (Wellnest Notify)</w:t>
      </w:r>
    </w:p>
    <w:p>
      <w:r>
        <w:t>Reference: TG-SOW-2026-003</w:t>
      </w:r>
    </w:p>
    <w:p>
      <w:r>
        <w:t>Date: Jan 1, 2026</w:t>
      </w:r>
    </w:p>
    <w:p/>
    <w:p>
      <w:r>
        <w:t>This Statement of Work ("SOW") is entered into between Brightwave Labs Solutions Pvt. Ltd. ("Vendor") and Wellnest Notify Inc. ("Client") for the provision of technology consulting services as described below. This engagement shall commence on Jan 1, 2026 and conclude on Mar 25, 2026, unless extended by mutual agreement.</w:t>
      </w:r>
    </w:p>
    <w:p/>
    <w:p>
      <w:pPr>
        <w:pStyle w:val="Heading2"/>
      </w:pPr>
      <w:r>
        <w:t>Engagement Overview</w:t>
      </w:r>
    </w:p>
    <w:p>
      <w:r>
        <w:t>The Vendor shall deliver the following services under this engagement: Lab Requisition feature development; Mobile app development (Android beta for clinician users); UI Architecture Library setup (Atomic Design); React Compiler enablement on web &amp; mobile; Enhanced Sentry error monitoring; Patient onboarding automation from EMR rosters. All deliverables shall be completed within the engagement period unless otherwise agreed via Change Request.</w:t>
      </w:r>
    </w:p>
    <w:p/>
    <w:p>
      <w:pPr>
        <w:pStyle w:val="Heading2"/>
      </w:pPr>
      <w:r>
        <w:t>Team &amp; Commercials</w:t>
      </w:r>
    </w:p>
    <w:p>
      <w:r>
        <w:t>The following consultants are assigned to this engagement: Mahesh Lal (Principal Consultant, 10% allocation, billed at $100/hour, estimated 16 hours/month); Pathik (Senior Consultant, 100% allocation, billed at $65/hour, estimated 160 hours/month); Priyanka M. (Technology Consultant, 100% allocation, billed at $55/hour, estimated 160 hours/month). Actual hours will be tracked via Kimai and invoiced monthly in arrears. Payment terms are Net 30 from invoice date.</w:t>
      </w:r>
    </w:p>
    <w:p/>
    <w:p>
      <w:pPr>
        <w:pStyle w:val="Heading2"/>
      </w:pPr>
      <w:r>
        <w:t>Performance Expectations</w:t>
      </w:r>
    </w:p>
    <w:p>
      <w:r>
        <w:t>The engagement will be measured against the following indicators: Mobile app completion (target: ≥80%); Crash-free rate (target: ≥99%); API error rate (target: &lt;1%). These will be reviewed monthly during steering committee meetings.</w:t>
      </w:r>
    </w:p>
    <w:p/>
    <w:p>
      <w:r>
        <w:t>General terms: Client shall provide access to necessary environments and stakeholders. Infrastructure costs are borne by Client. Any scope changes require written approval from both parties. All intellectual property created under this SOW transfers to Client upon full payment.</w:t>
      </w:r>
    </w:p>
    <w:p/>
    <w:p>
      <w:pPr>
        <w:pStyle w:val="Heading2"/>
      </w:pPr>
      <w:r>
        <w:t>Signatures</w:t>
      </w:r>
    </w:p>
    <w:tbl>
      <w:tblPr>
        <w:tblStyle w:val="LightGrid-Accent1"/>
        <w:tblW w:type="auto" w:w="0"/>
        <w:tblLook w:firstColumn="1" w:firstRow="1" w:lastColumn="0" w:lastRow="0" w:noHBand="0" w:noVBand="1" w:val="04A0"/>
      </w:tblPr>
      <w:tblGrid>
        <w:gridCol w:w="4320"/>
        <w:gridCol w:w="4320"/>
      </w:tblGrid>
      <w:tr>
        <w:tc>
          <w:tcPr>
            <w:tcW w:type="dxa" w:w="4320"/>
          </w:tcPr>
          <w:p>
            <w:r>
              <w:t>For: Brightwave Labs Solutions Pvt. Ltd.</w:t>
            </w:r>
          </w:p>
        </w:tc>
        <w:tc>
          <w:tcPr>
            <w:tcW w:type="dxa" w:w="4320"/>
          </w:tcPr>
          <w:p>
            <w:r>
              <w:t>For: Wellnest Notify Inc.</w:t>
            </w:r>
          </w:p>
        </w:tc>
      </w:tr>
      <w:tr>
        <w:tc>
          <w:tcPr>
            <w:tcW w:type="dxa" w:w="4320"/>
          </w:tcPr>
          <w:p>
            <w:r>
              <w:t>Name: ___________________________</w:t>
            </w:r>
          </w:p>
        </w:tc>
        <w:tc>
          <w:tcPr>
            <w:tcW w:type="dxa" w:w="4320"/>
          </w:tcPr>
          <w:p>
            <w:r>
              <w:t>Name: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