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5175D" w14:textId="77777777" w:rsidR="001A27DD" w:rsidRPr="001A27DD" w:rsidRDefault="001A27DD" w:rsidP="001A27DD">
      <w:r w:rsidRPr="001A27DD">
        <w:t>KVC-Q: A high-fidelity and dynamic KV Cache quantization framework for long-context large language models</w:t>
      </w:r>
    </w:p>
    <w:p w14:paraId="4F3E3F39" w14:textId="77777777" w:rsidR="001A27DD" w:rsidRPr="001A27DD" w:rsidRDefault="001A27DD" w:rsidP="001A27DD">
      <w:r w:rsidRPr="001A27DD">
        <w:t>Author links open overlay panelYusen Wu, Ruiqin Lin, Jiarong Que, Qixiang Zeng, Hongsen Zhang</w:t>
      </w:r>
    </w:p>
    <w:p w14:paraId="220C51E3" w14:textId="77777777" w:rsidR="001A27DD" w:rsidRPr="001A27DD" w:rsidRDefault="001A27DD" w:rsidP="001A27DD">
      <w:r w:rsidRPr="001A27DD">
        <w:t>Show more</w:t>
      </w:r>
    </w:p>
    <w:p w14:paraId="4DAE45AF" w14:textId="77777777" w:rsidR="001A27DD" w:rsidRPr="001A27DD" w:rsidRDefault="001A27DD" w:rsidP="001A27DD">
      <w:r w:rsidRPr="001A27DD">
        <w:t>Add to Mendeley</w:t>
      </w:r>
    </w:p>
    <w:p w14:paraId="31B42AB5" w14:textId="77777777" w:rsidR="001A27DD" w:rsidRPr="001A27DD" w:rsidRDefault="001A27DD" w:rsidP="001A27DD">
      <w:r w:rsidRPr="001A27DD">
        <w:t>Share</w:t>
      </w:r>
    </w:p>
    <w:p w14:paraId="67D73D50" w14:textId="77777777" w:rsidR="001A27DD" w:rsidRPr="001A27DD" w:rsidRDefault="001A27DD" w:rsidP="001A27DD">
      <w:r w:rsidRPr="001A27DD">
        <w:t>Cite</w:t>
      </w:r>
    </w:p>
    <w:p w14:paraId="475824EA" w14:textId="77777777" w:rsidR="001A27DD" w:rsidRPr="001A27DD" w:rsidRDefault="001A27DD" w:rsidP="001A27DD">
      <w:hyperlink r:id="rId5" w:tgtFrame="_blank" w:tooltip="Persistent link using digital object identifier" w:history="1">
        <w:r w:rsidRPr="001A27DD">
          <w:rPr>
            <w:rStyle w:val="Hyperlink"/>
          </w:rPr>
          <w:t>https://doi.org/10.1016/j.sysarc.2026.103699</w:t>
        </w:r>
      </w:hyperlink>
      <w:hyperlink r:id="rId6" w:tgtFrame="_blank" w:history="1">
        <w:r w:rsidRPr="001A27DD">
          <w:rPr>
            <w:rStyle w:val="Hyperlink"/>
          </w:rPr>
          <w:t>Get rights and content</w:t>
        </w:r>
      </w:hyperlink>
    </w:p>
    <w:p w14:paraId="1B8D12B5" w14:textId="77777777" w:rsidR="001A27DD" w:rsidRPr="001A27DD" w:rsidRDefault="001A27DD" w:rsidP="001A27DD">
      <w:r w:rsidRPr="001A27DD">
        <w:t>Abstract</w:t>
      </w:r>
    </w:p>
    <w:p w14:paraId="0E135A3C" w14:textId="77777777" w:rsidR="001A27DD" w:rsidRPr="001A27DD" w:rsidRDefault="001A27DD" w:rsidP="001A27DD">
      <w:r w:rsidRPr="001A27DD">
        <w:t>Large Language Models (LLMs) are increasingly powerful but face a significant memory bottleneck during long-context autoregressive inference due to the growing KV Cache. Existing uniform quantization methods for the KV Cache often neglect its dynamic and heterogeneous nature, leading to substantial performance degradation at low bit-widths. In this paper, we introduce KVC-Q, a novel framework that implements a dynamic, fine-grained quantization strategy. KVC-Q is built upon three core mechanisms: (1) Recency Priority, which preserves high precision for recent tokens; (2) Importance Preservation, which dynamically identifies and retains crucial long-term tokens in high fidelity; and (3) Head-Aware allocation, which assigns precision based on the sensitivity of different attention heads. Our experiments on the LongBench benchmark show that KVC-Q can reduce KV Cache memory footprint by approximately 70% (effectively competing with 4x compression methods) while retaining over 94% of the baseline performance, enabling models to process over 4x longer contexts on a single consumer-grade GPU. This work presents an effective and practical solution to mitigate the memory constraints of LLMs in long-context applications.</w:t>
      </w:r>
    </w:p>
    <w:p w14:paraId="17797748" w14:textId="77777777" w:rsidR="001A27DD" w:rsidRPr="001A27DD" w:rsidRDefault="001A27DD" w:rsidP="001A27DD">
      <w:r w:rsidRPr="001A27DD">
        <w:t>Introduction</w:t>
      </w:r>
    </w:p>
    <w:p w14:paraId="29E1C393" w14:textId="77777777" w:rsidR="001A27DD" w:rsidRPr="001A27DD" w:rsidRDefault="001A27DD" w:rsidP="001A27DD">
      <w:r w:rsidRPr="001A27DD">
        <w:t xml:space="preserve">Large Language Models (LLMs) such as GPT-3 [1], Llama 3.1 [2], GPT-4 [3], Mixtral [4], and Gemma [5] have demonstrated remarkable capabilities across a wide range of natural language tasks. The Mixtral model, in particular, leverages a sparse Mixture-of-Experts (MoE) architecture [6], [7] to activate only a fraction of its parameters for each token, enabling the model to have a very large number of parameters while maintaining a manageable computational cost during inference. A key frontier in the ongoing development of LLMs is the extension of their context window, enabling them to process and reason over increasingly long sequences of text. This long-context ability is critical for complex applications, including summarizing lengthy documents, engaging </w:t>
      </w:r>
      <w:r w:rsidRPr="001A27DD">
        <w:lastRenderedPageBreak/>
        <w:t>in multi-turn dialogue, and performing retrieval-augmented generation (RAG) over extensive knowledge bases.</w:t>
      </w:r>
    </w:p>
    <w:p w14:paraId="55189DA4" w14:textId="77777777" w:rsidR="001A27DD" w:rsidRPr="001A27DD" w:rsidRDefault="001A27DD" w:rsidP="001A27DD">
      <w:r w:rsidRPr="001A27DD">
        <w:t>However, the architectural foundation of most LLMs — the Transformer model [8] — presents a significant obstacle to extending context length during autoregressive inference. The primary bottleneck is the Key-Value (KV) Cache, a mechanism that stores the intermediate attention keys and values for all previous tokens to accelerate the generation of the next token. While effective, the size of the KV Cache scales linearly with the sequence length </w:t>
      </w:r>
      <w:r w:rsidRPr="001A27DD">
        <w:rPr>
          <w:rFonts w:ascii="Cambria Math" w:hAnsi="Cambria Math" w:cs="Cambria Math"/>
        </w:rPr>
        <w:t>𝑆</w:t>
      </w:r>
      <w:r w:rsidRPr="001A27DD">
        <w:t>, with its memory footprint given by 2×</w:t>
      </w:r>
      <w:r w:rsidRPr="001A27DD">
        <w:rPr>
          <w:rFonts w:ascii="Cambria Math" w:hAnsi="Cambria Math" w:cs="Cambria Math"/>
        </w:rPr>
        <w:t>𝐿</w:t>
      </w:r>
      <w:r w:rsidRPr="001A27DD">
        <w:t>×</w:t>
      </w:r>
      <w:r w:rsidRPr="001A27DD">
        <w:rPr>
          <w:rFonts w:ascii="Cambria Math" w:hAnsi="Cambria Math" w:cs="Cambria Math"/>
        </w:rPr>
        <w:t>𝑁ℎ</w:t>
      </w:r>
      <w:r w:rsidRPr="001A27DD">
        <w:t>×</w:t>
      </w:r>
      <w:r w:rsidRPr="001A27DD">
        <w:rPr>
          <w:rFonts w:ascii="Cambria Math" w:hAnsi="Cambria Math" w:cs="Cambria Math"/>
        </w:rPr>
        <w:t>𝑆</w:t>
      </w:r>
      <w:r w:rsidRPr="001A27DD">
        <w:t>×</w:t>
      </w:r>
      <w:r w:rsidRPr="001A27DD">
        <w:rPr>
          <w:rFonts w:ascii="Cambria Math" w:hAnsi="Cambria Math" w:cs="Cambria Math"/>
        </w:rPr>
        <w:t>𝐷ℎ</w:t>
      </w:r>
      <w:r w:rsidRPr="001A27DD">
        <w:t>×precision, where </w:t>
      </w:r>
      <w:r w:rsidRPr="001A27DD">
        <w:rPr>
          <w:rFonts w:ascii="Cambria Math" w:hAnsi="Cambria Math" w:cs="Cambria Math"/>
        </w:rPr>
        <w:t>𝐿</w:t>
      </w:r>
      <w:r w:rsidRPr="001A27DD">
        <w:t> is the number of layers, </w:t>
      </w:r>
      <w:r w:rsidRPr="001A27DD">
        <w:rPr>
          <w:rFonts w:ascii="Cambria Math" w:hAnsi="Cambria Math" w:cs="Cambria Math"/>
        </w:rPr>
        <w:t>𝑁ℎ</w:t>
      </w:r>
      <w:r w:rsidRPr="001A27DD">
        <w:t> is the number of attention heads per layer, and </w:t>
      </w:r>
      <w:r w:rsidRPr="001A27DD">
        <w:rPr>
          <w:rFonts w:ascii="Cambria Math" w:hAnsi="Cambria Math" w:cs="Cambria Math"/>
        </w:rPr>
        <w:t>𝐷ℎ</w:t>
      </w:r>
      <w:r w:rsidRPr="001A27DD">
        <w:t> is the head dimension. Architectures like Multi-Query Attention (MQA) [9] and Grouped-Query Attention (GQA) [10] have been proposed to reduce this overhead by sharing keys and values across multiple heads, but the linear scaling with </w:t>
      </w:r>
      <w:r w:rsidRPr="001A27DD">
        <w:rPr>
          <w:rFonts w:ascii="Cambria Math" w:hAnsi="Cambria Math" w:cs="Cambria Math"/>
        </w:rPr>
        <w:t>𝑆</w:t>
      </w:r>
      <w:r w:rsidRPr="001A27DD">
        <w:t> remains. For a large model like Llama-2-70B, processing a 32k context window requires the KV Cache to store billions of values, consuming over 85 GB of GPU memory in FP16 format—far exceeding the capacity of most consumer and even many data-center GPUs.</w:t>
      </w:r>
    </w:p>
    <w:p w14:paraId="2C64821C" w14:textId="77777777" w:rsidR="001A27DD" w:rsidRPr="001A27DD" w:rsidRDefault="001A27DD" w:rsidP="001A27DD">
      <w:r w:rsidRPr="001A27DD">
        <w:t>Prior work has sought to mitigate this issue through various compression strategies. While weight and activation quantization methods like GPTQ [11] and AWQ [12] have successfully reduced the memory needed to store the model parameters, they do not address the dynamic memory growth of the KV Cache during inference. More direct approaches, such as uniform quantization of the KV Cache to INT8, often suffer from significant performance degradation because they treat all cached values as equally important. Other methods propose eviction strategies that discard older tokens [13], but these risk losing critical information stored early in the context, such as instructions or key facts, which are vital for maintaining coherence.</w:t>
      </w:r>
    </w:p>
    <w:p w14:paraId="26E0245F" w14:textId="77777777" w:rsidR="001A27DD" w:rsidRPr="001A27DD" w:rsidRDefault="001A27DD" w:rsidP="001A27DD">
      <w:r w:rsidRPr="001A27DD">
        <w:t>Our work challenges a fundamental compromise inherent in prior KV Cache optimization strategies, which have largely been confined by a false dichotomy: </w:t>
      </w:r>
      <w:r w:rsidRPr="001A27DD">
        <w:rPr>
          <w:i/>
          <w:iCs/>
        </w:rPr>
        <w:t>either</w:t>
      </w:r>
      <w:r w:rsidRPr="001A27DD">
        <w:t> evicting tokens (deciding </w:t>
      </w:r>
      <w:r w:rsidRPr="001A27DD">
        <w:rPr>
          <w:i/>
          <w:iCs/>
        </w:rPr>
        <w:t>what</w:t>
      </w:r>
      <w:r w:rsidRPr="001A27DD">
        <w:t> to keep) </w:t>
      </w:r>
      <w:r w:rsidRPr="001A27DD">
        <w:rPr>
          <w:i/>
          <w:iCs/>
        </w:rPr>
        <w:t>or</w:t>
      </w:r>
      <w:r w:rsidRPr="001A27DD">
        <w:t> uniformly quantizing them (deciding </w:t>
      </w:r>
      <w:r w:rsidRPr="001A27DD">
        <w:rPr>
          <w:i/>
          <w:iCs/>
        </w:rPr>
        <w:t>how</w:t>
      </w:r>
      <w:r w:rsidRPr="001A27DD">
        <w:t> to keep everything). Eviction-based methods [13], [14] operate on a hard principle of information removal, permanently discarding tokens and risking the loss of context that may become critical later. Conversely, uniform quantization preserves all tokens but, in failing to differentiate their importance, degrades the fidelity of critical information.</w:t>
      </w:r>
    </w:p>
    <w:p w14:paraId="7FE00CD3" w14:textId="77777777" w:rsidR="001A27DD" w:rsidRPr="001A27DD" w:rsidRDefault="001A27DD" w:rsidP="001A27DD">
      <w:r w:rsidRPr="001A27DD">
        <w:t>This paper dismantles this dichotomy by proposing a new paradigm: </w:t>
      </w:r>
      <w:r w:rsidRPr="001A27DD">
        <w:rPr>
          <w:b/>
          <w:bCs/>
        </w:rPr>
        <w:t>dynamic information fidelity</w:t>
      </w:r>
      <w:r w:rsidRPr="001A27DD">
        <w:t xml:space="preserve">. We shift the core research question from a binary “keep-or-discard” decision to a continuous “at-what-fidelity-to-keep” resource allocation problem. We posit that metrics of token importance, previously used to make binary eviction decisions, can be repurposed as fine-grained signals to dynamically allocate quantization bits. This transformation creates a powerful synergy: the full context is </w:t>
      </w:r>
      <w:r w:rsidRPr="001A27DD">
        <w:lastRenderedPageBreak/>
        <w:t>preserved, but with precision gracefully and continuously scaled according to its dynamically-assessed importance.</w:t>
      </w:r>
    </w:p>
    <w:p w14:paraId="51590352" w14:textId="77777777" w:rsidR="001A27DD" w:rsidRPr="001A27DD" w:rsidRDefault="001A27DD" w:rsidP="001A27DD">
      <w:r w:rsidRPr="001A27DD">
        <w:t>Based on this principle, we propose KVC-Q, a novel dynamic, high-fidelity KV Cache quantization framework that instantiates our paradigm. Our core contributions are:</w:t>
      </w:r>
    </w:p>
    <w:p w14:paraId="5EE1469D" w14:textId="77777777" w:rsidR="001A27DD" w:rsidRPr="001A27DD" w:rsidRDefault="001A27DD" w:rsidP="001A27DD">
      <w:pPr>
        <w:numPr>
          <w:ilvl w:val="0"/>
          <w:numId w:val="1"/>
        </w:numPr>
      </w:pPr>
      <w:r w:rsidRPr="001A27DD">
        <w:t>•</w:t>
      </w:r>
    </w:p>
    <w:p w14:paraId="035EEF79" w14:textId="77777777" w:rsidR="001A27DD" w:rsidRPr="001A27DD" w:rsidRDefault="001A27DD" w:rsidP="001A27DD">
      <w:r w:rsidRPr="001A27DD">
        <w:t>We introduce the paradigm of </w:t>
      </w:r>
      <w:r w:rsidRPr="001A27DD">
        <w:rPr>
          <w:i/>
          <w:iCs/>
        </w:rPr>
        <w:t>dynamic information fidelity</w:t>
      </w:r>
      <w:r w:rsidRPr="001A27DD">
        <w:t> for KV Cache compression, moving beyond the prevailing “evict-or-quantize” dichotomy and establishing a synergistic link between importance metrics and bit allocation.</w:t>
      </w:r>
    </w:p>
    <w:p w14:paraId="6C15A0CA" w14:textId="77777777" w:rsidR="001A27DD" w:rsidRPr="001A27DD" w:rsidRDefault="001A27DD" w:rsidP="001A27DD">
      <w:pPr>
        <w:numPr>
          <w:ilvl w:val="0"/>
          <w:numId w:val="1"/>
        </w:numPr>
      </w:pPr>
      <w:r w:rsidRPr="001A27DD">
        <w:t>•</w:t>
      </w:r>
    </w:p>
    <w:p w14:paraId="14C64931" w14:textId="77777777" w:rsidR="001A27DD" w:rsidRPr="001A27DD" w:rsidRDefault="001A27DD" w:rsidP="001A27DD">
      <w:r w:rsidRPr="001A27DD">
        <w:t>We materialize this paradigm in the KVC-Q framework, which integrates recency, attention-based importance, and a novel head-wise sensitivity analysis into a multi-tier cache that intelligently manages information precision in real-time.</w:t>
      </w:r>
    </w:p>
    <w:p w14:paraId="15F28E2E" w14:textId="77777777" w:rsidR="001A27DD" w:rsidRPr="001A27DD" w:rsidRDefault="001A27DD" w:rsidP="001A27DD">
      <w:pPr>
        <w:numPr>
          <w:ilvl w:val="0"/>
          <w:numId w:val="1"/>
        </w:numPr>
      </w:pPr>
      <w:r w:rsidRPr="001A27DD">
        <w:t>•</w:t>
      </w:r>
    </w:p>
    <w:p w14:paraId="15454917" w14:textId="77777777" w:rsidR="001A27DD" w:rsidRPr="001A27DD" w:rsidRDefault="001A27DD" w:rsidP="001A27DD">
      <w:r w:rsidRPr="001A27DD">
        <w:t>We bridge the gap between algorithmic innovation and system realization by detailing the integration of KVC-Q with modern PagedAttention memory management. We present a hardware-aware design that utilizes offline sensitivity profiling and low-latency lookup tables, ensuring that our dynamic precision allocation incurs negligible runtime overhead.</w:t>
      </w:r>
    </w:p>
    <w:p w14:paraId="1E11AAAF" w14:textId="77777777" w:rsidR="001A27DD" w:rsidRPr="001A27DD" w:rsidRDefault="001A27DD" w:rsidP="001A27DD">
      <w:pPr>
        <w:numPr>
          <w:ilvl w:val="0"/>
          <w:numId w:val="1"/>
        </w:numPr>
      </w:pPr>
      <w:r w:rsidRPr="001A27DD">
        <w:t>•</w:t>
      </w:r>
    </w:p>
    <w:p w14:paraId="26CDBF50" w14:textId="77777777" w:rsidR="001A27DD" w:rsidRPr="001A27DD" w:rsidRDefault="001A27DD" w:rsidP="001A27DD">
      <w:r w:rsidRPr="001A27DD">
        <w:t>We conduct extensive experiments on the LongBench benchmark, demonstrating that KVC-Q reduces KV Cache memory by approximately 70% (competing with 4x compression baselines) while retaining over 94% of baseline performance, quadrupling manageable context on consumer GPUs and decisively outperforming methods rooted in either eviction or uniform quantization.</w:t>
      </w:r>
    </w:p>
    <w:p w14:paraId="3E311B55" w14:textId="77777777" w:rsidR="001A27DD" w:rsidRPr="001A27DD" w:rsidRDefault="001A27DD" w:rsidP="001A27DD">
      <w:r w:rsidRPr="001A27DD">
        <w:t>Access through your organization</w:t>
      </w:r>
    </w:p>
    <w:p w14:paraId="7CF2595A" w14:textId="77777777" w:rsidR="001A27DD" w:rsidRPr="001A27DD" w:rsidRDefault="001A27DD" w:rsidP="001A27DD">
      <w:r w:rsidRPr="001A27DD">
        <w:t>Check access to the full text by signing in through your organization.</w:t>
      </w:r>
    </w:p>
    <w:p w14:paraId="785ACADA" w14:textId="77777777" w:rsidR="001A27DD" w:rsidRPr="001A27DD" w:rsidRDefault="001A27DD" w:rsidP="001A27DD">
      <w:r w:rsidRPr="001A27DD">
        <w:t>Section snippets</w:t>
      </w:r>
    </w:p>
    <w:p w14:paraId="4E250275" w14:textId="77777777" w:rsidR="001A27DD" w:rsidRPr="001A27DD" w:rsidRDefault="001A27DD" w:rsidP="001A27DD">
      <w:r w:rsidRPr="001A27DD">
        <w:t>Related work</w:t>
      </w:r>
    </w:p>
    <w:p w14:paraId="7CDC26AE" w14:textId="77777777" w:rsidR="001A27DD" w:rsidRPr="001A27DD" w:rsidRDefault="001A27DD" w:rsidP="001A27DD">
      <w:r w:rsidRPr="001A27DD">
        <w:t>Our work is positioned at the intersection of model compression, efficient LLM inference, and long-context optimization. We review the most relevant prior art in these areas.</w:t>
      </w:r>
    </w:p>
    <w:p w14:paraId="24C4DBCC" w14:textId="77777777" w:rsidR="001A27DD" w:rsidRPr="001A27DD" w:rsidRDefault="001A27DD" w:rsidP="001A27DD">
      <w:r w:rsidRPr="001A27DD">
        <w:t>Preliminaries: The KV cache</w:t>
      </w:r>
    </w:p>
    <w:p w14:paraId="2F30DAE1" w14:textId="77777777" w:rsidR="001A27DD" w:rsidRPr="001A27DD" w:rsidRDefault="001A27DD" w:rsidP="001A27DD">
      <w:r w:rsidRPr="001A27DD">
        <w:lastRenderedPageBreak/>
        <w:t>In the Transformer architecture [8], the core of each layer is the self-attention mechanism. For a given input sequence of token embeddings </w:t>
      </w:r>
      <w:r w:rsidRPr="001A27DD">
        <w:rPr>
          <w:rFonts w:ascii="Cambria Math" w:hAnsi="Cambria Math" w:cs="Cambria Math"/>
        </w:rPr>
        <w:t>𝑋</w:t>
      </w:r>
      <w:r w:rsidRPr="001A27DD">
        <w:t>=[</w:t>
      </w:r>
      <w:r w:rsidRPr="001A27DD">
        <w:rPr>
          <w:rFonts w:ascii="Cambria Math" w:hAnsi="Cambria Math" w:cs="Cambria Math"/>
        </w:rPr>
        <w:t>𝑥</w:t>
      </w:r>
      <w:r w:rsidRPr="001A27DD">
        <w:t>1,…,</w:t>
      </w:r>
      <w:r w:rsidRPr="001A27DD">
        <w:rPr>
          <w:rFonts w:ascii="Cambria Math" w:hAnsi="Cambria Math" w:cs="Cambria Math"/>
        </w:rPr>
        <w:t>𝑥𝑛</w:t>
      </w:r>
      <w:r w:rsidRPr="001A27DD">
        <w:t>], three matrices, Query (</w:t>
      </w:r>
      <w:r w:rsidRPr="001A27DD">
        <w:rPr>
          <w:rFonts w:ascii="Cambria Math" w:hAnsi="Cambria Math" w:cs="Cambria Math"/>
        </w:rPr>
        <w:t>𝑄</w:t>
      </w:r>
      <w:r w:rsidRPr="001A27DD">
        <w:t>), Key (</w:t>
      </w:r>
      <w:r w:rsidRPr="001A27DD">
        <w:rPr>
          <w:rFonts w:ascii="Cambria Math" w:hAnsi="Cambria Math" w:cs="Cambria Math"/>
        </w:rPr>
        <w:t>𝐾</w:t>
      </w:r>
      <w:r w:rsidRPr="001A27DD">
        <w:t>), and Value (</w:t>
      </w:r>
      <w:r w:rsidRPr="001A27DD">
        <w:rPr>
          <w:rFonts w:ascii="Cambria Math" w:hAnsi="Cambria Math" w:cs="Cambria Math"/>
        </w:rPr>
        <w:t>𝑉</w:t>
      </w:r>
      <w:r w:rsidRPr="001A27DD">
        <w:t>), are computed by projecting </w:t>
      </w:r>
      <w:r w:rsidRPr="001A27DD">
        <w:rPr>
          <w:rFonts w:ascii="Cambria Math" w:hAnsi="Cambria Math" w:cs="Cambria Math"/>
        </w:rPr>
        <w:t>𝑋</w:t>
      </w:r>
      <w:r w:rsidRPr="001A27DD">
        <w:t> with learned weight matrices </w:t>
      </w:r>
      <w:r w:rsidRPr="001A27DD">
        <w:rPr>
          <w:rFonts w:ascii="Cambria Math" w:hAnsi="Cambria Math" w:cs="Cambria Math"/>
        </w:rPr>
        <w:t>𝑊𝑄</w:t>
      </w:r>
      <w:r w:rsidRPr="001A27DD">
        <w:t>, </w:t>
      </w:r>
      <w:r w:rsidRPr="001A27DD">
        <w:rPr>
          <w:rFonts w:ascii="Cambria Math" w:hAnsi="Cambria Math" w:cs="Cambria Math"/>
        </w:rPr>
        <w:t>𝑊𝐾</w:t>
      </w:r>
      <w:r w:rsidRPr="001A27DD">
        <w:t>, and </w:t>
      </w:r>
      <w:r w:rsidRPr="001A27DD">
        <w:rPr>
          <w:rFonts w:ascii="Cambria Math" w:hAnsi="Cambria Math" w:cs="Cambria Math"/>
        </w:rPr>
        <w:t>𝑊𝑉</w:t>
      </w:r>
      <w:r w:rsidRPr="001A27DD">
        <w:t>:</w:t>
      </w:r>
      <w:r w:rsidRPr="001A27DD">
        <w:rPr>
          <w:rFonts w:ascii="Cambria Math" w:hAnsi="Cambria Math" w:cs="Cambria Math"/>
        </w:rPr>
        <w:t>𝑄</w:t>
      </w:r>
      <w:r w:rsidRPr="001A27DD">
        <w:t>=</w:t>
      </w:r>
      <w:r w:rsidRPr="001A27DD">
        <w:rPr>
          <w:rFonts w:ascii="Cambria Math" w:hAnsi="Cambria Math" w:cs="Cambria Math"/>
        </w:rPr>
        <w:t>𝑋⁢𝑊𝑄</w:t>
      </w:r>
      <w:r w:rsidRPr="001A27DD">
        <w:t>,</w:t>
      </w:r>
      <w:r w:rsidRPr="001A27DD">
        <w:rPr>
          <w:rFonts w:ascii="Cambria Math" w:hAnsi="Cambria Math" w:cs="Cambria Math"/>
        </w:rPr>
        <w:t>𝐾</w:t>
      </w:r>
      <w:r w:rsidRPr="001A27DD">
        <w:t>=</w:t>
      </w:r>
      <w:r w:rsidRPr="001A27DD">
        <w:rPr>
          <w:rFonts w:ascii="Cambria Math" w:hAnsi="Cambria Math" w:cs="Cambria Math"/>
        </w:rPr>
        <w:t>𝑋⁢𝑊𝐾</w:t>
      </w:r>
      <w:r w:rsidRPr="001A27DD">
        <w:t>,</w:t>
      </w:r>
      <w:r w:rsidRPr="001A27DD">
        <w:rPr>
          <w:rFonts w:ascii="Cambria Math" w:hAnsi="Cambria Math" w:cs="Cambria Math"/>
        </w:rPr>
        <w:t>𝑉</w:t>
      </w:r>
      <w:r w:rsidRPr="001A27DD">
        <w:t>=</w:t>
      </w:r>
      <w:r w:rsidRPr="001A27DD">
        <w:rPr>
          <w:rFonts w:ascii="Cambria Math" w:hAnsi="Cambria Math" w:cs="Cambria Math"/>
        </w:rPr>
        <w:t>𝑋⁢𝑊𝑉</w:t>
      </w:r>
      <w:r w:rsidRPr="001A27DD">
        <w:t>The attention output is then calculated as:Attention</w:t>
      </w:r>
      <w:r w:rsidRPr="001A27DD">
        <w:rPr>
          <w:rFonts w:ascii="Cambria Math" w:hAnsi="Cambria Math" w:cs="Cambria Math"/>
        </w:rPr>
        <w:t>⁡</w:t>
      </w:r>
      <w:r w:rsidRPr="001A27DD">
        <w:t>(</w:t>
      </w:r>
      <w:r w:rsidRPr="001A27DD">
        <w:rPr>
          <w:rFonts w:ascii="Cambria Math" w:hAnsi="Cambria Math" w:cs="Cambria Math"/>
        </w:rPr>
        <w:t>𝑄</w:t>
      </w:r>
      <w:r w:rsidRPr="001A27DD">
        <w:t>,</w:t>
      </w:r>
      <w:r w:rsidRPr="001A27DD">
        <w:rPr>
          <w:rFonts w:ascii="Cambria Math" w:hAnsi="Cambria Math" w:cs="Cambria Math"/>
        </w:rPr>
        <w:t>𝐾</w:t>
      </w:r>
      <w:r w:rsidRPr="001A27DD">
        <w:t>,</w:t>
      </w:r>
      <w:r w:rsidRPr="001A27DD">
        <w:rPr>
          <w:rFonts w:ascii="Cambria Math" w:hAnsi="Cambria Math" w:cs="Cambria Math"/>
        </w:rPr>
        <w:t>𝑉</w:t>
      </w:r>
      <w:r w:rsidRPr="001A27DD">
        <w:t>)=softmax</w:t>
      </w:r>
      <w:r w:rsidRPr="001A27DD">
        <w:rPr>
          <w:rFonts w:ascii="Cambria Math" w:hAnsi="Cambria Math" w:cs="Cambria Math"/>
        </w:rPr>
        <w:t>⁡</w:t>
      </w:r>
      <w:r w:rsidRPr="001A27DD">
        <w:t>(</w:t>
      </w:r>
      <w:r w:rsidRPr="001A27DD">
        <w:rPr>
          <w:rFonts w:ascii="Cambria Math" w:hAnsi="Cambria Math" w:cs="Cambria Math"/>
        </w:rPr>
        <w:t>𝑄⁢𝐾𝑇</w:t>
      </w:r>
      <w:r w:rsidRPr="001A27DD">
        <w:t>√</w:t>
      </w:r>
      <w:r w:rsidRPr="001A27DD">
        <w:rPr>
          <w:rFonts w:ascii="Cambria Math" w:hAnsi="Cambria Math" w:cs="Cambria Math"/>
        </w:rPr>
        <w:t>𝑑𝑘</w:t>
      </w:r>
      <w:r w:rsidRPr="001A27DD">
        <w:t>)</w:t>
      </w:r>
      <w:r w:rsidRPr="001A27DD">
        <w:rPr>
          <w:rFonts w:ascii="Cambria Math" w:hAnsi="Cambria Math" w:cs="Cambria Math"/>
        </w:rPr>
        <w:t>⁢𝑉</w:t>
      </w:r>
      <w:r w:rsidRPr="001A27DD">
        <w:t>where </w:t>
      </w:r>
      <w:r w:rsidRPr="001A27DD">
        <w:rPr>
          <w:rFonts w:ascii="Cambria Math" w:hAnsi="Cambria Math" w:cs="Cambria Math"/>
        </w:rPr>
        <w:t>𝑑𝑘</w:t>
      </w:r>
      <w:r w:rsidRPr="001A27DD">
        <w:t> is the dimension of the key vectors.</w:t>
      </w:r>
    </w:p>
    <w:p w14:paraId="0049C54E" w14:textId="77777777" w:rsidR="001A27DD" w:rsidRPr="001A27DD" w:rsidRDefault="001A27DD" w:rsidP="001A27DD">
      <w:r w:rsidRPr="001A27DD">
        <w:t>In autoregressive generation, at each step </w:t>
      </w:r>
      <w:r w:rsidRPr="001A27DD">
        <w:rPr>
          <w:rFonts w:ascii="Cambria Math" w:hAnsi="Cambria Math" w:cs="Cambria Math"/>
        </w:rPr>
        <w:t>𝑡</w:t>
      </w:r>
      <w:r w:rsidRPr="001A27DD">
        <w:t>, the model generates a new token based</w:t>
      </w:r>
    </w:p>
    <w:p w14:paraId="2922F377" w14:textId="77777777" w:rsidR="001A27DD" w:rsidRPr="001A27DD" w:rsidRDefault="001A27DD" w:rsidP="001A27DD">
      <w:r w:rsidRPr="001A27DD">
        <w:t>System design and implementation</w:t>
      </w:r>
    </w:p>
    <w:p w14:paraId="3CE2E390" w14:textId="77777777" w:rsidR="001A27DD" w:rsidRPr="001A27DD" w:rsidRDefault="001A27DD" w:rsidP="001A27DD">
      <w:r w:rsidRPr="001A27DD">
        <w:t>While the algorithmic principles of KVC-Q provide the theoretical foundation for high-fidelity compression, their practical realization requires a rigorous system-level design. In this section, we detail how KVC-Q is architected to integrate seamlessly with modern LLM inference engines, specifically addressing the challenges of memory fragmentation, hardware latency, and pipeline parallelism.</w:t>
      </w:r>
    </w:p>
    <w:p w14:paraId="6740F08A" w14:textId="77777777" w:rsidR="001A27DD" w:rsidRPr="001A27DD" w:rsidRDefault="001A27DD" w:rsidP="001A27DD">
      <w:r w:rsidRPr="001A27DD">
        <w:t>Theoretical analysis</w:t>
      </w:r>
    </w:p>
    <w:p w14:paraId="4158C72F" w14:textId="77777777" w:rsidR="001A27DD" w:rsidRPr="001A27DD" w:rsidRDefault="001A27DD" w:rsidP="001A27DD">
      <w:r w:rsidRPr="001A27DD">
        <w:t>To provide a deeper analytical insight into why our seemingly simple “Heavy Hitter” and “Head-Aware” strategies are effective, we formulate the KV cache compression problem as a constrained optimization problem. We derive an error bound that justifies our design choices.</w:t>
      </w:r>
    </w:p>
    <w:p w14:paraId="05DE22E1" w14:textId="77777777" w:rsidR="001A27DD" w:rsidRPr="001A27DD" w:rsidRDefault="001A27DD" w:rsidP="001A27DD">
      <w:r w:rsidRPr="001A27DD">
        <w:t>Experimental setup</w:t>
      </w:r>
    </w:p>
    <w:p w14:paraId="35ECCC2F" w14:textId="77777777" w:rsidR="001A27DD" w:rsidRPr="001A27DD" w:rsidRDefault="001A27DD" w:rsidP="001A27DD">
      <w:r w:rsidRPr="001A27DD">
        <w:rPr>
          <w:b/>
          <w:bCs/>
        </w:rPr>
        <w:t>Model and Hardware.</w:t>
      </w:r>
      <w:r w:rsidRPr="001A27DD">
        <w:t> Our primary experiments and ablation studies are conducted on the Llama-2 7B model [37] to provide a deep and consistent analysis. To demonstrate the generalizability of our findings, we also validate our final method, KVC-Q, against baselines on three other diverse and widely-used models: Mistral-7B [38], Gemma-7B [5], and Qwen-1.5-7B. Performance benchmarks are run on an NVIDIA A100 GPU with 80 GB of VRAM, and consumer-grade hardware tests are performed on an NVIDIA RTX</w:t>
      </w:r>
    </w:p>
    <w:p w14:paraId="5861F4A0" w14:textId="77777777" w:rsidR="001A27DD" w:rsidRPr="001A27DD" w:rsidRDefault="001A27DD" w:rsidP="001A27DD">
      <w:r w:rsidRPr="001A27DD">
        <w:t>Discussion: Limitations and future work</w:t>
      </w:r>
    </w:p>
    <w:p w14:paraId="40F277E4" w14:textId="77777777" w:rsidR="001A27DD" w:rsidRPr="001A27DD" w:rsidRDefault="001A27DD" w:rsidP="001A27DD">
      <w:r w:rsidRPr="001A27DD">
        <w:t>While KVC-Q demonstrates a compelling balance between memory efficiency and model fidelity, we acknowledge the reviewer’s observation that our 4x compression ratio is modest compared to aggressive eviction-based methods like SnapKV (up to 10x). This limitation is a direct consequence of our core design philosophy: </w:t>
      </w:r>
      <w:r w:rsidRPr="001A27DD">
        <w:rPr>
          <w:i/>
          <w:iCs/>
        </w:rPr>
        <w:t>Conservative Fidelity</w:t>
      </w:r>
      <w:r w:rsidRPr="001A27DD">
        <w:t>.</w:t>
      </w:r>
    </w:p>
    <w:p w14:paraId="30EE3088" w14:textId="77777777" w:rsidR="001A27DD" w:rsidRPr="001A27DD" w:rsidRDefault="001A27DD" w:rsidP="001A27DD">
      <w:r w:rsidRPr="001A27DD">
        <w:t>Conclusion</w:t>
      </w:r>
    </w:p>
    <w:p w14:paraId="3CC8AEEB" w14:textId="77777777" w:rsidR="001A27DD" w:rsidRPr="001A27DD" w:rsidRDefault="001A27DD" w:rsidP="001A27DD">
      <w:r w:rsidRPr="001A27DD">
        <w:t xml:space="preserve">In this work, we addressed the critical challenge of the growing memory footprint of the KV Cache in long-context Large Language Models. We introduced KVC-Q, a novel dynamic mixed-precision framework that significantly compresses the KV Cache while preserving model performance. Unlike eviction-based strategies that permanently </w:t>
      </w:r>
      <w:r w:rsidRPr="001A27DD">
        <w:lastRenderedPageBreak/>
        <w:t>discard token information, KVC-Q retains the full history by dynamically allocating precision based on token importance. Our two-tier cache architecture, comprising a</w:t>
      </w:r>
    </w:p>
    <w:p w14:paraId="79EB3B38" w14:textId="77777777" w:rsidR="001A27DD" w:rsidRPr="001A27DD" w:rsidRDefault="001A27DD" w:rsidP="001A27DD">
      <w:r w:rsidRPr="001A27DD">
        <w:t>CRediT authorship contribution statement</w:t>
      </w:r>
    </w:p>
    <w:p w14:paraId="504BC8FB" w14:textId="77777777" w:rsidR="001A27DD" w:rsidRPr="001A27DD" w:rsidRDefault="001A27DD" w:rsidP="001A27DD">
      <w:r w:rsidRPr="001A27DD">
        <w:rPr>
          <w:b/>
          <w:bCs/>
        </w:rPr>
        <w:t>Yusen Wu:</w:t>
      </w:r>
      <w:r w:rsidRPr="001A27DD">
        <w:t> Writing – review &amp; editing, Writing – original draft, Visualization, Validation, Supervision, Software, Resources, Project administration, Methodology, Investigation, Funding acquisition, Formal analysis, Data curation, Conceptualization. </w:t>
      </w:r>
      <w:r w:rsidRPr="001A27DD">
        <w:rPr>
          <w:b/>
          <w:bCs/>
        </w:rPr>
        <w:t>Ruiqin Lin:</w:t>
      </w:r>
      <w:r w:rsidRPr="001A27DD">
        <w:t> Project administration, Methodology, Investigation, Funding acquisition, Formal analysis. </w:t>
      </w:r>
      <w:r w:rsidRPr="001A27DD">
        <w:rPr>
          <w:b/>
          <w:bCs/>
        </w:rPr>
        <w:t>Jiarong Que:</w:t>
      </w:r>
      <w:r w:rsidRPr="001A27DD">
        <w:t> Resources, Project administration, Methodology, Investigation. </w:t>
      </w:r>
      <w:r w:rsidRPr="001A27DD">
        <w:rPr>
          <w:b/>
          <w:bCs/>
        </w:rPr>
        <w:t>Qixiang Zeng:</w:t>
      </w:r>
      <w:r w:rsidRPr="001A27DD">
        <w:t> Supervision, Software, Resources, Project administration. </w:t>
      </w:r>
    </w:p>
    <w:p w14:paraId="066A25EB" w14:textId="77777777" w:rsidR="001A27DD" w:rsidRPr="001A27DD" w:rsidRDefault="001A27DD" w:rsidP="001A27DD">
      <w:r w:rsidRPr="001A27DD">
        <w:t>Declaration of competing interest</w:t>
      </w:r>
    </w:p>
    <w:p w14:paraId="313D6EF4" w14:textId="77777777" w:rsidR="001A27DD" w:rsidRPr="001A27DD" w:rsidRDefault="001A27DD" w:rsidP="001A27DD">
      <w:r w:rsidRPr="001A27DD">
        <w:t>The authors declare that they have no known competing financial interests or personal relationships that could have appeared to influence the work reported in this paper.</w:t>
      </w:r>
    </w:p>
    <w:p w14:paraId="1CD66487" w14:textId="77777777" w:rsidR="001A27DD" w:rsidRPr="001A27DD" w:rsidRDefault="001A27DD" w:rsidP="001A27DD">
      <w:r w:rsidRPr="001A27DD">
        <w:t>Acknowledgments</w:t>
      </w:r>
    </w:p>
    <w:p w14:paraId="67DB595F" w14:textId="77777777" w:rsidR="001A27DD" w:rsidRPr="001A27DD" w:rsidRDefault="001A27DD" w:rsidP="001A27DD">
      <w:r w:rsidRPr="001A27DD">
        <w:t>This work was supported by the Fujian Provincial Department of Science and Technology, China [grant number 2022J01935] and Fujian University of Technology, China .</w:t>
      </w:r>
    </w:p>
    <w:p w14:paraId="0B4C4154" w14:textId="77777777" w:rsidR="001A27DD" w:rsidRDefault="001A27DD"/>
    <w:sectPr w:rsidR="001A27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340CF4"/>
    <w:multiLevelType w:val="multilevel"/>
    <w:tmpl w:val="57CA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8082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7DD"/>
    <w:rsid w:val="001A27DD"/>
    <w:rsid w:val="007931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EF873"/>
  <w15:chartTrackingRefBased/>
  <w15:docId w15:val="{3D0C3776-5BE0-4347-AFDE-D28A91D2F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27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27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27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27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27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27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27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27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27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27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27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27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27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27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27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27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27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27DD"/>
    <w:rPr>
      <w:rFonts w:eastAsiaTheme="majorEastAsia" w:cstheme="majorBidi"/>
      <w:color w:val="272727" w:themeColor="text1" w:themeTint="D8"/>
    </w:rPr>
  </w:style>
  <w:style w:type="paragraph" w:styleId="Title">
    <w:name w:val="Title"/>
    <w:basedOn w:val="Normal"/>
    <w:next w:val="Normal"/>
    <w:link w:val="TitleChar"/>
    <w:uiPriority w:val="10"/>
    <w:qFormat/>
    <w:rsid w:val="001A27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27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27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27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27DD"/>
    <w:pPr>
      <w:spacing w:before="160"/>
      <w:jc w:val="center"/>
    </w:pPr>
    <w:rPr>
      <w:i/>
      <w:iCs/>
      <w:color w:val="404040" w:themeColor="text1" w:themeTint="BF"/>
    </w:rPr>
  </w:style>
  <w:style w:type="character" w:customStyle="1" w:styleId="QuoteChar">
    <w:name w:val="Quote Char"/>
    <w:basedOn w:val="DefaultParagraphFont"/>
    <w:link w:val="Quote"/>
    <w:uiPriority w:val="29"/>
    <w:rsid w:val="001A27DD"/>
    <w:rPr>
      <w:i/>
      <w:iCs/>
      <w:color w:val="404040" w:themeColor="text1" w:themeTint="BF"/>
    </w:rPr>
  </w:style>
  <w:style w:type="paragraph" w:styleId="ListParagraph">
    <w:name w:val="List Paragraph"/>
    <w:basedOn w:val="Normal"/>
    <w:uiPriority w:val="34"/>
    <w:qFormat/>
    <w:rsid w:val="001A27DD"/>
    <w:pPr>
      <w:ind w:left="720"/>
      <w:contextualSpacing/>
    </w:pPr>
  </w:style>
  <w:style w:type="character" w:styleId="IntenseEmphasis">
    <w:name w:val="Intense Emphasis"/>
    <w:basedOn w:val="DefaultParagraphFont"/>
    <w:uiPriority w:val="21"/>
    <w:qFormat/>
    <w:rsid w:val="001A27DD"/>
    <w:rPr>
      <w:i/>
      <w:iCs/>
      <w:color w:val="0F4761" w:themeColor="accent1" w:themeShade="BF"/>
    </w:rPr>
  </w:style>
  <w:style w:type="paragraph" w:styleId="IntenseQuote">
    <w:name w:val="Intense Quote"/>
    <w:basedOn w:val="Normal"/>
    <w:next w:val="Normal"/>
    <w:link w:val="IntenseQuoteChar"/>
    <w:uiPriority w:val="30"/>
    <w:qFormat/>
    <w:rsid w:val="001A27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27DD"/>
    <w:rPr>
      <w:i/>
      <w:iCs/>
      <w:color w:val="0F4761" w:themeColor="accent1" w:themeShade="BF"/>
    </w:rPr>
  </w:style>
  <w:style w:type="character" w:styleId="IntenseReference">
    <w:name w:val="Intense Reference"/>
    <w:basedOn w:val="DefaultParagraphFont"/>
    <w:uiPriority w:val="32"/>
    <w:qFormat/>
    <w:rsid w:val="001A27DD"/>
    <w:rPr>
      <w:b/>
      <w:bCs/>
      <w:smallCaps/>
      <w:color w:val="0F4761" w:themeColor="accent1" w:themeShade="BF"/>
      <w:spacing w:val="5"/>
    </w:rPr>
  </w:style>
  <w:style w:type="character" w:styleId="Hyperlink">
    <w:name w:val="Hyperlink"/>
    <w:basedOn w:val="DefaultParagraphFont"/>
    <w:uiPriority w:val="99"/>
    <w:unhideWhenUsed/>
    <w:rsid w:val="001A27DD"/>
    <w:rPr>
      <w:color w:val="467886" w:themeColor="hyperlink"/>
      <w:u w:val="single"/>
    </w:rPr>
  </w:style>
  <w:style w:type="character" w:styleId="UnresolvedMention">
    <w:name w:val="Unresolved Mention"/>
    <w:basedOn w:val="DefaultParagraphFont"/>
    <w:uiPriority w:val="99"/>
    <w:semiHidden/>
    <w:unhideWhenUsed/>
    <w:rsid w:val="001A27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100.copyright.com/AppDispatchServlet?publisherName=ELS&amp;contentID=S1383762126000172&amp;orderBeanReset=true" TargetMode="External"/><Relationship Id="rId5" Type="http://schemas.openxmlformats.org/officeDocument/2006/relationships/hyperlink" Target="https://doi.org/10.1016/j.sysarc.2026.10369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1641</Words>
  <Characters>9360</Characters>
  <Application>Microsoft Office Word</Application>
  <DocSecurity>0</DocSecurity>
  <Lines>78</Lines>
  <Paragraphs>21</Paragraphs>
  <ScaleCrop>false</ScaleCrop>
  <Company/>
  <LinksUpToDate>false</LinksUpToDate>
  <CharactersWithSpaces>10980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RITVIK ROY</dc:creator>
  <cp:keywords/>
  <dc:description/>
  <cp:lastModifiedBy>RITVIK ROY</cp:lastModifiedBy>
  <cp:revision>1</cp:revision>
  <dcterms:created xsi:type="dcterms:W3CDTF">2026-08-31T07:55:00Z</dcterms:created>
  <dcterms:modified xsi:type="dcterms:W3CDTF">2026-08-31T07:55:00Z</dcterms:modified>
</cp:coreProperties>
</file>