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B0E8A" w14:textId="77777777" w:rsidR="00A01395" w:rsidRPr="00A01395" w:rsidRDefault="00A01395" w:rsidP="00A01395">
      <w:r w:rsidRPr="00A01395">
        <w:t>Abstract</w:t>
      </w:r>
    </w:p>
    <w:p w14:paraId="67B9C84E" w14:textId="77777777" w:rsidR="00A01395" w:rsidRPr="00A01395" w:rsidRDefault="00A01395" w:rsidP="00A01395">
      <w:r w:rsidRPr="00A01395">
        <w:t xml:space="preserve">Large language models (LLMs), despite their remarkable successes, remain significantly expensive to implement. Among various strategies, key-value cache (KV cache) stands out as a crucial technique for expediting the inference of LLMs, yet it comes with substantial memory costs. To reduce the KV cache size, conventional methods often sacrifice accuracy or require additional data for calibration, which restricts their feasibility in real-world LLMs applications. Here, we introduce MPOQ, a novel data-free quantization technique based on matrix product operators (MPO) to effectively compress the KV cache. The MPO can decompose the original matrix into a series of local tensors, effectively transferring the quantization challenges from the original matrix to these local tensors, thereby allowing us to adjust the distribution of outliers within the original matrix. Specifically, we have discovered that outliers are predominantly concentrated in smaller local tensors, whereas larger tensors exhibit a more constrained value range. Leveraging this insight, we propose a strategy that employs low-bit quantization for the large tensor while preserving a high-precision representation for the smaller tensor. Extensive experiments based on OPT, LLaMA and Mistral demonstrate the effectiveness of our method in improving both the performance and efficiency of LLMs </w:t>
      </w:r>
      <w:proofErr w:type="gramStart"/>
      <w:r w:rsidRPr="00A01395">
        <w:t>(</w:t>
      </w:r>
      <w:r w:rsidRPr="00A01395">
        <w:rPr>
          <w:rFonts w:ascii="Arial" w:hAnsi="Arial" w:cs="Arial"/>
        </w:rPr>
        <w:t> </w:t>
      </w:r>
      <w:r w:rsidRPr="00A01395">
        <w:rPr>
          <w:rFonts w:ascii="Cambria Math" w:hAnsi="Cambria Math" w:cs="Cambria Math"/>
        </w:rPr>
        <w:t>∼</w:t>
      </w:r>
      <w:proofErr w:type="gramEnd"/>
      <w:r w:rsidRPr="00A01395">
        <w:rPr>
          <w:rFonts w:ascii="Cambria Math" w:hAnsi="Cambria Math" w:cs="Cambria Math"/>
        </w:rPr>
        <w:t> </w:t>
      </w:r>
      <w:r w:rsidRPr="00A01395">
        <w:t>75 % reduction in memory footprint while maintaining comparable generation quality).</w:t>
      </w:r>
    </w:p>
    <w:p w14:paraId="5D46420F" w14:textId="77777777" w:rsidR="00A01395" w:rsidRPr="00A01395" w:rsidRDefault="00A01395" w:rsidP="00A01395">
      <w:r w:rsidRPr="00A01395">
        <w:t>Keywords</w:t>
      </w:r>
    </w:p>
    <w:p w14:paraId="6B611E9A" w14:textId="77777777" w:rsidR="00A01395" w:rsidRPr="00A01395" w:rsidRDefault="00A01395" w:rsidP="00A01395">
      <w:r w:rsidRPr="00A01395">
        <w:t>Large language models</w:t>
      </w:r>
    </w:p>
    <w:p w14:paraId="07DFDC08" w14:textId="77777777" w:rsidR="00A01395" w:rsidRPr="00A01395" w:rsidRDefault="00A01395" w:rsidP="00A01395">
      <w:r w:rsidRPr="00A01395">
        <w:t>; </w:t>
      </w:r>
    </w:p>
    <w:p w14:paraId="3208C98B" w14:textId="77777777" w:rsidR="00A01395" w:rsidRPr="00A01395" w:rsidRDefault="00A01395" w:rsidP="00A01395">
      <w:r w:rsidRPr="00A01395">
        <w:t>Quantization</w:t>
      </w:r>
    </w:p>
    <w:p w14:paraId="16289A89" w14:textId="77777777" w:rsidR="00A01395" w:rsidRPr="00A01395" w:rsidRDefault="00A01395" w:rsidP="00A01395">
      <w:r w:rsidRPr="00A01395">
        <w:t>; </w:t>
      </w:r>
    </w:p>
    <w:p w14:paraId="2EBD46B9" w14:textId="77777777" w:rsidR="00A01395" w:rsidRPr="00A01395" w:rsidRDefault="00A01395" w:rsidP="00A01395">
      <w:r w:rsidRPr="00A01395">
        <w:t>Matrix decomposition</w:t>
      </w:r>
    </w:p>
    <w:p w14:paraId="2E4EEF97" w14:textId="77777777" w:rsidR="00A01395" w:rsidRPr="00A01395" w:rsidRDefault="00A01395" w:rsidP="00A01395">
      <w:r w:rsidRPr="00A01395">
        <w:t>; </w:t>
      </w:r>
    </w:p>
    <w:p w14:paraId="254A392B" w14:textId="77777777" w:rsidR="00A01395" w:rsidRPr="00A01395" w:rsidRDefault="00A01395" w:rsidP="00A01395">
      <w:r w:rsidRPr="00A01395">
        <w:t>KV cache</w:t>
      </w:r>
    </w:p>
    <w:p w14:paraId="2B7FDAC6" w14:textId="77777777" w:rsidR="00A01395" w:rsidRPr="00A01395" w:rsidRDefault="00A01395" w:rsidP="00A01395">
      <w:pPr>
        <w:numPr>
          <w:ilvl w:val="0"/>
          <w:numId w:val="1"/>
        </w:numPr>
        <w:rPr>
          <w:lang w:val="en"/>
        </w:rPr>
      </w:pPr>
      <w:hyperlink r:id="rId5" w:history="1">
        <w:r w:rsidRPr="00A01395">
          <w:rPr>
            <w:rStyle w:val="Hyperlink"/>
            <w:lang w:val="en"/>
          </w:rPr>
          <w:t>Previous article in this issue</w:t>
        </w:r>
      </w:hyperlink>
    </w:p>
    <w:p w14:paraId="62F8A197" w14:textId="77777777" w:rsidR="00A01395" w:rsidRPr="00A01395" w:rsidRDefault="00A01395" w:rsidP="00A01395">
      <w:pPr>
        <w:numPr>
          <w:ilvl w:val="0"/>
          <w:numId w:val="1"/>
        </w:numPr>
        <w:rPr>
          <w:lang w:val="en"/>
        </w:rPr>
      </w:pPr>
      <w:hyperlink r:id="rId6" w:history="1">
        <w:r w:rsidRPr="00A01395">
          <w:rPr>
            <w:rStyle w:val="Hyperlink"/>
            <w:lang w:val="en"/>
          </w:rPr>
          <w:t>Next article in this issue</w:t>
        </w:r>
      </w:hyperlink>
    </w:p>
    <w:p w14:paraId="775BF884" w14:textId="77777777" w:rsidR="00A01395" w:rsidRPr="00A01395" w:rsidRDefault="00A01395" w:rsidP="00A01395">
      <w:pPr>
        <w:rPr>
          <w:lang w:val="en"/>
        </w:rPr>
      </w:pPr>
      <w:r w:rsidRPr="00A01395">
        <w:rPr>
          <w:lang w:val="en"/>
        </w:rPr>
        <w:t>Introduction</w:t>
      </w:r>
    </w:p>
    <w:p w14:paraId="1E59D7EA" w14:textId="77777777" w:rsidR="00A01395" w:rsidRPr="00A01395" w:rsidRDefault="00A01395" w:rsidP="00A01395">
      <w:r w:rsidRPr="00A01395">
        <w:t xml:space="preserve">Large Language Models (LLMs) (such as GPT (Brown et al., 2020), OPT (Zhang et al., 2022) and LLaMA (Touvron et al., 2023)) have exhibited remarkable potential in driving advancements in the field of language intelligence. These sophisticated models can comprehend and produce intricate linguistic structures, delivering impressive results across a multitude of language-related tasks. However, the substantial size of these </w:t>
      </w:r>
      <w:r w:rsidRPr="00A01395">
        <w:lastRenderedPageBreak/>
        <w:t>models often results in increased inference latency, presenting significant obstacles in real-world implementation. This extended latency implies that models take longer to process requests, potentially degrading user experience, particularly in scenarios that demand swift responses. Therefore, it is urgent to reduce the running cost of LLMs.</w:t>
      </w:r>
    </w:p>
    <w:p w14:paraId="77BCFE80" w14:textId="77777777" w:rsidR="00A01395" w:rsidRPr="00A01395" w:rsidRDefault="00A01395" w:rsidP="00A01395">
      <w:r w:rsidRPr="00A01395">
        <w:t>To enhance the performance of LLMs in the inference phase, a widely utilized strategy involves the implementation of key-value cache (KV cache), as demonstrated by Pope et al. (2023). Inference in LLMs follows an auto-regressive approach, where each step generates a token based on the previous steps. During each step, the key-value embeddings from the attention mechanism are stored in memory to avoid redundant key-value projection calculations in future steps. Unfortunately, the memory required for the KV cache, which includes prompts and previously generated tokens, can be surprisingly large. </w:t>
      </w:r>
      <w:r w:rsidRPr="00A01395">
        <w:rPr>
          <w:vertAlign w:val="superscript"/>
        </w:rPr>
        <w:t>1</w:t>
      </w:r>
      <w:r w:rsidRPr="00A01395">
        <w:t> Moreover, the substantial computational requirements of LLMs necessitate more substantial hardware resources, such as GPUs and TPUs. This not only escalates the costs associated with deployment but may also contribute to a rise in energy consumption. Furthermore, the administration of extensive cache systems typically involves a high volume of I/O read and write operations, which can result in significant delays. The challenge is exacerbated when these operations are required to stretch across several machines (Patel et al., 2024). Consequently, compressing the KV cache is crucial for enhancing inference efficiency of LLMs.</w:t>
      </w:r>
    </w:p>
    <w:p w14:paraId="287C742E" w14:textId="77777777" w:rsidR="00A01395" w:rsidRPr="00A01395" w:rsidRDefault="00A01395" w:rsidP="00A01395">
      <w:r w:rsidRPr="00A01395">
        <w:t xml:space="preserve">Considering the issues previously discussed, several </w:t>
      </w:r>
      <w:proofErr w:type="gramStart"/>
      <w:r w:rsidRPr="00A01395">
        <w:t>researches</w:t>
      </w:r>
      <w:proofErr w:type="gramEnd"/>
      <w:r w:rsidRPr="00A01395">
        <w:t xml:space="preserve"> have been conducted on quantization and sparsity techniques for the KV cache in LLMs to minimize the computational cost during inference (Bansal, Gopalakrishnan, Dingliwal, Bodapati, Kirchhoff, &amp; Roth, Frantar, Alistarh, 2023, Park, Park, Kim, Lee, Kim, Kwon, Kwon, Kim, Lee, &amp; Lee, Yao, Aminabadi, Zhang, Wu, Li, &amp; He). With a fixed inference sequence length, the reduction in KV cache memory usage can directly correspond to an expanded batch size. An increase in batch size is particularly beneficial for systems designed for high-volume inference (Chevalier, Wettig, Ajith, Chen, 2023, Pope, Douglas, Chowdhery, Devlin, Bradbury, Heek, Xiao, Agrawal, Dean, 2023, Sheng, Zheng, Yuan, Li, Ryabinin, Chen, Liang, Ré, Stoica, Zhang, 2023). Liu et al. (2024f); Mu et al. (2023); Zhang et al. (2024) suggest using pruning to keep the KV cache compact. This method, while reducing memory consumption, might cause the loss of information when generating lengthy texts. Dettmers et al. (2022b) discovered during the quantization of the OPT model that when the parameter count exceeds 6.7 billion, a significant number of outliers begin to appear in the activation values. These outliers are approximately 100 times larger than most of the activation values. Additionally, post-quantization techniques, despite preserving the entire text history, often suffer from a decline in performance due to the quantization of activation values at low bit levels (Dettmers et al., 2022a). Moreover, many existing quantization techniques still rely on calibration or retraining (Frantar, Ashkboos, Hoefler, Alistarh, 2022, Xiao, Lin, Seznec, </w:t>
      </w:r>
      <w:r w:rsidRPr="00A01395">
        <w:lastRenderedPageBreak/>
        <w:t>Wu, Demouth, Han, 2023) to maintain model performance, which limits their applicability in deployment scenarios requiring data-free KV cache compression.</w:t>
      </w:r>
    </w:p>
    <w:p w14:paraId="4981CFF8" w14:textId="77777777" w:rsidR="00A01395" w:rsidRPr="00A01395" w:rsidRDefault="00A01395" w:rsidP="00A01395">
      <w:r w:rsidRPr="00A01395">
        <w:t>To address this issue, we developed a novel approach that integrated matrix product operator (MPO) and quantization, called </w:t>
      </w:r>
      <w:r w:rsidRPr="00A01395">
        <w:rPr>
          <w:b/>
          <w:bCs/>
        </w:rPr>
        <w:t>MPOQ</w:t>
      </w:r>
      <w:r w:rsidRPr="00A01395">
        <w:t>, which aims to mitigate the impact of outliers on low-bit quantization. The MPO is an algorithm that factorized a matrix into a sequential product of local tensors, which have potential to adjust the distribution of outliers in the original matrix, making the resulting local tensors which are more suitable for quantization (Liu et al., 2024b). By applying MPO directly to the activation values, we can distribute the quantization difficulty across multiple tensors, while separately quantize the weights. This MPO decomposition shifts the complexity of activation quantization without affecting the weights. Compared to SmoothQuant (Xiao et al., 2023), which transfers quantization difficulty from activation to weights, this method avoids any impact on weight precision by directly operating on the activation themselves.</w:t>
      </w:r>
    </w:p>
    <w:p w14:paraId="14142CF8" w14:textId="77777777" w:rsidR="00A01395" w:rsidRPr="00A01395" w:rsidRDefault="00A01395" w:rsidP="00A01395">
      <w:r w:rsidRPr="00A01395">
        <w:t>Note that MPOQ does not require retraining the original model or introducing significant computational overhead. It operates without relying on back propagation or reconstruction, thereby preserving the generalization ability of LLMs across different domains and modalities without over fitting to a calibration set. By applying MPO decomposition to activation and weights separately, MPOQ effectively distributes the quantization difficulty across multiple matrices, transferring the complexity of quantize activation into more manageable components.</w:t>
      </w:r>
    </w:p>
    <w:p w14:paraId="650DF1B2" w14:textId="77777777" w:rsidR="00A01395" w:rsidRPr="00A01395" w:rsidRDefault="00A01395" w:rsidP="00A01395">
      <w:r w:rsidRPr="00A01395">
        <w:t>Additionally, different datasets and models may influence the testing results. To thoroughly evaluate the quantization performance of MPOQ, we conducted separate quantization and testing on models before and after fine-tuning. To demonstrate the efficacy of our proposed MPOQ, we conduct extensive experiments on OPT (Zhang et al., 2022), LLaMA (Touvron et al., 2023) and Mistral (Zhao et al., 2023a). The results indicate that MPOQ can achieve 4-bit quantization for the KV cache and 8-bit quantization for weights and activation with almost no loss in performance. This suggests that the MPOQ serves as an effective post-training quantization approach, ensuring both accuracy and efficient inference. Consequently, MPOQ provides a viable quantization solution for LLMs, contributing to the compression of KV caches and accelerating the inference speed of LLMs.</w:t>
      </w:r>
    </w:p>
    <w:p w14:paraId="62FE1E11" w14:textId="77777777" w:rsidR="00A01395" w:rsidRPr="00A01395" w:rsidRDefault="00A01395" w:rsidP="00A01395">
      <w:pPr>
        <w:rPr>
          <w:b/>
          <w:bCs/>
        </w:rPr>
      </w:pPr>
      <w:r w:rsidRPr="00A01395">
        <w:rPr>
          <w:b/>
          <w:bCs/>
        </w:rPr>
        <w:t>Organizational access</w:t>
      </w:r>
    </w:p>
    <w:p w14:paraId="49D45B4D" w14:textId="77777777" w:rsidR="00A01395" w:rsidRPr="00A01395" w:rsidRDefault="00A01395" w:rsidP="00A01395">
      <w:r w:rsidRPr="00A01395">
        <w:t>Get full-text access by signing in with your organisation</w:t>
      </w:r>
    </w:p>
    <w:p w14:paraId="72BF6CBD" w14:textId="77777777" w:rsidR="00A01395" w:rsidRPr="00A01395" w:rsidRDefault="00A01395" w:rsidP="00A01395">
      <w:pPr>
        <w:rPr>
          <w:b/>
          <w:bCs/>
        </w:rPr>
      </w:pPr>
      <w:r w:rsidRPr="00A01395">
        <w:rPr>
          <w:b/>
          <w:bCs/>
        </w:rPr>
        <w:t>Other access options</w:t>
      </w:r>
    </w:p>
    <w:p w14:paraId="34BB91B6" w14:textId="77777777" w:rsidR="00A01395" w:rsidRPr="00A01395" w:rsidRDefault="00A01395" w:rsidP="00A01395">
      <w:hyperlink r:id="rId7" w:tgtFrame="_blank" w:history="1">
        <w:r w:rsidRPr="00A01395">
          <w:rPr>
            <w:rStyle w:val="Hyperlink"/>
          </w:rPr>
          <w:t>Purchase PDF</w:t>
        </w:r>
      </w:hyperlink>
    </w:p>
    <w:p w14:paraId="1AD1C11F" w14:textId="77777777" w:rsidR="00A01395" w:rsidRPr="00A01395" w:rsidRDefault="00A01395" w:rsidP="00A01395">
      <w:hyperlink r:id="rId8" w:tgtFrame="_blank" w:history="1">
        <w:r w:rsidRPr="00A01395">
          <w:rPr>
            <w:rStyle w:val="Hyperlink"/>
          </w:rPr>
          <w:t>Need help with access?</w:t>
        </w:r>
      </w:hyperlink>
    </w:p>
    <w:p w14:paraId="7BEA791B" w14:textId="77777777" w:rsidR="00A01395" w:rsidRPr="00A01395" w:rsidRDefault="00A01395" w:rsidP="00A01395">
      <w:pPr>
        <w:rPr>
          <w:lang w:val="en"/>
        </w:rPr>
      </w:pPr>
      <w:r w:rsidRPr="00A01395">
        <w:rPr>
          <w:lang w:val="en"/>
        </w:rPr>
        <w:lastRenderedPageBreak/>
        <w:t>Section snippets</w:t>
      </w:r>
    </w:p>
    <w:p w14:paraId="6D34FF83" w14:textId="77777777" w:rsidR="00A01395" w:rsidRPr="00A01395" w:rsidRDefault="00A01395" w:rsidP="00A01395">
      <w:r w:rsidRPr="00A01395">
        <w:t>Related work</w:t>
      </w:r>
    </w:p>
    <w:p w14:paraId="253B246D" w14:textId="77777777" w:rsidR="00A01395" w:rsidRPr="00A01395" w:rsidRDefault="00A01395" w:rsidP="00A01395">
      <w:r w:rsidRPr="00A01395">
        <w:rPr>
          <w:b/>
          <w:bCs/>
        </w:rPr>
        <w:t>Quantization for LLMs.</w:t>
      </w:r>
      <w:r w:rsidRPr="00A01395">
        <w:t>The quantization method not only effectively reduces the memory usage during the inference process of large models but also decreases inference latency, thereby accelerating inference speed. However, the presence of outlier activations and massive activations makes the quantization of activation values particularly challenging. To address this issue, Dettmers et al. (2022b) mitigated the difficulties of quantizing outliers by transferring them to the weights. While this</w:t>
      </w:r>
    </w:p>
    <w:p w14:paraId="68F1295C" w14:textId="77777777" w:rsidR="00A01395" w:rsidRPr="00A01395" w:rsidRDefault="00A01395" w:rsidP="00A01395">
      <w:r w:rsidRPr="00A01395">
        <w:t>Preliminary</w:t>
      </w:r>
    </w:p>
    <w:p w14:paraId="06CC9E5E" w14:textId="77777777" w:rsidR="00A01395" w:rsidRPr="00A01395" w:rsidRDefault="00A01395" w:rsidP="00A01395">
      <w:r w:rsidRPr="00A01395">
        <w:t>In this section, we introduce the background on LLMs quantization, the inference process, KV cache quantization, and the challenges in quantization caused by outliers.</w:t>
      </w:r>
    </w:p>
    <w:p w14:paraId="72E43DDC" w14:textId="77777777" w:rsidR="00A01395" w:rsidRPr="00A01395" w:rsidRDefault="00A01395" w:rsidP="00A01395">
      <w:r w:rsidRPr="00A01395">
        <w:t>Methods</w:t>
      </w:r>
    </w:p>
    <w:p w14:paraId="3926063A" w14:textId="77777777" w:rsidR="00A01395" w:rsidRPr="00A01395" w:rsidRDefault="00A01395" w:rsidP="00A01395">
      <w:r w:rsidRPr="00A01395">
        <w:t>In this section, we introduce an effective quantization method based on MPO decomposition, dubbed MPOQ, designed to separate outliers in activations, reduce quantization errors, and utilize this method for quantizing the KV cache. During LLM inference, this method helps reduce storage requirements while minimizing the loss of inference accuracy after dequantization.</w:t>
      </w:r>
    </w:p>
    <w:p w14:paraId="02C9A8BB" w14:textId="77777777" w:rsidR="00A01395" w:rsidRPr="00A01395" w:rsidRDefault="00A01395" w:rsidP="00A01395">
      <w:r w:rsidRPr="00A01395">
        <w:t>Experiments</w:t>
      </w:r>
    </w:p>
    <w:p w14:paraId="0D5AB041" w14:textId="77777777" w:rsidR="00A01395" w:rsidRPr="00A01395" w:rsidRDefault="00A01395" w:rsidP="00A01395">
      <w:r w:rsidRPr="00A01395">
        <w:t xml:space="preserve">Here, we evaluate the performance of MPOQ on language modeling tasks before and after model fine-tuning. Following this, we test its learning and adaptation capabilities in the Open-Ended Document Generation task under different sample sizes. </w:t>
      </w:r>
      <w:proofErr w:type="gramStart"/>
      <w:r w:rsidRPr="00A01395">
        <w:t>Similar to</w:t>
      </w:r>
      <w:proofErr w:type="gramEnd"/>
      <w:r w:rsidRPr="00A01395">
        <w:t xml:space="preserve"> the setup by Xiao et al. (2023), we quantize the weights and activations to various bit precisions (2/4/8/16 bits) and use accuracy as the evaluation metric.</w:t>
      </w:r>
    </w:p>
    <w:p w14:paraId="6B28686F" w14:textId="77777777" w:rsidR="00A01395" w:rsidRPr="00A01395" w:rsidRDefault="00A01395" w:rsidP="00A01395">
      <w:r w:rsidRPr="00A01395">
        <w:t>Conclusion</w:t>
      </w:r>
    </w:p>
    <w:p w14:paraId="083B4B5C" w14:textId="77777777" w:rsidR="00A01395" w:rsidRPr="00A01395" w:rsidRDefault="00A01395" w:rsidP="00A01395">
      <w:r w:rsidRPr="00A01395">
        <w:t>This paper proposes a KV cache compression method, MPOQ, based on MPO decomposition for accelerating inference in LLMs. MPOQ decomposes the original matrix into local tensors (the central tensor and the other tensor), effectively transferring the quantization challenges from the original matrix to these local tensors. This allows us to adjust the distribution of outliers within the original matrix. The results indicate that MPOQ can simultaneously reduce the KV cache size while ensuring</w:t>
      </w:r>
    </w:p>
    <w:p w14:paraId="65C6C496" w14:textId="77777777" w:rsidR="00A01395" w:rsidRPr="00A01395" w:rsidRDefault="00A01395" w:rsidP="00A01395">
      <w:r w:rsidRPr="00A01395">
        <w:t>Limitations</w:t>
      </w:r>
    </w:p>
    <w:p w14:paraId="1570A93A" w14:textId="77777777" w:rsidR="00A01395" w:rsidRPr="00A01395" w:rsidRDefault="00A01395" w:rsidP="00A01395">
      <w:r w:rsidRPr="00A01395">
        <w:t xml:space="preserve">While our method demonstrates promising performance, it is not without limitations. The current experimental results are based on a limited set of tasks and datasets, and its generalizability across broader application scenarios has yet to be fully validated. Moreover, as a post-training quantization method, our approach may facilitate the </w:t>
      </w:r>
      <w:r w:rsidRPr="00A01395">
        <w:lastRenderedPageBreak/>
        <w:t>deployment of LLMs on various end devices, such as personal phones and computers. However, the potential biases inherent in these models could raise social</w:t>
      </w:r>
    </w:p>
    <w:p w14:paraId="1E18DDC7" w14:textId="77777777" w:rsidR="00A01395" w:rsidRPr="00A01395" w:rsidRDefault="00A01395" w:rsidP="00A01395">
      <w:r w:rsidRPr="00A01395">
        <w:t>CRediT authorship contribution statement</w:t>
      </w:r>
    </w:p>
    <w:p w14:paraId="3B00EE9D" w14:textId="77777777" w:rsidR="00A01395" w:rsidRPr="00A01395" w:rsidRDefault="00A01395" w:rsidP="00A01395">
      <w:r w:rsidRPr="00A01395">
        <w:rPr>
          <w:b/>
          <w:bCs/>
        </w:rPr>
        <w:t>Jia-Qi Wang:</w:t>
      </w:r>
      <w:r w:rsidRPr="00A01395">
        <w:t> Writing – review &amp; editing, Validation, Data curation, Visualization, Investigation, Writing – original draft, Methodology, Conceptualization. </w:t>
      </w:r>
      <w:r w:rsidRPr="00A01395">
        <w:rPr>
          <w:b/>
          <w:bCs/>
        </w:rPr>
        <w:t>Xiao-Qi Han:</w:t>
      </w:r>
      <w:r w:rsidRPr="00A01395">
        <w:t> Investigation, Writing – review &amp; editing. </w:t>
      </w:r>
      <w:r w:rsidRPr="00A01395">
        <w:rPr>
          <w:b/>
          <w:bCs/>
        </w:rPr>
        <w:t>Peng-Jie Guo:</w:t>
      </w:r>
      <w:r w:rsidRPr="00A01395">
        <w:t> Validation. </w:t>
      </w:r>
      <w:r w:rsidRPr="00A01395">
        <w:rPr>
          <w:b/>
          <w:bCs/>
        </w:rPr>
        <w:t>Rong-Qiang He:</w:t>
      </w:r>
      <w:r w:rsidRPr="00A01395">
        <w:t> Formal analysis. </w:t>
      </w:r>
      <w:r w:rsidRPr="00A01395">
        <w:rPr>
          <w:b/>
          <w:bCs/>
        </w:rPr>
        <w:t>Ze-Feng Gao:</w:t>
      </w:r>
      <w:r w:rsidRPr="00A01395">
        <w:t> Writing – original draft, Funding acquisition, Writing – review &amp; editing, Methodology, Project administration, Conceptualization. </w:t>
      </w:r>
      <w:r w:rsidRPr="00A01395">
        <w:rPr>
          <w:b/>
          <w:bCs/>
        </w:rPr>
        <w:t>Zhong-Yi Lu:</w:t>
      </w:r>
      <w:r w:rsidRPr="00A01395">
        <w:t> Writing – review &amp; editing, Funding acquisition.</w:t>
      </w:r>
    </w:p>
    <w:p w14:paraId="2DCED647" w14:textId="77777777" w:rsidR="00A01395" w:rsidRPr="00A01395" w:rsidRDefault="00A01395" w:rsidP="00A01395">
      <w:r w:rsidRPr="00A01395">
        <w:t>Declaration of competing interest</w:t>
      </w:r>
    </w:p>
    <w:p w14:paraId="72FF2214" w14:textId="77777777" w:rsidR="00A01395" w:rsidRPr="00A01395" w:rsidRDefault="00A01395" w:rsidP="00A01395">
      <w:r w:rsidRPr="00A01395">
        <w:t>The authors declare that they have no known competing financial interests or personal relationships that could have appeared to influence the work reported in this paper.</w:t>
      </w:r>
    </w:p>
    <w:p w14:paraId="40CB53A0" w14:textId="77777777" w:rsidR="00A01395" w:rsidRPr="00A01395" w:rsidRDefault="00A01395" w:rsidP="00A01395">
      <w:r w:rsidRPr="00A01395">
        <w:t>Acknowledgment</w:t>
      </w:r>
    </w:p>
    <w:p w14:paraId="5353EC6D" w14:textId="77777777" w:rsidR="00A01395" w:rsidRPr="00A01395" w:rsidRDefault="00A01395" w:rsidP="00A01395">
      <w:r w:rsidRPr="00A01395">
        <w:t xml:space="preserve">This work was financially supported by the National Natural Science Foundation of China (Grant No. 62476278, No. 11934020, and No. 12204533) and the National Key R&amp;D Program of China (Grants No. 2024YFA1408601). Computational resources have been provided by the Physical Laboratory of </w:t>
      </w:r>
      <w:proofErr w:type="gramStart"/>
      <w:r w:rsidRPr="00A01395">
        <w:t>High Performance</w:t>
      </w:r>
      <w:proofErr w:type="gramEnd"/>
      <w:r w:rsidRPr="00A01395">
        <w:t xml:space="preserve"> Computing at Renmin University of China.</w:t>
      </w:r>
    </w:p>
    <w:p w14:paraId="6B0F46A5" w14:textId="77777777" w:rsidR="00A01395" w:rsidRDefault="00A01395"/>
    <w:sectPr w:rsidR="00A013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97346B"/>
    <w:multiLevelType w:val="multilevel"/>
    <w:tmpl w:val="37320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3487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395"/>
    <w:rsid w:val="009567C1"/>
    <w:rsid w:val="00A013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8A372"/>
  <w15:chartTrackingRefBased/>
  <w15:docId w15:val="{C0DBD49F-68D6-4783-8804-94E6D34A7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13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13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13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13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13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13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13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13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13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3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13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13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13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13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13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13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13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1395"/>
    <w:rPr>
      <w:rFonts w:eastAsiaTheme="majorEastAsia" w:cstheme="majorBidi"/>
      <w:color w:val="272727" w:themeColor="text1" w:themeTint="D8"/>
    </w:rPr>
  </w:style>
  <w:style w:type="paragraph" w:styleId="Title">
    <w:name w:val="Title"/>
    <w:basedOn w:val="Normal"/>
    <w:next w:val="Normal"/>
    <w:link w:val="TitleChar"/>
    <w:uiPriority w:val="10"/>
    <w:qFormat/>
    <w:rsid w:val="00A013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3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13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13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1395"/>
    <w:pPr>
      <w:spacing w:before="160"/>
      <w:jc w:val="center"/>
    </w:pPr>
    <w:rPr>
      <w:i/>
      <w:iCs/>
      <w:color w:val="404040" w:themeColor="text1" w:themeTint="BF"/>
    </w:rPr>
  </w:style>
  <w:style w:type="character" w:customStyle="1" w:styleId="QuoteChar">
    <w:name w:val="Quote Char"/>
    <w:basedOn w:val="DefaultParagraphFont"/>
    <w:link w:val="Quote"/>
    <w:uiPriority w:val="29"/>
    <w:rsid w:val="00A01395"/>
    <w:rPr>
      <w:i/>
      <w:iCs/>
      <w:color w:val="404040" w:themeColor="text1" w:themeTint="BF"/>
    </w:rPr>
  </w:style>
  <w:style w:type="paragraph" w:styleId="ListParagraph">
    <w:name w:val="List Paragraph"/>
    <w:basedOn w:val="Normal"/>
    <w:uiPriority w:val="34"/>
    <w:qFormat/>
    <w:rsid w:val="00A01395"/>
    <w:pPr>
      <w:ind w:left="720"/>
      <w:contextualSpacing/>
    </w:pPr>
  </w:style>
  <w:style w:type="character" w:styleId="IntenseEmphasis">
    <w:name w:val="Intense Emphasis"/>
    <w:basedOn w:val="DefaultParagraphFont"/>
    <w:uiPriority w:val="21"/>
    <w:qFormat/>
    <w:rsid w:val="00A01395"/>
    <w:rPr>
      <w:i/>
      <w:iCs/>
      <w:color w:val="0F4761" w:themeColor="accent1" w:themeShade="BF"/>
    </w:rPr>
  </w:style>
  <w:style w:type="paragraph" w:styleId="IntenseQuote">
    <w:name w:val="Intense Quote"/>
    <w:basedOn w:val="Normal"/>
    <w:next w:val="Normal"/>
    <w:link w:val="IntenseQuoteChar"/>
    <w:uiPriority w:val="30"/>
    <w:qFormat/>
    <w:rsid w:val="00A013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1395"/>
    <w:rPr>
      <w:i/>
      <w:iCs/>
      <w:color w:val="0F4761" w:themeColor="accent1" w:themeShade="BF"/>
    </w:rPr>
  </w:style>
  <w:style w:type="character" w:styleId="IntenseReference">
    <w:name w:val="Intense Reference"/>
    <w:basedOn w:val="DefaultParagraphFont"/>
    <w:uiPriority w:val="32"/>
    <w:qFormat/>
    <w:rsid w:val="00A01395"/>
    <w:rPr>
      <w:b/>
      <w:bCs/>
      <w:smallCaps/>
      <w:color w:val="0F4761" w:themeColor="accent1" w:themeShade="BF"/>
      <w:spacing w:val="5"/>
    </w:rPr>
  </w:style>
  <w:style w:type="character" w:styleId="Hyperlink">
    <w:name w:val="Hyperlink"/>
    <w:basedOn w:val="DefaultParagraphFont"/>
    <w:uiPriority w:val="99"/>
    <w:unhideWhenUsed/>
    <w:rsid w:val="00A01395"/>
    <w:rPr>
      <w:color w:val="467886" w:themeColor="hyperlink"/>
      <w:u w:val="single"/>
    </w:rPr>
  </w:style>
  <w:style w:type="character" w:styleId="UnresolvedMention">
    <w:name w:val="Unresolved Mention"/>
    <w:basedOn w:val="DefaultParagraphFont"/>
    <w:uiPriority w:val="99"/>
    <w:semiHidden/>
    <w:unhideWhenUsed/>
    <w:rsid w:val="00A013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rvice.elsevier.com/app/answers/list/c/10543/supporthub/sciencedirect/" TargetMode="External"/><Relationship Id="rId3" Type="http://schemas.openxmlformats.org/officeDocument/2006/relationships/settings" Target="settings.xml"/><Relationship Id="rId7" Type="http://schemas.openxmlformats.org/officeDocument/2006/relationships/hyperlink" Target="https://www.sciencedirect.com/getaccess/pii/S0893608025013486/purchas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ciencedirect.com/science/article/pii/S0893608025013589" TargetMode="External"/><Relationship Id="rId5" Type="http://schemas.openxmlformats.org/officeDocument/2006/relationships/hyperlink" Target="https://www.sciencedirect.com/science/article/pii/S0893608025013541"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1783</Words>
  <Characters>10165</Characters>
  <Application>Microsoft Office Word</Application>
  <DocSecurity>0</DocSecurity>
  <Lines>84</Lines>
  <Paragraphs>23</Paragraphs>
  <ScaleCrop>false</ScaleCrop>
  <Company/>
  <LinksUpToDate>false</LinksUpToDate>
  <CharactersWithSpaces>11925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RITVIK ROY</dc:creator>
  <cp:keywords/>
  <dc:description/>
  <cp:lastModifiedBy>RITVIK ROY</cp:lastModifiedBy>
  <cp:revision>1</cp:revision>
  <dcterms:created xsi:type="dcterms:W3CDTF">2026-08-31T08:04:00Z</dcterms:created>
  <dcterms:modified xsi:type="dcterms:W3CDTF">2026-08-31T08:05:00Z</dcterms:modified>
</cp:coreProperties>
</file>