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Ernster,Tugg C</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9.5/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1.5/2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10/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5/5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24.5</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-0.5: need better resolution figure 1. Very good ! I am eager to see your results.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What happens if M33 is so disrupted that the “half mass radius” is at very large distances?  What would that do to your computation of velocity dispersion?  Instead it would be better to compute the velocity dispersion within the Jacobi Radius, that way you will be sure that the bulk of the material is still bound to M33.  See Lecture 9 and associated Lab.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ernster03/ASTR400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Qp25t2VsG2156b1ifo1+QZy5nQ==">CgMxLjA4AHIhMXEwMmJyNXhya09fQnBSSGtUdS1HMmgzTVoyREhyOFI5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