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DICV Alternator — V11.2 Validation Dossier (2026-06-24)</w:t>
      </w:r>
    </w:p>
    <w:p/>
    <w:p>
      <w:pPr>
        <w:jc w:val="center"/>
      </w:pPr>
      <w:r>
        <w:rPr>
          <w:sz w:val="24"/>
        </w:rPr>
        <w:t>Version: V11.2_ALT  |  Date: 2026-06-26  |  Status: Final</w:t>
      </w:r>
    </w:p>
    <w:p/>
    <w:p>
      <w:pPr>
        <w:jc w:val="center"/>
      </w:pPr>
      <w:r>
        <w:rPr>
          <w:sz w:val="22"/>
        </w:rPr>
        <w:t>Fleet: 25 trucks (10 failed + 15 non-failed)  |  Validation: LOVO cross-validation</w:t>
      </w:r>
    </w:p>
    <w:p>
      <w:r>
        <w:br w:type="page"/>
      </w:r>
    </w:p>
    <w:p>
      <w:pPr>
        <w:pStyle w:val="Heading1"/>
      </w:pPr>
      <w:r>
        <w:t>1. Executive Context</w:t>
      </w:r>
    </w:p>
    <w:p>
      <w:r>
        <w:t>This dossier presents the technical validation of the BharatBenz / DICV alternator predictive-maintenance model to support DICV management's decision on operational deployment. The analysis covers a fleet of 25 trucks (10 failed + 15 non-failed) whose alternators were monitored over an observation window ending in late 2025.</w:t>
      </w:r>
    </w:p>
    <w:p>
      <w:r>
        <w:t>All validation metrics are computed from Leave-One-VIN-Out (LOVO) cross-validation — the model is never scored on data it trained with — providing a conservative, deployment-realistic estimate of performance.</w:t>
      </w:r>
    </w:p>
    <w:p>
      <w:r>
        <w:t>The system is honest about its limits: per-truck timing is uncertain, early-warning channels have limited fleet-wide coverage, and the n=25 data set represents a ceiling on achievable discrimination. These constraints are data-driven, not method-driven.</w:t>
      </w:r>
    </w:p>
    <w:p>
      <w:pPr>
        <w:pStyle w:val="Heading1"/>
      </w:pPr>
      <w:r>
        <w:t>2. System Recap — Three Operational Boxes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Box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Delivered Value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WHICH — Classifier</w:t>
            </w:r>
          </w:p>
        </w:tc>
        <w:tc>
          <w:tcPr>
            <w:tcW w:type="dxa" w:w="3120"/>
          </w:tcPr>
          <w:p>
            <w:r>
              <w:t>Which trucks are highest-risk?</w:t>
            </w:r>
          </w:p>
        </w:tc>
        <w:tc>
          <w:tcPr>
            <w:tcW w:type="dxa" w:w="3120"/>
          </w:tcPr>
          <w:p>
            <w:r>
              <w:t>LOVO ranking AUROC 0.9267 (~93%); 139/150 concordant pairs</w:t>
            </w:r>
          </w:p>
        </w:tc>
      </w:tr>
      <w:tr>
        <w:tc>
          <w:tcPr>
            <w:tcW w:type="dxa" w:w="3120"/>
          </w:tcPr>
          <w:p>
            <w:r>
              <w:t>WHEN-fleet — Replacement window</w:t>
            </w:r>
          </w:p>
        </w:tc>
        <w:tc>
          <w:tcPr>
            <w:tcW w:type="dxa" w:w="3120"/>
          </w:tcPr>
          <w:p>
            <w:r>
              <w:t>When to plan fleet replacement?</w:t>
            </w:r>
          </w:p>
        </w:tc>
        <w:tc>
          <w:tcPr>
            <w:tcW w:type="dxa" w:w="3120"/>
          </w:tcPr>
          <w:p>
            <w:r>
              <w:t>601 days / ~120,440 km / ~4,538 engine-hours</w:t>
            </w:r>
          </w:p>
        </w:tc>
      </w:tr>
      <w:tr>
        <w:tc>
          <w:tcPr>
            <w:tcW w:type="dxa" w:w="3120"/>
          </w:tcPr>
          <w:p>
            <w:r>
              <w:t>WHEN-emergency — Alert channels</w:t>
            </w:r>
          </w:p>
        </w:tc>
        <w:tc>
          <w:tcPr>
            <w:tcW w:type="dxa" w:w="3120"/>
          </w:tcPr>
          <w:p>
            <w:r>
              <w:t>Active electrical disturbances?</w:t>
            </w:r>
          </w:p>
        </w:tc>
        <w:tc>
          <w:tcPr>
            <w:tcW w:type="dxa" w:w="3120"/>
          </w:tcPr>
          <w:p>
            <w:r>
              <w:t>GED=2 storm: 2/10 failed, 0/15 healthy; Compound: 3/10 failed, 0/15 healthy</w:t>
            </w:r>
          </w:p>
        </w:tc>
      </w:tr>
    </w:tbl>
    <w:p/>
    <w:p>
      <w:pPr>
        <w:pStyle w:val="Heading1"/>
      </w:pPr>
      <w:r>
        <w:t>3. Heuristic Validation (Task 1)</w:t>
      </w:r>
    </w:p>
    <w:p>
      <w:r>
        <w:t>Eleven engineered signals were assessed individually using Mann-Whitney U AUROC, Cliff's delta effect size, and permutation importance.</w:t>
      </w:r>
    </w:p>
    <w:p>
      <w:r>
        <w:t>Honesty note on the top multivariate feature: `vsi_std_ratio_30d` holds the largest Ridge coefficient (+0.443) and highest permutation importance (0.155) in the multivariate model, yet its univariate AUROC is only 0.693 — MEDIUM separation. Ridge exploits the combination of all six features; in isolation, no single feature approaches the ensemble's 0.927 AUROC.</w:t>
      </w:r>
    </w:p>
    <w:p>
      <w:pPr>
        <w:pStyle w:val="Heading2"/>
      </w:pPr>
      <w:r>
        <w:t>Heuristic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</w:rPr>
              <w:t>#</w:t>
            </w:r>
          </w:p>
        </w:tc>
        <w:tc>
          <w:tcPr>
            <w:tcW w:type="dxa" w:w="1040"/>
          </w:tcPr>
          <w:p>
            <w:r>
              <w:rPr>
                <w:b/>
              </w:rPr>
              <w:t>Heuristic</w:t>
            </w:r>
          </w:p>
        </w:tc>
        <w:tc>
          <w:tcPr>
            <w:tcW w:type="dxa" w:w="1040"/>
          </w:tcPr>
          <w:p>
            <w:r>
              <w:rPr>
                <w:b/>
              </w:rPr>
              <w:t>Fam</w:t>
            </w:r>
          </w:p>
        </w:tc>
        <w:tc>
          <w:tcPr>
            <w:tcW w:type="dxa" w:w="1040"/>
          </w:tcPr>
          <w:p>
            <w:r>
              <w:rPr>
                <w:b/>
              </w:rPr>
              <w:t>Engineering Meaning</w:t>
            </w:r>
          </w:p>
        </w:tc>
        <w:tc>
          <w:tcPr>
            <w:tcW w:type="dxa" w:w="1040"/>
          </w:tcPr>
          <w:p>
            <w:r>
              <w:rPr>
                <w:b/>
              </w:rPr>
              <w:t>Failed Mean</w:t>
            </w:r>
          </w:p>
        </w:tc>
        <w:tc>
          <w:tcPr>
            <w:tcW w:type="dxa" w:w="1040"/>
          </w:tcPr>
          <w:p>
            <w:r>
              <w:rPr>
                <w:b/>
              </w:rPr>
              <w:t>Healthy Mean</w:t>
            </w:r>
          </w:p>
        </w:tc>
        <w:tc>
          <w:tcPr>
            <w:tcW w:type="dxa" w:w="1040"/>
          </w:tcPr>
          <w:p>
            <w:r>
              <w:rPr>
                <w:b/>
              </w:rPr>
              <w:t>AUROC</w:t>
            </w:r>
          </w:p>
        </w:tc>
        <w:tc>
          <w:tcPr>
            <w:tcW w:type="dxa" w:w="1040"/>
          </w:tcPr>
          <w:p>
            <w:r>
              <w:rPr>
                <w:b/>
              </w:rPr>
              <w:t>Separation</w:t>
            </w:r>
          </w:p>
        </w:tc>
        <w:tc>
          <w:tcPr>
            <w:tcW w:type="dxa" w:w="1040"/>
          </w:tcPr>
          <w:p>
            <w:r>
              <w:rPr>
                <w:b/>
              </w:rPr>
              <w:t>Perm Imp.</w:t>
            </w:r>
          </w:p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vsi_std_ratio_30d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late-life voltage scatter vs early-life baseline</w:t>
            </w:r>
          </w:p>
        </w:tc>
        <w:tc>
          <w:tcPr>
            <w:tcW w:type="dxa" w:w="1040"/>
          </w:tcPr>
          <w:p>
            <w:r>
              <w:t>1.1168</w:t>
            </w:r>
          </w:p>
        </w:tc>
        <w:tc>
          <w:tcPr>
            <w:tcW w:type="dxa" w:w="1040"/>
          </w:tcPr>
          <w:p>
            <w:r>
              <w:t>0.7229</w:t>
            </w:r>
          </w:p>
        </w:tc>
        <w:tc>
          <w:tcPr>
            <w:tcW w:type="dxa" w:w="1040"/>
          </w:tcPr>
          <w:p>
            <w:r>
              <w:t>0.693</w:t>
            </w:r>
          </w:p>
        </w:tc>
        <w:tc>
          <w:tcPr>
            <w:tcW w:type="dxa" w:w="1040"/>
          </w:tcPr>
          <w:p>
            <w:r>
              <w:t>MEDIUM</w:t>
            </w:r>
          </w:p>
        </w:tc>
        <w:tc>
          <w:tcPr>
            <w:tcW w:type="dxa" w:w="1040"/>
          </w:tcPr>
          <w:p>
            <w:r>
              <w:t>0.1547</w:t>
            </w:r>
          </w:p>
        </w:tc>
      </w:tr>
      <w:tr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vsi_dominant_freq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dominant FFT frequency of daily voltage (rhythm vs...</w:t>
            </w:r>
          </w:p>
        </w:tc>
        <w:tc>
          <w:tcPr>
            <w:tcW w:type="dxa" w:w="1040"/>
          </w:tcPr>
          <w:p>
            <w:r>
              <w:t>0.0953</w:t>
            </w:r>
          </w:p>
        </w:tc>
        <w:tc>
          <w:tcPr>
            <w:tcW w:type="dxa" w:w="1040"/>
          </w:tcPr>
          <w:p>
            <w:r>
              <w:t>0.0147</w:t>
            </w:r>
          </w:p>
        </w:tc>
        <w:tc>
          <w:tcPr>
            <w:tcW w:type="dxa" w:w="1040"/>
          </w:tcPr>
          <w:p>
            <w:r>
              <w:t>0.650</w:t>
            </w:r>
          </w:p>
        </w:tc>
        <w:tc>
          <w:tcPr>
            <w:tcW w:type="dxa" w:w="1040"/>
          </w:tcPr>
          <w:p>
            <w:r>
              <w:t>SMALL</w:t>
            </w:r>
          </w:p>
        </w:tc>
        <w:tc>
          <w:tcPr>
            <w:tcW w:type="dxa" w:w="1040"/>
          </w:tcPr>
          <w:p>
            <w:r>
              <w:t>0.1053</w:t>
            </w:r>
          </w:p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vsi_spectral_entropy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voltage spectrum disorder (clean rhythm vs broadba...</w:t>
            </w:r>
          </w:p>
        </w:tc>
        <w:tc>
          <w:tcPr>
            <w:tcW w:type="dxa" w:w="1040"/>
          </w:tcPr>
          <w:p>
            <w:r>
              <w:t>0.9288</w:t>
            </w:r>
          </w:p>
        </w:tc>
        <w:tc>
          <w:tcPr>
            <w:tcW w:type="dxa" w:w="1040"/>
          </w:tcPr>
          <w:p>
            <w:r>
              <w:t>0.8964</w:t>
            </w:r>
          </w:p>
        </w:tc>
        <w:tc>
          <w:tcPr>
            <w:tcW w:type="dxa" w:w="1040"/>
          </w:tcPr>
          <w:p>
            <w:r>
              <w:t>0.813</w:t>
            </w:r>
          </w:p>
        </w:tc>
        <w:tc>
          <w:tcPr>
            <w:tcW w:type="dxa" w:w="1040"/>
          </w:tcPr>
          <w:p>
            <w:r>
              <w:t>STRONG</w:t>
            </w:r>
          </w:p>
        </w:tc>
        <w:tc>
          <w:tcPr>
            <w:tcW w:type="dxa" w:w="1040"/>
          </w:tcPr>
          <w:p>
            <w:r>
              <w:t>0.0573</w:t>
            </w:r>
          </w:p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bat_charge_delta_trend_right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trend of cruise-minus-resting voltage (charging he...</w:t>
            </w:r>
          </w:p>
        </w:tc>
        <w:tc>
          <w:tcPr>
            <w:tcW w:type="dxa" w:w="1040"/>
          </w:tcPr>
          <w:p>
            <w:r>
              <w:t>0.0023</w:t>
            </w:r>
          </w:p>
        </w:tc>
        <w:tc>
          <w:tcPr>
            <w:tcW w:type="dxa" w:w="1040"/>
          </w:tcPr>
          <w:p>
            <w:r>
              <w:t>-0.0010</w:t>
            </w:r>
          </w:p>
        </w:tc>
        <w:tc>
          <w:tcPr>
            <w:tcW w:type="dxa" w:w="1040"/>
          </w:tcPr>
          <w:p>
            <w:r>
              <w:t>0.560</w:t>
            </w:r>
          </w:p>
        </w:tc>
        <w:tc>
          <w:tcPr>
            <w:tcW w:type="dxa" w:w="1040"/>
          </w:tcPr>
          <w:p>
            <w:r>
              <w:t>NEGLIGIBLE</w:t>
            </w:r>
          </w:p>
        </w:tc>
        <w:tc>
          <w:tcPr>
            <w:tcW w:type="dxa" w:w="1040"/>
          </w:tcPr>
          <w:p>
            <w:r>
              <w:t>0.0340</w:t>
            </w:r>
          </w:p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vsi_range_trend_last30d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slope of daily voltage min-max range late in life</w:t>
            </w:r>
          </w:p>
        </w:tc>
        <w:tc>
          <w:tcPr>
            <w:tcW w:type="dxa" w:w="1040"/>
          </w:tcPr>
          <w:p>
            <w:r>
              <w:t>0.1235</w:t>
            </w:r>
          </w:p>
        </w:tc>
        <w:tc>
          <w:tcPr>
            <w:tcW w:type="dxa" w:w="1040"/>
          </w:tcPr>
          <w:p>
            <w:r>
              <w:t>-0.0242</w:t>
            </w:r>
          </w:p>
        </w:tc>
        <w:tc>
          <w:tcPr>
            <w:tcW w:type="dxa" w:w="1040"/>
          </w:tcPr>
          <w:p>
            <w:r>
              <w:t>0.740</w:t>
            </w:r>
          </w:p>
        </w:tc>
        <w:tc>
          <w:tcPr>
            <w:tcW w:type="dxa" w:w="1040"/>
          </w:tcPr>
          <w:p>
            <w:r>
              <w:t>STRONG</w:t>
            </w:r>
          </w:p>
        </w:tc>
        <w:tc>
          <w:tcPr>
            <w:tcW w:type="dxa" w:w="1040"/>
          </w:tcPr>
          <w:p>
            <w:r>
              <w:t>0.0613</w:t>
            </w:r>
          </w:p>
        </w:tc>
      </w:tr>
      <w:tr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progressive_drift</w:t>
            </w:r>
          </w:p>
        </w:tc>
        <w:tc>
          <w:tcPr>
            <w:tcW w:type="dxa" w:w="1040"/>
          </w:tcPr>
          <w:p>
            <w:r>
              <w:t>A</w:t>
            </w:r>
          </w:p>
        </w:tc>
        <w:tc>
          <w:tcPr>
            <w:tcW w:type="dxa" w:w="1040"/>
          </w:tcPr>
          <w:p>
            <w:r>
              <w:t>cumulative drift of daily voltage from baseline</w:t>
            </w:r>
          </w:p>
        </w:tc>
        <w:tc>
          <w:tcPr>
            <w:tcW w:type="dxa" w:w="1040"/>
          </w:tcPr>
          <w:p>
            <w:r>
              <w:t>0.0955</w:t>
            </w:r>
          </w:p>
        </w:tc>
        <w:tc>
          <w:tcPr>
            <w:tcW w:type="dxa" w:w="1040"/>
          </w:tcPr>
          <w:p>
            <w:r>
              <w:t>0.7069</w:t>
            </w:r>
          </w:p>
        </w:tc>
        <w:tc>
          <w:tcPr>
            <w:tcW w:type="dxa" w:w="1040"/>
          </w:tcPr>
          <w:p>
            <w:r>
              <w:t>0.264</w:t>
            </w:r>
          </w:p>
        </w:tc>
        <w:tc>
          <w:tcPr>
            <w:tcW w:type="dxa" w:w="1040"/>
          </w:tcPr>
          <w:p>
            <w:r>
              <w:t>MEDIUM</w:t>
            </w:r>
          </w:p>
        </w:tc>
        <w:tc>
          <w:tcPr>
            <w:tcW w:type="dxa" w:w="1040"/>
          </w:tcPr>
          <w:p>
            <w:r>
              <w:t>0.0480</w:t>
            </w:r>
          </w:p>
        </w:tc>
      </w:tr>
      <w:tr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crank_recovery_t</w:t>
            </w:r>
          </w:p>
        </w:tc>
        <w:tc>
          <w:tcPr>
            <w:tcW w:type="dxa" w:w="1040"/>
          </w:tcPr>
          <w:p>
            <w:r>
              <w:t>B</w:t>
            </w:r>
          </w:p>
        </w:tc>
        <w:tc>
          <w:tcPr>
            <w:tcW w:type="dxa" w:w="1040"/>
          </w:tcPr>
          <w:p>
            <w:r>
              <w:t>seconds for voltage to recover to 27V after a cran...</w:t>
            </w:r>
          </w:p>
        </w:tc>
        <w:tc>
          <w:tcPr>
            <w:tcW w:type="dxa" w:w="1040"/>
          </w:tcPr>
          <w:p>
            <w:r>
              <w:t>0.4277</w:t>
            </w:r>
          </w:p>
        </w:tc>
        <w:tc>
          <w:tcPr>
            <w:tcW w:type="dxa" w:w="1040"/>
          </w:tcPr>
          <w:p>
            <w:r>
              <w:t>0.0057</w:t>
            </w:r>
          </w:p>
        </w:tc>
        <w:tc>
          <w:tcPr>
            <w:tcW w:type="dxa" w:w="1040"/>
          </w:tcPr>
          <w:p>
            <w:r>
              <w:t>0.680</w:t>
            </w:r>
          </w:p>
        </w:tc>
        <w:tc>
          <w:tcPr>
            <w:tcW w:type="dxa" w:w="1040"/>
          </w:tcPr>
          <w:p>
            <w:r>
              <w:t>MEDIUM</w:t>
            </w:r>
          </w:p>
        </w:tc>
        <w:tc>
          <w:tcPr>
            <w:tcW w:type="dxa" w:w="1040"/>
          </w:tcPr>
          <w:p>
            <w:r>
              <w:t>0.6000</w:t>
            </w:r>
          </w:p>
        </w:tc>
      </w:tr>
      <w:tr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vsi_ceiling</w:t>
            </w:r>
          </w:p>
        </w:tc>
        <w:tc>
          <w:tcPr>
            <w:tcW w:type="dxa" w:w="1040"/>
          </w:tcPr>
          <w:p>
            <w:r>
              <w:t>B</w:t>
            </w:r>
          </w:p>
        </w:tc>
        <w:tc>
          <w:tcPr>
            <w:tcW w:type="dxa" w:w="1040"/>
          </w:tcPr>
          <w:p>
            <w:r>
              <w:t>regulation plateau voltage at high RPM</w:t>
            </w:r>
          </w:p>
        </w:tc>
        <w:tc>
          <w:tcPr>
            <w:tcW w:type="dxa" w:w="1040"/>
          </w:tcPr>
          <w:p>
            <w:r>
              <w:t>28.0665</w:t>
            </w:r>
          </w:p>
        </w:tc>
        <w:tc>
          <w:tcPr>
            <w:tcW w:type="dxa" w:w="1040"/>
          </w:tcPr>
          <w:p>
            <w:r>
              <w:t>28.1121</w:t>
            </w:r>
          </w:p>
        </w:tc>
        <w:tc>
          <w:tcPr>
            <w:tcW w:type="dxa" w:w="1040"/>
          </w:tcPr>
          <w:p>
            <w:r>
              <w:t>0.413</w:t>
            </w:r>
          </w:p>
        </w:tc>
        <w:tc>
          <w:tcPr>
            <w:tcW w:type="dxa" w:w="1040"/>
          </w:tcPr>
          <w:p>
            <w:r>
              <w:t>SMALL</w:t>
            </w:r>
          </w:p>
        </w:tc>
        <w:tc>
          <w:tcPr>
            <w:tcW w:type="dxa" w:w="1040"/>
          </w:tcPr>
          <w:p>
            <w:r>
              <w:t>0.2000</w:t>
            </w:r>
          </w:p>
        </w:tc>
      </w:tr>
      <w:tr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vsi_resid_mean</w:t>
            </w:r>
          </w:p>
        </w:tc>
        <w:tc>
          <w:tcPr>
            <w:tcW w:type="dxa" w:w="1040"/>
          </w:tcPr>
          <w:p>
            <w:r>
              <w:t>B</w:t>
            </w:r>
          </w:p>
        </w:tc>
        <w:tc>
          <w:tcPr>
            <w:tcW w:type="dxa" w:w="1040"/>
          </w:tcPr>
          <w:p>
            <w:r>
              <w:t>voltage residual vs healthy-fleet expected surface</w:t>
            </w:r>
          </w:p>
        </w:tc>
        <w:tc>
          <w:tcPr>
            <w:tcW w:type="dxa" w:w="1040"/>
          </w:tcPr>
          <w:p>
            <w:r>
              <w:t>0.0374</w:t>
            </w:r>
          </w:p>
        </w:tc>
        <w:tc>
          <w:tcPr>
            <w:tcW w:type="dxa" w:w="1040"/>
          </w:tcPr>
          <w:p>
            <w:r>
              <w:t>0.0858</w:t>
            </w:r>
          </w:p>
        </w:tc>
        <w:tc>
          <w:tcPr>
            <w:tcW w:type="dxa" w:w="1040"/>
          </w:tcPr>
          <w:p>
            <w:r>
              <w:t>0.373</w:t>
            </w:r>
          </w:p>
        </w:tc>
        <w:tc>
          <w:tcPr>
            <w:tcW w:type="dxa" w:w="1040"/>
          </w:tcPr>
          <w:p>
            <w:r>
              <w:t>SMALL</w:t>
            </w:r>
          </w:p>
        </w:tc>
        <w:tc>
          <w:tcPr>
            <w:tcW w:type="dxa" w:w="1040"/>
          </w:tcPr>
          <w:p>
            <w:r>
              <w:t>0.2000</w:t>
            </w:r>
          </w:p>
        </w:tc>
      </w:tr>
      <w:tr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resting_vsi_mean</w:t>
            </w:r>
          </w:p>
        </w:tc>
        <w:tc>
          <w:tcPr>
            <w:tcW w:type="dxa" w:w="1040"/>
          </w:tcPr>
          <w:p>
            <w:r>
              <w:t>B</w:t>
            </w:r>
          </w:p>
        </w:tc>
        <w:tc>
          <w:tcPr>
            <w:tcW w:type="dxa" w:w="1040"/>
          </w:tcPr>
          <w:p>
            <w:r>
              <w:t>engine-off resting voltage level</w:t>
            </w:r>
          </w:p>
        </w:tc>
        <w:tc>
          <w:tcPr>
            <w:tcW w:type="dxa" w:w="1040"/>
          </w:tcPr>
          <w:p>
            <w:r>
              <w:t>24.5511</w:t>
            </w:r>
          </w:p>
        </w:tc>
        <w:tc>
          <w:tcPr>
            <w:tcW w:type="dxa" w:w="1040"/>
          </w:tcPr>
          <w:p>
            <w:r>
              <w:t>24.9392</w:t>
            </w:r>
          </w:p>
        </w:tc>
        <w:tc>
          <w:tcPr>
            <w:tcW w:type="dxa" w:w="1040"/>
          </w:tcPr>
          <w:p>
            <w:r>
              <w:t>0.293</w:t>
            </w:r>
          </w:p>
        </w:tc>
        <w:tc>
          <w:tcPr>
            <w:tcW w:type="dxa" w:w="1040"/>
          </w:tcPr>
          <w:p>
            <w:r>
              <w:t>MEDIUM</w:t>
            </w:r>
          </w:p>
        </w:tc>
        <w:tc>
          <w:tcPr>
            <w:tcW w:type="dxa" w:w="1040"/>
          </w:tcPr>
          <w:p>
            <w:r>
              <w:t>0.3000</w:t>
            </w:r>
          </w:p>
        </w:tc>
      </w:tr>
      <w:tr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ged_churn</w:t>
            </w:r>
          </w:p>
        </w:tc>
        <w:tc>
          <w:tcPr>
            <w:tcW w:type="dxa" w:w="1040"/>
          </w:tcPr>
          <w:p>
            <w:r>
              <w:t>B</w:t>
            </w:r>
          </w:p>
        </w:tc>
        <w:tc>
          <w:tcPr>
            <w:tcW w:type="dxa" w:w="1040"/>
          </w:tcPr>
          <w:p>
            <w:r>
              <w:t>rate of GED state-transition churn (excitation ins...</w:t>
            </w:r>
          </w:p>
        </w:tc>
        <w:tc>
          <w:tcPr>
            <w:tcW w:type="dxa" w:w="1040"/>
          </w:tcPr>
          <w:p>
            <w:r>
              <w:t>0.6133</w:t>
            </w:r>
          </w:p>
        </w:tc>
        <w:tc>
          <w:tcPr>
            <w:tcW w:type="dxa" w:w="1040"/>
          </w:tcPr>
          <w:p>
            <w:r>
              <w:t>0.0000</w:t>
            </w:r>
          </w:p>
        </w:tc>
        <w:tc>
          <w:tcPr>
            <w:tcW w:type="dxa" w:w="1040"/>
          </w:tcPr>
          <w:p>
            <w:r>
              <w:t>0.600</w:t>
            </w:r>
          </w:p>
        </w:tc>
        <w:tc>
          <w:tcPr>
            <w:tcW w:type="dxa" w:w="1040"/>
          </w:tcPr>
          <w:p>
            <w:r>
              <w:t>SMALL</w:t>
            </w:r>
          </w:p>
        </w:tc>
        <w:tc>
          <w:tcPr>
            <w:tcW w:type="dxa" w:w="1040"/>
          </w:tcPr>
          <w:p>
            <w:r>
              <w:t>0.2000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505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i_std_ratio_30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3.1 — VSI Std Ratio 30d: failed vs healthy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4499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i_spectral_entr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3.2 — VSI Spectral Entropy: failed vs healthy distribution</w:t>
      </w:r>
    </w:p>
    <w:p>
      <w:pPr>
        <w:pStyle w:val="Heading1"/>
      </w:pPr>
      <w:r>
        <w:t>4. Weightage &amp; Feature Contribution (Task 2)</w:t>
      </w:r>
    </w:p>
    <w:p>
      <w:r>
        <w:t>The six A-family features are combined via an L2-regularised (Ridge) linear model. Coefficients are on a standardised z-score scale: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Ridge Coefficient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Mean |Contribution|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Perm Importance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vsi_std_ratio_30d</w:t>
            </w:r>
          </w:p>
        </w:tc>
        <w:tc>
          <w:tcPr>
            <w:tcW w:type="dxa" w:w="2340"/>
          </w:tcPr>
          <w:p>
            <w:r>
              <w:t>+0.44257</w:t>
            </w:r>
          </w:p>
        </w:tc>
        <w:tc>
          <w:tcPr>
            <w:tcW w:type="dxa" w:w="2340"/>
          </w:tcPr>
          <w:p>
            <w:r>
              <w:t>0.34844</w:t>
            </w:r>
          </w:p>
        </w:tc>
        <w:tc>
          <w:tcPr>
            <w:tcW w:type="dxa" w:w="2340"/>
          </w:tcPr>
          <w:p>
            <w:r>
              <w:t>0.1547</w:t>
            </w:r>
          </w:p>
        </w:tc>
      </w:tr>
      <w:tr>
        <w:tc>
          <w:tcPr>
            <w:tcW w:type="dxa" w:w="2340"/>
          </w:tcPr>
          <w:p>
            <w:r>
              <w:t>vsi_dominant_freq</w:t>
            </w:r>
          </w:p>
        </w:tc>
        <w:tc>
          <w:tcPr>
            <w:tcW w:type="dxa" w:w="2340"/>
          </w:tcPr>
          <w:p>
            <w:r>
              <w:t>+0.42647</w:t>
            </w:r>
          </w:p>
        </w:tc>
        <w:tc>
          <w:tcPr>
            <w:tcW w:type="dxa" w:w="2340"/>
          </w:tcPr>
          <w:p>
            <w:r>
              <w:t>0.24099</w:t>
            </w:r>
          </w:p>
        </w:tc>
        <w:tc>
          <w:tcPr>
            <w:tcW w:type="dxa" w:w="2340"/>
          </w:tcPr>
          <w:p>
            <w:r>
              <w:t>0.1053</w:t>
            </w:r>
          </w:p>
        </w:tc>
      </w:tr>
      <w:tr>
        <w:tc>
          <w:tcPr>
            <w:tcW w:type="dxa" w:w="2340"/>
          </w:tcPr>
          <w:p>
            <w:r>
              <w:t>vsi_spectral_entropy</w:t>
            </w:r>
          </w:p>
        </w:tc>
        <w:tc>
          <w:tcPr>
            <w:tcW w:type="dxa" w:w="2340"/>
          </w:tcPr>
          <w:p>
            <w:r>
              <w:t>+0.24470</w:t>
            </w:r>
          </w:p>
        </w:tc>
        <w:tc>
          <w:tcPr>
            <w:tcW w:type="dxa" w:w="2340"/>
          </w:tcPr>
          <w:p>
            <w:r>
              <w:t>0.13803</w:t>
            </w:r>
          </w:p>
        </w:tc>
        <w:tc>
          <w:tcPr>
            <w:tcW w:type="dxa" w:w="2340"/>
          </w:tcPr>
          <w:p>
            <w:r>
              <w:t>0.0573</w:t>
            </w:r>
          </w:p>
        </w:tc>
      </w:tr>
      <w:tr>
        <w:tc>
          <w:tcPr>
            <w:tcW w:type="dxa" w:w="2340"/>
          </w:tcPr>
          <w:p>
            <w:r>
              <w:t>vsi_range_trend_last30d</w:t>
            </w:r>
          </w:p>
        </w:tc>
        <w:tc>
          <w:tcPr>
            <w:tcW w:type="dxa" w:w="2340"/>
          </w:tcPr>
          <w:p>
            <w:r>
              <w:t>+0.22990</w:t>
            </w:r>
          </w:p>
        </w:tc>
        <w:tc>
          <w:tcPr>
            <w:tcW w:type="dxa" w:w="2340"/>
          </w:tcPr>
          <w:p>
            <w:r>
              <w:t>0.13287</w:t>
            </w:r>
          </w:p>
        </w:tc>
        <w:tc>
          <w:tcPr>
            <w:tcW w:type="dxa" w:w="2340"/>
          </w:tcPr>
          <w:p>
            <w:r>
              <w:t>0.0613</w:t>
            </w:r>
          </w:p>
        </w:tc>
      </w:tr>
      <w:tr>
        <w:tc>
          <w:tcPr>
            <w:tcW w:type="dxa" w:w="2340"/>
          </w:tcPr>
          <w:p>
            <w:r>
              <w:t>bat_charge_delta_trend_right</w:t>
            </w:r>
          </w:p>
        </w:tc>
        <w:tc>
          <w:tcPr>
            <w:tcW w:type="dxa" w:w="2340"/>
          </w:tcPr>
          <w:p>
            <w:r>
              <w:t>+0.22399</w:t>
            </w:r>
          </w:p>
        </w:tc>
        <w:tc>
          <w:tcPr>
            <w:tcW w:type="dxa" w:w="2340"/>
          </w:tcPr>
          <w:p>
            <w:r>
              <w:t>0.17031</w:t>
            </w:r>
          </w:p>
        </w:tc>
        <w:tc>
          <w:tcPr>
            <w:tcW w:type="dxa" w:w="2340"/>
          </w:tcPr>
          <w:p>
            <w:r>
              <w:t>0.0340</w:t>
            </w:r>
          </w:p>
        </w:tc>
      </w:tr>
      <w:tr>
        <w:tc>
          <w:tcPr>
            <w:tcW w:type="dxa" w:w="2340"/>
          </w:tcPr>
          <w:p>
            <w:r>
              <w:t>progressive_drift</w:t>
            </w:r>
          </w:p>
        </w:tc>
        <w:tc>
          <w:tcPr>
            <w:tcW w:type="dxa" w:w="2340"/>
          </w:tcPr>
          <w:p>
            <w:r>
              <w:t>-0.20551</w:t>
            </w:r>
          </w:p>
        </w:tc>
        <w:tc>
          <w:tcPr>
            <w:tcW w:type="dxa" w:w="2340"/>
          </w:tcPr>
          <w:p>
            <w:r>
              <w:t>0.12086</w:t>
            </w:r>
          </w:p>
        </w:tc>
        <w:tc>
          <w:tcPr>
            <w:tcW w:type="dxa" w:w="2340"/>
          </w:tcPr>
          <w:p>
            <w:r>
              <w:t>0.0480</w:t>
            </w:r>
          </w:p>
        </w:tc>
      </w:tr>
    </w:tbl>
    <w:p/>
    <w:p>
      <w:r>
        <w:t>Compound Vote — Equal Weighting Rationale:</w:t>
      </w:r>
    </w:p>
    <w:p>
      <w:r>
        <w:t>Emergency early-watch uses EQUAL weights: each of 5 channels (vsi_ceiling, vsi_resid_mean, crank_recovery_t, resting_vsi_mean, ged_churn) casts 1 vote; alarm fires at &gt;=2 votes. Weights are deliberately NOT fitted, because at n=10 failure events any learned weighting would overfit; equal voting is the honest, robust choice.</w:t>
      </w:r>
    </w:p>
    <w:p/>
    <w:p>
      <w:r>
        <w:t>Note on progressive_drift negative coefficient:</w:t>
      </w:r>
    </w:p>
    <w:p>
      <w:r>
        <w:t>progressive_drift has a NEGATIVE Ridge coefficient. This is an exposure artifact: healthy trucks observed for longer accumulate more cumulative drift (healthy fleet mean 0.707 vs failed fleet mean 0.096), creating a spurious direction reversal. The model partially corrects for this via the negative coefficient — effectively penalising trucks with unexpectedly LOW drift relative to their age. The feature has the lowest permutation importance (0.048) and lowest mean absolute contribution in the fleet; it is retained only because the 6-feature set was validated at AUROC 0.927 and removing it would break the frozen V10.5.3 spec.</w:t>
      </w:r>
    </w:p>
    <w:p>
      <w:r>
        <w:drawing>
          <wp:inline xmlns:a="http://schemas.openxmlformats.org/drawingml/2006/main" xmlns:pic="http://schemas.openxmlformats.org/drawingml/2006/picture">
            <wp:extent cx="5486400" cy="90223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_VIN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2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4.1 — Feature contribution waterfall (VIN8_F_ALT, highest-scoring truck)</w:t>
      </w:r>
    </w:p>
    <w:p>
      <w:pPr>
        <w:pStyle w:val="Heading2"/>
      </w:pPr>
      <w:r>
        <w:t>4.5 Honest Ranking View — Contributions Sorted by LOVO Out-of-Fold Score</w:t>
      </w:r>
    </w:p>
    <w:p>
      <w:r>
        <w:t>The contribution decomposition above is ordered by the in-sample full-fit risk_linear. As an honesty cross-check, the identical per-feature contributions (coef x z) are re-ordered by the Leave-One-VIN-Out (LOVO) out-of-fold score — each truck ranked by a model that never trained on it, the deployment-grade ranking behind the headline AUROC 0.9267. Only the x-axis order changes; the contributions are unchanged.</w:t>
      </w:r>
    </w:p>
    <w:p>
      <w:r>
        <w:t>The two orderings are 98.8% rank-correlated (Spearman 0.988). The in-sample order implies AUROC 0.947; the honest LOVO order is 0.927 — the ~2-point gap is in-sample optimism, not a different result. Fourteen of 25 trucks shift by 1-2 positions and none cross from clearly-risky to clearly-healthy. The visible effect: the false negative VIN5_F_ALT (LOVO prob 0.28) sits within the healthy cluster on the left, and the false positive VIN3_NF_ALT (0.49) sits inside the failed cluster on the right — so the chart shows the true, slightly-messier separation the deployable model achieves rather than the marginally cleaner in-sample picture.</w:t>
      </w:r>
    </w:p>
    <w:p>
      <w:r>
        <w:drawing>
          <wp:inline xmlns:a="http://schemas.openxmlformats.org/drawingml/2006/main" xmlns:pic="http://schemas.openxmlformats.org/drawingml/2006/picture">
            <wp:extent cx="5943600" cy="2084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_decomposition_LOV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4.5 — Fleet contribution decomposition — sorted by honest LOVO out-of-fold ranking</w:t>
      </w:r>
    </w:p>
    <w:p>
      <w:pPr>
        <w:pStyle w:val="Heading1"/>
      </w:pPr>
      <w:r>
        <w:t>5. Zone Consistency &amp; Deployed Bands (Task 3)</w:t>
      </w:r>
    </w:p>
    <w:p>
      <w:r>
        <w:t>The Ridge probability scores are bucketed into three operational risk bands: Green (score &lt; 0.35), Amber (0.35 to 0.55), Red (&gt;= 0.55).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Ridge Prob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Above Threshold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t>VIN10_F_ALT</w:t>
            </w:r>
          </w:p>
        </w:tc>
        <w:tc>
          <w:tcPr>
            <w:tcW w:type="dxa" w:w="2340"/>
          </w:tcPr>
          <w:p>
            <w:r>
              <w:t>0.6263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VIN10_NF_ALT</w:t>
            </w:r>
          </w:p>
        </w:tc>
        <w:tc>
          <w:tcPr>
            <w:tcW w:type="dxa" w:w="2340"/>
          </w:tcPr>
          <w:p>
            <w:r>
              <w:t>0.4389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VIN11_NF_ALT</w:t>
            </w:r>
          </w:p>
        </w:tc>
        <w:tc>
          <w:tcPr>
            <w:tcW w:type="dxa" w:w="2340"/>
          </w:tcPr>
          <w:p>
            <w:r>
              <w:t>0.2559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VIN12_NF_ALT</w:t>
            </w:r>
          </w:p>
        </w:tc>
        <w:tc>
          <w:tcPr>
            <w:tcW w:type="dxa" w:w="2340"/>
          </w:tcPr>
          <w:p>
            <w:r>
              <w:t>0.0421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VIN13_NF_ALT</w:t>
            </w:r>
          </w:p>
        </w:tc>
        <w:tc>
          <w:tcPr>
            <w:tcW w:type="dxa" w:w="2340"/>
          </w:tcPr>
          <w:p>
            <w:r>
              <w:t>0.2104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VIN14_NF_ALT</w:t>
            </w:r>
          </w:p>
        </w:tc>
        <w:tc>
          <w:tcPr>
            <w:tcW w:type="dxa" w:w="2340"/>
          </w:tcPr>
          <w:p>
            <w:r>
              <w:t>0.3162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VIN15_NF_ALT</w:t>
            </w:r>
          </w:p>
        </w:tc>
        <w:tc>
          <w:tcPr>
            <w:tcW w:type="dxa" w:w="2340"/>
          </w:tcPr>
          <w:p>
            <w:r>
              <w:t>0.3987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VIN1_F_ALT</w:t>
            </w:r>
          </w:p>
        </w:tc>
        <w:tc>
          <w:tcPr>
            <w:tcW w:type="dxa" w:w="2340"/>
          </w:tcPr>
          <w:p>
            <w:r>
              <w:t>0.6058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VIN1_NF_ALT</w:t>
            </w:r>
          </w:p>
        </w:tc>
        <w:tc>
          <w:tcPr>
            <w:tcW w:type="dxa" w:w="2340"/>
          </w:tcPr>
          <w:p>
            <w:r>
              <w:t>0.2553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VIN2_F_ALT</w:t>
            </w:r>
          </w:p>
        </w:tc>
        <w:tc>
          <w:tcPr>
            <w:tcW w:type="dxa" w:w="2340"/>
          </w:tcPr>
          <w:p>
            <w:r>
              <w:t>0.6085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VIN2_NF_ALT</w:t>
            </w:r>
          </w:p>
        </w:tc>
        <w:tc>
          <w:tcPr>
            <w:tcW w:type="dxa" w:w="2340"/>
          </w:tcPr>
          <w:p>
            <w:r>
              <w:t>0.3956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VIN3_F_ALT</w:t>
            </w:r>
          </w:p>
        </w:tc>
        <w:tc>
          <w:tcPr>
            <w:tcW w:type="dxa" w:w="2340"/>
          </w:tcPr>
          <w:p>
            <w:r>
              <w:t>0.7603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VIN3_NF_ALT</w:t>
            </w:r>
          </w:p>
        </w:tc>
        <w:tc>
          <w:tcPr>
            <w:tcW w:type="dxa" w:w="2340"/>
          </w:tcPr>
          <w:p>
            <w:r>
              <w:t>0.4906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VIN4_F_ALT</w:t>
            </w:r>
          </w:p>
        </w:tc>
        <w:tc>
          <w:tcPr>
            <w:tcW w:type="dxa" w:w="2340"/>
          </w:tcPr>
          <w:p>
            <w:r>
              <w:t>0.4456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VIN4_NF_ALT</w:t>
            </w:r>
          </w:p>
        </w:tc>
        <w:tc>
          <w:tcPr>
            <w:tcW w:type="dxa" w:w="2340"/>
          </w:tcPr>
          <w:p>
            <w:r>
              <w:t>0.4257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VIN5_F_ALT</w:t>
            </w:r>
          </w:p>
        </w:tc>
        <w:tc>
          <w:tcPr>
            <w:tcW w:type="dxa" w:w="2340"/>
          </w:tcPr>
          <w:p>
            <w:r>
              <w:t>0.2799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VIN5_NF_ALT</w:t>
            </w:r>
          </w:p>
        </w:tc>
        <w:tc>
          <w:tcPr>
            <w:tcW w:type="dxa" w:w="2340"/>
          </w:tcPr>
          <w:p>
            <w:r>
              <w:t>0.3250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VIN6_F_ALT</w:t>
            </w:r>
          </w:p>
        </w:tc>
        <w:tc>
          <w:tcPr>
            <w:tcW w:type="dxa" w:w="2340"/>
          </w:tcPr>
          <w:p>
            <w:r>
              <w:t>0.7112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VIN6_NF_ALT</w:t>
            </w:r>
          </w:p>
        </w:tc>
        <w:tc>
          <w:tcPr>
            <w:tcW w:type="dxa" w:w="2340"/>
          </w:tcPr>
          <w:p>
            <w:r>
              <w:t>0.4133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VIN7_F_ALT</w:t>
            </w:r>
          </w:p>
        </w:tc>
        <w:tc>
          <w:tcPr>
            <w:tcW w:type="dxa" w:w="2340"/>
          </w:tcPr>
          <w:p>
            <w:r>
              <w:t>0.7178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VIN7_NF_ALT</w:t>
            </w:r>
          </w:p>
        </w:tc>
        <w:tc>
          <w:tcPr>
            <w:tcW w:type="dxa" w:w="2340"/>
          </w:tcPr>
          <w:p>
            <w:r>
              <w:t>0.4116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VIN8_F_ALT</w:t>
            </w:r>
          </w:p>
        </w:tc>
        <w:tc>
          <w:tcPr>
            <w:tcW w:type="dxa" w:w="2340"/>
          </w:tcPr>
          <w:p>
            <w:r>
              <w:t>0.8923</w:t>
            </w:r>
          </w:p>
        </w:tc>
        <w:tc>
          <w:tcPr>
            <w:tcW w:type="dxa" w:w="2340"/>
          </w:tcPr>
          <w:p>
            <w:r>
              <w:t>RED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VIN8_NF_ALT</w:t>
            </w:r>
          </w:p>
        </w:tc>
        <w:tc>
          <w:tcPr>
            <w:tcW w:type="dxa" w:w="2340"/>
          </w:tcPr>
          <w:p>
            <w:r>
              <w:t>0.3934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VIN9_F_ALT</w:t>
            </w:r>
          </w:p>
        </w:tc>
        <w:tc>
          <w:tcPr>
            <w:tcW w:type="dxa" w:w="2340"/>
          </w:tcPr>
          <w:p>
            <w:r>
              <w:t>0.4919</w:t>
            </w:r>
          </w:p>
        </w:tc>
        <w:tc>
          <w:tcPr>
            <w:tcW w:type="dxa" w:w="2340"/>
          </w:tcPr>
          <w:p>
            <w:r>
              <w:t>AMBER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VIN9_NF_ALT</w:t>
            </w:r>
          </w:p>
        </w:tc>
        <w:tc>
          <w:tcPr>
            <w:tcW w:type="dxa" w:w="2340"/>
          </w:tcPr>
          <w:p>
            <w:r>
              <w:t>0.1053</w:t>
            </w:r>
          </w:p>
        </w:tc>
        <w:tc>
          <w:tcPr>
            <w:tcW w:type="dxa" w:w="2340"/>
          </w:tcPr>
          <w:p>
            <w:r>
              <w:t>GREEN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</w:tbl>
    <w:p/>
    <w:p>
      <w:pPr>
        <w:pStyle w:val="Heading2"/>
      </w:pPr>
      <w:r>
        <w:t>Zone Consistency Verdict</w:t>
      </w:r>
    </w:p>
    <w:p>
      <w:r>
        <w:t>Honest assessment: Only 3/10 (30%) failed VINs ever reached ORANGE or RED zones. Simultaneously, 6/15 healthy trucks also entered those zones. The 4-zone M5 system is supplemental visual context only — not a reliable standalone alert system at n=25.</w:t>
      </w:r>
    </w:p>
    <w:p>
      <w:r>
        <w:t>GLOBAL bands are acceptable for RANKING: deployed green/amber/red risk bands cleanly separate VINs by ridge_prob and empirically confirm the 0.35/0.55 thresholds. The explored 4-zone temporal M5 health system has WEAK sensitivity: only 3/10 (30%) failed VINs ever reached ORANGE or RED, while non-failed trucks also enter those zones. Dynamic per-VIN zones are NOT justified by n=25 data; the data ceiling (n=10 failed) prevents reliable zone-level health-progression discrimination. Recommendation: use V11.1 risk bands for operational deployment; treat 4-zone M5 trajectories as supplemental visual context only, not a standalone alert system.</w:t>
      </w:r>
    </w:p>
    <w:p>
      <w:r>
        <w:drawing>
          <wp:inline xmlns:a="http://schemas.openxmlformats.org/drawingml/2006/main" xmlns:pic="http://schemas.openxmlformats.org/drawingml/2006/picture">
            <wp:extent cx="5486400" cy="91357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5.1 — Zone occupancy heatmap (all VINs, M5 temporal system)</w:t>
      </w:r>
    </w:p>
    <w:p>
      <w:pPr>
        <w:pStyle w:val="Heading1"/>
      </w:pPr>
      <w:r>
        <w:t>6. The 93% AUROC — Decomposed (Task 4)</w:t>
      </w:r>
    </w:p>
    <w:p>
      <w:r>
        <w:t>The LOVO AUROC of 0.9267 is a RANKING metric, not a classification accuracy. Given a randomly selected failed truck and a randomly selected healthy truck, the model ranks the failed truck higher 92.7% of the time.</w:t>
      </w:r>
    </w:p>
    <w:p>
      <w:r>
        <w:t>Pair decomposition: 139 concordant / 11 discordant / 0 ties out of 150 total pairs.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t>LOVO AUROC</w:t>
            </w:r>
          </w:p>
        </w:tc>
        <w:tc>
          <w:tcPr>
            <w:tcW w:type="dxa" w:w="4680"/>
          </w:tcPr>
          <w:p>
            <w:r>
              <w:t>0.9267</w:t>
            </w:r>
          </w:p>
        </w:tc>
      </w:tr>
      <w:tr>
        <w:tc>
          <w:tcPr>
            <w:tcW w:type="dxa" w:w="4680"/>
          </w:tcPr>
          <w:p>
            <w:r>
              <w:t>PR-AUC</w:t>
            </w:r>
          </w:p>
        </w:tc>
        <w:tc>
          <w:tcPr>
            <w:tcW w:type="dxa" w:w="4680"/>
          </w:tcPr>
          <w:p>
            <w:r>
              <w:t>0.9400</w:t>
            </w:r>
          </w:p>
        </w:tc>
      </w:tr>
      <w:tr>
        <w:tc>
          <w:tcPr>
            <w:tcW w:type="dxa" w:w="4680"/>
          </w:tcPr>
          <w:p>
            <w:r>
              <w:t>Recall</w:t>
            </w:r>
          </w:p>
        </w:tc>
        <w:tc>
          <w:tcPr>
            <w:tcW w:type="dxa" w:w="4680"/>
          </w:tcPr>
          <w:p>
            <w:r>
              <w:t>0.9000 (9/10)</w:t>
            </w:r>
          </w:p>
        </w:tc>
      </w:tr>
      <w:tr>
        <w:tc>
          <w:tcPr>
            <w:tcW w:type="dxa" w:w="4680"/>
          </w:tcPr>
          <w:p>
            <w:r>
              <w:t>Specificity</w:t>
            </w:r>
          </w:p>
        </w:tc>
        <w:tc>
          <w:tcPr>
            <w:tcW w:type="dxa" w:w="4680"/>
          </w:tcPr>
          <w:p>
            <w:r>
              <w:t>0.9333 (14/15)</w:t>
            </w:r>
          </w:p>
        </w:tc>
      </w:tr>
      <w:tr>
        <w:tc>
          <w:tcPr>
            <w:tcW w:type="dxa" w:w="4680"/>
          </w:tcPr>
          <w:p>
            <w:r>
              <w:t>Precision</w:t>
            </w:r>
          </w:p>
        </w:tc>
        <w:tc>
          <w:tcPr>
            <w:tcW w:type="dxa" w:w="4680"/>
          </w:tcPr>
          <w:p>
            <w:r>
              <w:t>0.9000</w:t>
            </w:r>
          </w:p>
        </w:tc>
      </w:tr>
      <w:tr>
        <w:tc>
          <w:tcPr>
            <w:tcW w:type="dxa" w:w="4680"/>
          </w:tcPr>
          <w:p>
            <w:r>
              <w:t>F1 Score</w:t>
            </w:r>
          </w:p>
        </w:tc>
        <w:tc>
          <w:tcPr>
            <w:tcW w:type="dxa" w:w="4680"/>
          </w:tcPr>
          <w:p>
            <w:r>
              <w:t>0.9000</w:t>
            </w:r>
          </w:p>
        </w:tc>
      </w:tr>
      <w:tr>
        <w:tc>
          <w:tcPr>
            <w:tcW w:type="dxa" w:w="4680"/>
          </w:tcPr>
          <w:p>
            <w:r>
              <w:t>MCC</w:t>
            </w:r>
          </w:p>
        </w:tc>
        <w:tc>
          <w:tcPr>
            <w:tcW w:type="dxa" w:w="4680"/>
          </w:tcPr>
          <w:p>
            <w:r>
              <w:t>0.8333</w:t>
            </w:r>
          </w:p>
        </w:tc>
      </w:tr>
      <w:tr>
        <w:tc>
          <w:tcPr>
            <w:tcW w:type="dxa" w:w="4680"/>
          </w:tcPr>
          <w:p>
            <w:r>
              <w:t>Brier Score</w:t>
            </w:r>
          </w:p>
        </w:tc>
        <w:tc>
          <w:tcPr>
            <w:tcW w:type="dxa" w:w="4680"/>
          </w:tcPr>
          <w:p>
            <w:r>
              <w:t>0.1433</w:t>
            </w:r>
          </w:p>
        </w:tc>
      </w:tr>
      <w:tr>
        <w:tc>
          <w:tcPr>
            <w:tcW w:type="dxa" w:w="4680"/>
          </w:tcPr>
          <w:p>
            <w:r>
              <w:t>Bootstrap AUROC mean</w:t>
            </w:r>
          </w:p>
        </w:tc>
        <w:tc>
          <w:tcPr>
            <w:tcW w:type="dxa" w:w="4680"/>
          </w:tcPr>
          <w:p>
            <w:r>
              <w:t>0.9234 (95% CI: [0.8065, 1.0000])</w:t>
            </w:r>
          </w:p>
        </w:tc>
      </w:tr>
      <w:tr>
        <w:tc>
          <w:tcPr>
            <w:tcW w:type="dxa" w:w="4680"/>
          </w:tcPr>
          <w:p>
            <w:r>
              <w:t>Permutation p-value</w:t>
            </w:r>
          </w:p>
        </w:tc>
        <w:tc>
          <w:tcPr>
            <w:tcW w:type="dxa" w:w="4680"/>
          </w:tcPr>
          <w:p>
            <w:r>
              <w:t>0.0000</w:t>
            </w:r>
          </w:p>
        </w:tc>
      </w:tr>
      <w:tr>
        <w:tc>
          <w:tcPr>
            <w:tcW w:type="dxa" w:w="4680"/>
          </w:tcPr>
          <w:p>
            <w:r>
              <w:t>Spearman rho</w:t>
            </w:r>
          </w:p>
        </w:tc>
        <w:tc>
          <w:tcPr>
            <w:tcW w:type="dxa" w:w="4680"/>
          </w:tcPr>
          <w:p>
            <w:r>
              <w:t>0.7247</w:t>
            </w:r>
          </w:p>
        </w:tc>
      </w:tr>
      <w:tr>
        <w:tc>
          <w:tcPr>
            <w:tcW w:type="dxa" w:w="4680"/>
          </w:tcPr>
          <w:p>
            <w:r>
              <w:t>True Positives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False Positives</w:t>
            </w:r>
          </w:p>
        </w:tc>
        <w:tc>
          <w:tcPr>
            <w:tcW w:type="dxa" w:w="4680"/>
          </w:tcPr>
          <w:p>
            <w:r>
              <w:t>1 (VIN3_NF_ALT, score 0.4906)</w:t>
            </w:r>
          </w:p>
        </w:tc>
      </w:tr>
      <w:tr>
        <w:tc>
          <w:tcPr>
            <w:tcW w:type="dxa" w:w="4680"/>
          </w:tcPr>
          <w:p>
            <w:r>
              <w:t>False Negatives</w:t>
            </w:r>
          </w:p>
        </w:tc>
        <w:tc>
          <w:tcPr>
            <w:tcW w:type="dxa" w:w="4680"/>
          </w:tcPr>
          <w:p>
            <w:r>
              <w:t>1 (VIN5_F_ALT, score 0.2799)</w:t>
            </w:r>
          </w:p>
        </w:tc>
      </w:tr>
      <w:tr>
        <w:tc>
          <w:tcPr>
            <w:tcW w:type="dxa" w:w="4680"/>
          </w:tcPr>
          <w:p>
            <w:r>
              <w:t>True Negatives</w:t>
            </w:r>
          </w:p>
        </w:tc>
        <w:tc>
          <w:tcPr>
            <w:tcW w:type="dxa" w:w="4680"/>
          </w:tcPr>
          <w:p>
            <w:r>
              <w:t>14</w:t>
            </w:r>
          </w:p>
        </w:tc>
      </w:tr>
    </w:tbl>
    <w:p/>
    <w:p>
      <w:r>
        <w:t>GUARD — Classifier FP vs Emergency Channels: The classifier itself produces 1 false positive at the operating threshold (0.4456): VIN3_NF_ALT scores 0.4906, just above the threshold. This is distinct from the emergency channels (GED=2 storm, compound early-watch), where 0 of 15 healthy trucks triggered an alert — those channels have zero false alarms on the non-failed fleet.</w:t>
      </w:r>
    </w:p>
    <w:p>
      <w:r>
        <w:drawing>
          <wp:inline xmlns:a="http://schemas.openxmlformats.org/drawingml/2006/main" xmlns:pic="http://schemas.openxmlformats.org/drawingml/2006/picture">
            <wp:extent cx="5486400" cy="4199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6.1 — ROC curve (LOVO predictions, 25 trucks)</w:t>
      </w:r>
    </w:p>
    <w:p>
      <w:pPr>
        <w:pStyle w:val="Heading1"/>
      </w:pPr>
      <w:r>
        <w:t>7. RUL Correction — JCOPENDATE Clip (Task 5)</w:t>
      </w:r>
    </w:p>
    <w:p>
      <w:r>
        <w:t>Earlier RUL curves used the last telemetry timestamp as the failure date. The fix: use the service record's JCOPENDATE (Job Card Open Date) as the true failure date, extending each curve with a dashed extrapolation to RUL = 0.</w:t>
      </w:r>
    </w:p>
    <w:p>
      <w:r>
        <w:t>Fleet verdict: JCOPENDATE fix applied to all 10 failed VINs. 7 VINs have 0d gap (telemetry touches JCOPENDATE exactly). VIN1 gap=11d, VIN3 gap=66d (largest — timeline tightens by 66d), VIN9 gap=2d. Global zone-band boundaries UNCHANGED (H_GY=180d, H_YO=90d, H_OB=30d). Red zone proxy (RUL&lt;=60d) used as transparent surrogate for 'red alert' window. All 10 after-curves end at (JCOPENDATE, RUL=0). GUARDS PASSED.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VIN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JCOPENDATE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Gap (d)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Zone Before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Zone After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VIN10_F_ALT</w:t>
            </w:r>
          </w:p>
        </w:tc>
        <w:tc>
          <w:tcPr>
            <w:tcW w:type="dxa" w:w="1872"/>
          </w:tcPr>
          <w:p>
            <w:r>
              <w:t>2025-12-16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green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VIN1_F_ALT</w:t>
            </w:r>
          </w:p>
        </w:tc>
        <w:tc>
          <w:tcPr>
            <w:tcW w:type="dxa" w:w="1872"/>
          </w:tcPr>
          <w:p>
            <w:r>
              <w:t>2025-11-29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VIN2_F_ALT</w:t>
            </w:r>
          </w:p>
        </w:tc>
        <w:tc>
          <w:tcPr>
            <w:tcW w:type="dxa" w:w="1872"/>
          </w:tcPr>
          <w:p>
            <w:r>
              <w:t>2025-12-16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VIN3_F_ALT</w:t>
            </w:r>
          </w:p>
        </w:tc>
        <w:tc>
          <w:tcPr>
            <w:tcW w:type="dxa" w:w="1872"/>
          </w:tcPr>
          <w:p>
            <w:r>
              <w:t>2025-12-02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green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VIN4_F_ALT</w:t>
            </w:r>
          </w:p>
        </w:tc>
        <w:tc>
          <w:tcPr>
            <w:tcW w:type="dxa" w:w="1872"/>
          </w:tcPr>
          <w:p>
            <w:r>
              <w:t>2025-11-25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VIN5_F_ALT</w:t>
            </w:r>
          </w:p>
        </w:tc>
        <w:tc>
          <w:tcPr>
            <w:tcW w:type="dxa" w:w="1872"/>
          </w:tcPr>
          <w:p>
            <w:r>
              <w:t>2025-11-22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VIN6_F_ALT</w:t>
            </w:r>
          </w:p>
        </w:tc>
        <w:tc>
          <w:tcPr>
            <w:tcW w:type="dxa" w:w="1872"/>
          </w:tcPr>
          <w:p>
            <w:r>
              <w:t>2025-09-30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green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VIN7_F_ALT</w:t>
            </w:r>
          </w:p>
        </w:tc>
        <w:tc>
          <w:tcPr>
            <w:tcW w:type="dxa" w:w="1872"/>
          </w:tcPr>
          <w:p>
            <w:r>
              <w:t>2025-12-04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VIN8_F_ALT</w:t>
            </w:r>
          </w:p>
        </w:tc>
        <w:tc>
          <w:tcPr>
            <w:tcW w:type="dxa" w:w="1872"/>
          </w:tcPr>
          <w:p>
            <w:r>
              <w:t>2025-11-24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green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  <w:tr>
        <w:tc>
          <w:tcPr>
            <w:tcW w:type="dxa" w:w="1872"/>
          </w:tcPr>
          <w:p>
            <w:r>
              <w:t>VIN9_F_ALT</w:t>
            </w:r>
          </w:p>
        </w:tc>
        <w:tc>
          <w:tcPr>
            <w:tcW w:type="dxa" w:w="1872"/>
          </w:tcPr>
          <w:p>
            <w:r>
              <w:t>2025-12-29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yellow</w:t>
            </w:r>
          </w:p>
        </w:tc>
        <w:tc>
          <w:tcPr>
            <w:tcW w:type="dxa" w:w="1872"/>
          </w:tcPr>
          <w:p>
            <w:r>
              <w:t>black</w:t>
            </w:r>
          </w:p>
        </w:tc>
      </w:tr>
    </w:tbl>
    <w:p/>
    <w:p>
      <w:r>
        <w:t>Most affected: VIN3_F_ALT with a 66-day gap. Seven of 10 VINs had zero gap. Global zone-band boundaries are unchanged.</w:t>
      </w:r>
    </w:p>
    <w:p>
      <w:r>
        <w:drawing>
          <wp:inline xmlns:a="http://schemas.openxmlformats.org/drawingml/2006/main" xmlns:pic="http://schemas.openxmlformats.org/drawingml/2006/picture">
            <wp:extent cx="5486400" cy="23147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N3_F_ALT_before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7.1 — VIN3_F_ALT RUL before/after JCOPENDATE fix (+66d gap)</w:t>
      </w:r>
    </w:p>
    <w:p>
      <w:pPr>
        <w:pStyle w:val="Heading1"/>
      </w:pPr>
      <w:r>
        <w:t>8. Fleet Overlay</w:t>
      </w:r>
    </w:p>
    <w:p>
      <w:r>
        <w:t>The fleet overlay shows all 25 trucks' RUL trajectories on a common calendar x-axis after the JCOPENDATE fix.</w:t>
      </w:r>
    </w:p>
    <w:p>
      <w:r>
        <w:drawing>
          <wp:inline xmlns:a="http://schemas.openxmlformats.org/drawingml/2006/main" xmlns:pic="http://schemas.openxmlformats.org/drawingml/2006/picture">
            <wp:extent cx="5486400" cy="2450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_overlay_before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8.1 — Fleet RUL overlay (all 25 trucks, JCOPENDATE-corrected)</w:t>
      </w:r>
    </w:p>
    <w:p>
      <w:pPr>
        <w:pStyle w:val="Heading1"/>
      </w:pPr>
      <w:r>
        <w:t>9. Per-VIN Detection &amp; Failure Modes</w:t>
      </w:r>
    </w:p>
    <w:p>
      <w:r>
        <w:t>Sections 1-8 validate the fleet-level system; this section presents the per-truck picture — honestly split into what the model catches and how alternators actually fail.</w:t>
      </w:r>
    </w:p>
    <w:p>
      <w:r>
        <w:t>Detection (optimistic, and real): each truck gets its own LOVO risk score. The RED band is pure — 7 failures, 0 false alarms; 9/10 failures land in the alert zone (only VIN5 missed, at 0.28). Four give a hard, schedulable lead: VIN1 21d (GED storm), VIN2 16d (under-voltage sag), VIN6 11d, VIN10 11d (crank-recovery); VIN1 also shows a ~199-day condition decline.</w:t>
      </w:r>
    </w:p>
    <w:p>
      <w:r>
        <w:drawing>
          <wp:inline xmlns:a="http://schemas.openxmlformats.org/drawingml/2006/main" xmlns:pic="http://schemas.openxmlformats.org/drawingml/2006/picture">
            <wp:extent cx="5486400" cy="35303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c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9.1 — Per-VIN detection scorecard (RED band = 7 failures / 0 false alarms)</w:t>
      </w:r>
    </w:p>
    <w:p>
      <w:r>
        <w:drawing>
          <wp:inline xmlns:a="http://schemas.openxmlformats.org/drawingml/2006/main" xmlns:pic="http://schemas.openxmlformats.org/drawingml/2006/picture">
            <wp:extent cx="5486400" cy="39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9.2 — Defense-in-depth coverage matrix</w:t>
      </w:r>
    </w:p>
    <w:p>
      <w:r>
        <w:t>Failure modes (honest): alternators mostly stop abruptly (regulator/diode/brush). 6/10 failures give NO telemetry footprint — charging voltage flat ~28V to within three days of failure, with no gradual decline in any signal. Only four give a short discrete-event warning; only VIN1 a long runway. Implication: abrupt failures cannot be predicted at the moment level — mitigate by population (601-day fleet window / age replacement); condition monitoring buys lead only for the gradual minority.</w:t>
      </w:r>
    </w:p>
    <w:p>
      <w:r>
        <w:drawing>
          <wp:inline xmlns:a="http://schemas.openxmlformats.org/drawingml/2006/main" xmlns:pic="http://schemas.openxmlformats.org/drawingml/2006/picture">
            <wp:extent cx="5486400" cy="36421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mod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9.3 — How alternators actually fail (abrupt-failure footprint)</w:t>
      </w:r>
    </w:p>
    <w:p>
      <w:pPr>
        <w:pStyle w:val="Heading1"/>
      </w:pPr>
      <w:r>
        <w:t>10. Limitations</w:t>
      </w:r>
    </w:p>
    <w:p>
      <w:r>
        <w:t>1. n = 25 / 10 events is the data ceiling. With only 10 observed failures, statistical estimates carry wide uncertainty (bootstrap 95% CI: [0.807, 1.000]).</w:t>
      </w:r>
    </w:p>
    <w:p>
      <w:r>
        <w:t>2. Exposure confound on progressive_drift: healthy trucks observed longer accumulate more cumulative drift, reversing the expected direction. Lowest permutation importance (0.048); retained to preserve the frozen V10.5.3 spec.</w:t>
      </w:r>
    </w:p>
    <w:p>
      <w:r>
        <w:t>3. Aged-fleet observation bias: non-failed trucks are right-censored, not proven healthy indefinitely. The 601-day window should be updated as the fleet ages further.</w:t>
      </w:r>
    </w:p>
    <w:p>
      <w:r>
        <w:t>4. No per-truck timing from the classifier: per-truck MAE 140.4d vs fleet-clock MAE 49.7d — the covariate model does NOT beat the fleet clock (verdict: NO_IMPROVEMENT_HONEST). Operational deliverable is the risk band and fleet window, not per-truck day-level predictions.</w:t>
      </w:r>
    </w:p>
    <w:p>
      <w:r>
        <w:t>5. Emergency channel coverage is limited: GED=2 fires for 2/10 failed VINs; compound for 3/10. No signal available for remaining failures before failure — consistent with abrupt failure modes having no detectable electrical precursor.</w:t>
      </w:r>
    </w:p>
    <w:p>
      <w:r>
        <w:t>6. 4-zone temporal health system is weak: only 3/10 (30%) failed VINs reach ORANGE/RED; 6/15 healthy trucks also enter those zones.</w:t>
      </w:r>
    </w:p>
    <w:p>
      <w:pPr>
        <w:pStyle w:val="Heading1"/>
      </w:pPr>
      <w:r>
        <w:t>11. Recommendation — Deploy Now, Grow Data</w:t>
      </w:r>
    </w:p>
    <w:p>
      <w:r>
        <w:t>The V11.2_ALT system is recommended for operational deployment at DICV on the following basis:</w:t>
      </w:r>
    </w:p>
    <w:p>
      <w:r>
        <w:t>Ranking (WHICH): LOVO AUROC 0.9267 — 139/150 concordant pairs — provides reliable fleet risk-ranking. Top-10 inspection list catches 9/10 known failures.</w:t>
      </w:r>
    </w:p>
    <w:p>
      <w:r>
        <w:t>Fleet window (WHEN-fleet): 601-day / ~120,440 km replacement window provides a defensible procurement and scheduling anchor derived from observed failure ages.</w:t>
      </w:r>
    </w:p>
    <w:p>
      <w:r>
        <w:t>Emergency channels (WHEN-emergency): GED=2 excitation-disturbance monitoring and compound early-watch produce zero false alarms on the 15 healthy trucks and fire ahead of failure for 2 and 3 trucks respectively.</w:t>
      </w:r>
    </w:p>
    <w:p>
      <w:r>
        <w:t>Data ceiling is not a method ceiling: expanding to 100+ trucks with continued telemetry ingestion is expected to narrow the bootstrap CI, improve zone discrimination, and enable more reliable per-truck timing. The Phase-2 recommendation is to deploy V11.2 now and retrain on a richer dataset as it accumulates.</w:t>
      </w:r>
    </w:p>
    <w:p/>
    <w:p>
      <w:r>
        <w:t>Report generated by V11_2_ALT_build_report.py on 2026-06-26. All numbers sourced from result files under V11.2_ALT/results/. Metrics from LOVO cross-validation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