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Calibri" w:hAnsi="Calibri"/>
          <w:b/>
          <w:i w:val="0"/>
          <w:color w:val="595959"/>
          <w:sz w:val="22"/>
        </w:rPr>
        <w:t>DICV  |  BharatBenz Predictive Maintenance</w:t>
      </w:r>
    </w:p>
    <w:p>
      <w:pPr>
        <w:spacing w:after="40" w:before="0"/>
        <w:jc w:val="center"/>
      </w:pPr>
      <w:r>
        <w:rPr>
          <w:rFonts w:ascii="Calibri" w:hAnsi="Calibri"/>
          <w:b/>
          <w:i w:val="0"/>
          <w:color w:val="1F3864"/>
          <w:sz w:val="40"/>
        </w:rPr>
        <w:t>Daimler Truck Connect - Predictive Intelligence</w:t>
      </w:r>
    </w:p>
    <w:p>
      <w:pPr>
        <w:spacing w:after="80" w:before="0"/>
        <w:jc w:val="center"/>
      </w:pPr>
      <w:r>
        <w:rPr>
          <w:rFonts w:ascii="Calibri" w:hAnsi="Calibri"/>
          <w:b/>
          <w:i w:val="0"/>
          <w:color w:val="2E4D7B"/>
          <w:sz w:val="30"/>
        </w:rPr>
        <w:t>Commercial Q&amp;A  &amp;  Costing Annex</w:t>
      </w:r>
    </w:p>
    <w:p>
      <w:pPr>
        <w:spacing w:after="40" w:before="0"/>
        <w:jc w:val="center"/>
      </w:pPr>
      <w:r>
        <w:rPr>
          <w:rFonts w:ascii="Calibri" w:hAnsi="Calibri"/>
          <w:b w:val="0"/>
          <w:i/>
          <w:color w:val="595959"/>
          <w:sz w:val="21"/>
        </w:rPr>
        <w:t>Trained on ~500 vehicles / vertical (transformer)  -  deployed on ~100,000 vehicles in Truck Connect</w:t>
      </w:r>
    </w:p>
    <w:p>
      <w:pPr>
        <w:spacing w:after="160" w:before="0"/>
        <w:jc w:val="center"/>
      </w:pPr>
      <w:r>
        <w:rPr>
          <w:rFonts w:ascii="Calibri" w:hAnsi="Calibri"/>
          <w:b w:val="0"/>
          <w:i w:val="0"/>
          <w:color w:val="595959"/>
          <w:sz w:val="18"/>
        </w:rPr>
        <w:t>Prepared by ByteEdge   -   2026-06-26   -   FX Rs 94/USD   -   pricing snapshot 24-Jun-2026 (Azure Central India)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936"/>
      </w:tblGrid>
      <w:tr>
        <w:tc>
          <w:tcPr>
            <w:tcW w:type="dxa" w:w="9936"/>
            <w:shd w:val="clear" w:color="auto" w:fill="F2F4F8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3864"/>
                <w:sz w:val="19"/>
              </w:rPr>
              <w:t>Customer-facing answers are in Sections 1-8. Annex A shows the compute as (hours x per-hour rate); Annex B holds internal commercial notes (cost-to-price bridge, margin %) and is NOT for external distribution. Planning estimates for decision-making, not a quotation.</w:t>
            </w:r>
          </w:p>
        </w:tc>
      </w:tr>
    </w:tbl>
    <w:p>
      <w:pPr>
        <w:spacing w:after="120" w:before="0"/>
      </w:pPr>
    </w:p>
    <w:p>
      <w:pPr>
        <w:pStyle w:val="Heading1"/>
      </w:pPr>
      <w:r>
        <w:t>At a glance</w:t>
      </w:r>
    </w:p>
    <w:p>
      <w:pPr>
        <w:spacing w:after="120"/>
      </w:pPr>
      <w:r>
        <w:rPr>
          <w:rFonts w:ascii="Calibri" w:hAnsi="Calibri"/>
          <w:b/>
          <w:i w:val="0"/>
          <w:sz w:val="21"/>
        </w:rPr>
        <w:t>Production compute by deployment size (daily batch scoring, all 3 verticals):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484"/>
        <w:gridCol w:w="2484"/>
        <w:gridCol w:w="2484"/>
        <w:gridCol w:w="2484"/>
      </w:tblGrid>
      <w:tr>
        <w:tc>
          <w:tcPr>
            <w:tcW w:type="dxa" w:w="3024"/>
            <w:shd w:val="clear" w:color="auto" w:fill="1F3864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Fleet (once-daily batch)</w:t>
            </w:r>
          </w:p>
        </w:tc>
        <w:tc>
          <w:tcPr>
            <w:tcW w:type="dxa" w:w="2304"/>
            <w:shd w:val="clear" w:color="auto" w:fill="1F3864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Compute / month</w:t>
            </w:r>
          </w:p>
        </w:tc>
        <w:tc>
          <w:tcPr>
            <w:tcW w:type="dxa" w:w="2448"/>
            <w:shd w:val="clear" w:color="auto" w:fill="1F3864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Compute / year</w:t>
            </w:r>
          </w:p>
        </w:tc>
        <w:tc>
          <w:tcPr>
            <w:tcW w:type="dxa" w:w="2160"/>
            <w:shd w:val="clear" w:color="auto" w:fill="1F3864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Per vehicle / year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25,000 vehicles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~Rs 0.55-0.85 L</w:t>
            </w:r>
          </w:p>
        </w:tc>
        <w:tc>
          <w:tcPr>
            <w:tcW w:type="dxa" w:w="2448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~Rs 6.5-10.3 L</w:t>
            </w:r>
          </w:p>
        </w:tc>
        <w:tc>
          <w:tcPr>
            <w:tcW w:type="dxa" w:w="2160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~Rs 26-41</w:t>
            </w:r>
          </w:p>
        </w:tc>
      </w:tr>
      <w:tr>
        <w:tc>
          <w:tcPr>
            <w:tcW w:type="dxa" w:w="3024"/>
            <w:vAlign w:val="center"/>
            <w:shd w:val="clear" w:color="auto" w:fill="F2F4F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50,000 vehicles</w:t>
            </w:r>
          </w:p>
        </w:tc>
        <w:tc>
          <w:tcPr>
            <w:tcW w:type="dxa" w:w="2304"/>
            <w:vAlign w:val="center"/>
            <w:shd w:val="clear" w:color="auto" w:fill="F2F4F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~Rs 0.8-1.3 L</w:t>
            </w:r>
          </w:p>
        </w:tc>
        <w:tc>
          <w:tcPr>
            <w:tcW w:type="dxa" w:w="2448"/>
            <w:vAlign w:val="center"/>
            <w:shd w:val="clear" w:color="auto" w:fill="F2F4F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~Rs 9.8-15.3 L</w:t>
            </w:r>
          </w:p>
        </w:tc>
        <w:tc>
          <w:tcPr>
            <w:tcW w:type="dxa" w:w="2160"/>
            <w:vAlign w:val="center"/>
            <w:shd w:val="clear" w:color="auto" w:fill="F2F4F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~Rs 20-31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75,000 vehicles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~Rs 1.0-1.6 L</w:t>
            </w:r>
          </w:p>
        </w:tc>
        <w:tc>
          <w:tcPr>
            <w:tcW w:type="dxa" w:w="2448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~Rs 12.4-19.3 L</w:t>
            </w:r>
          </w:p>
        </w:tc>
        <w:tc>
          <w:tcPr>
            <w:tcW w:type="dxa" w:w="2160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~Rs 16-26</w:t>
            </w:r>
          </w:p>
        </w:tc>
      </w:tr>
      <w:tr>
        <w:tc>
          <w:tcPr>
            <w:tcW w:type="dxa" w:w="3024"/>
            <w:vAlign w:val="center"/>
            <w:shd w:val="clear" w:color="auto" w:fill="C6E0B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100,000 vehicles (target)</w:t>
            </w:r>
          </w:p>
        </w:tc>
        <w:tc>
          <w:tcPr>
            <w:tcW w:type="dxa" w:w="2304"/>
            <w:vAlign w:val="center"/>
            <w:shd w:val="clear" w:color="auto" w:fill="C6E0B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~Rs 1.2-1.9 L</w:t>
            </w:r>
          </w:p>
        </w:tc>
        <w:tc>
          <w:tcPr>
            <w:tcW w:type="dxa" w:w="2448"/>
            <w:vAlign w:val="center"/>
            <w:shd w:val="clear" w:color="auto" w:fill="C6E0B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~Rs 14.6-22.8 L</w:t>
            </w:r>
          </w:p>
        </w:tc>
        <w:tc>
          <w:tcPr>
            <w:tcW w:type="dxa" w:w="2160"/>
            <w:vAlign w:val="center"/>
            <w:shd w:val="clear" w:color="auto" w:fill="C6E0B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~Rs 15-23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i/>
          <w:sz w:val="18"/>
        </w:rPr>
        <w:t>Twice-daily scoring ~ 1.5-1.8x the monthly figure. Per-vehicle cost falls as the fleet grows (shared platform spread over more trucks).</w:t>
      </w:r>
    </w:p>
    <w:p>
      <w:pPr>
        <w:spacing w:after="120"/>
      </w:pPr>
      <w:r>
        <w:rPr>
          <w:rFonts w:ascii="Calibri" w:hAnsi="Calibri"/>
          <w:b/>
          <w:i w:val="0"/>
          <w:sz w:val="21"/>
        </w:rPr>
        <w:t>Model tier - changes TRAINING only, not the run-rate above: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312"/>
        <w:gridCol w:w="3312"/>
        <w:gridCol w:w="3312"/>
      </w:tblGrid>
      <w:tr>
        <w:tc>
          <w:tcPr>
            <w:tcW w:type="dxa" w:w="2880"/>
            <w:shd w:val="clear" w:color="auto" w:fill="1F3864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Metric</w:t>
            </w:r>
          </w:p>
        </w:tc>
        <w:tc>
          <w:tcPr>
            <w:tcW w:type="dxa" w:w="3528"/>
            <w:shd w:val="clear" w:color="auto" w:fill="1F3864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Small models (small data)</w:t>
            </w:r>
          </w:p>
        </w:tc>
        <w:tc>
          <w:tcPr>
            <w:tcW w:type="dxa" w:w="3528"/>
            <w:shd w:val="clear" w:color="auto" w:fill="1F3864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Transformer (~500 veh/vertical)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Model family</w:t>
            </w:r>
          </w:p>
        </w:tc>
        <w:tc>
          <w:tcPr>
            <w:tcW w:type="dxa" w:w="3528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Ridge / XGBoost / IForest + small LSTM/TCN</w:t>
            </w:r>
          </w:p>
        </w:tc>
        <w:tc>
          <w:tcPr>
            <w:tcW w:type="dxa" w:w="3528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Temporal Fusion Transformer</w:t>
            </w:r>
          </w:p>
        </w:tc>
      </w:tr>
      <w:tr>
        <w:tc>
          <w:tcPr>
            <w:tcW w:type="dxa" w:w="2880"/>
            <w:vAlign w:val="center"/>
            <w:shd w:val="clear" w:color="auto" w:fill="F2F4F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Training GPU</w:t>
            </w:r>
          </w:p>
        </w:tc>
        <w:tc>
          <w:tcPr>
            <w:tcW w:type="dxa" w:w="3528"/>
            <w:vAlign w:val="center"/>
            <w:shd w:val="clear" w:color="auto" w:fill="F2F4F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A10 (24 GB)</w:t>
            </w:r>
          </w:p>
        </w:tc>
        <w:tc>
          <w:tcPr>
            <w:tcW w:type="dxa" w:w="3528"/>
            <w:vAlign w:val="center"/>
            <w:shd w:val="clear" w:color="auto" w:fill="F2F4F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A100 (80 GB)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Build / industrialization compute</w:t>
            </w:r>
          </w:p>
        </w:tc>
        <w:tc>
          <w:tcPr>
            <w:tcW w:type="dxa" w:w="3528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~Rs 0.7-1.2 L</w:t>
            </w:r>
          </w:p>
        </w:tc>
        <w:tc>
          <w:tcPr>
            <w:tcW w:type="dxa" w:w="3528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~Rs 1.3-5.0 L (~ Rs 4-4.5 L envelope)</w:t>
            </w:r>
          </w:p>
        </w:tc>
      </w:tr>
      <w:tr>
        <w:tc>
          <w:tcPr>
            <w:tcW w:type="dxa" w:w="2880"/>
            <w:vAlign w:val="center"/>
            <w:shd w:val="clear" w:color="auto" w:fill="F2F4F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Production run-rate &amp; per-vehicle</w:t>
            </w:r>
          </w:p>
        </w:tc>
        <w:tc>
          <w:tcPr>
            <w:tcW w:type="dxa" w:w="3528"/>
            <w:vAlign w:val="center"/>
            <w:shd w:val="clear" w:color="auto" w:fill="F2F4F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as table above</w:t>
            </w:r>
          </w:p>
        </w:tc>
        <w:tc>
          <w:tcPr>
            <w:tcW w:type="dxa" w:w="3528"/>
            <w:vAlign w:val="center"/>
            <w:shd w:val="clear" w:color="auto" w:fill="F2F4F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identical (inference is model-agnostic)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Quarterly retrain, 3 verticals</w:t>
            </w:r>
          </w:p>
        </w:tc>
        <w:tc>
          <w:tcPr>
            <w:tcW w:type="dxa" w:w="3528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~Rs 450-1,300 / yr (A10)</w:t>
            </w:r>
          </w:p>
        </w:tc>
        <w:tc>
          <w:tcPr>
            <w:tcW w:type="dxa" w:w="3528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~Rs 5,000-11,500 / yr (A100)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936"/>
      </w:tblGrid>
      <w:tr>
        <w:tc>
          <w:tcPr>
            <w:tcW w:type="dxa" w:w="9936"/>
            <w:shd w:val="clear" w:color="auto" w:fill="C6E0B4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color w:val="1F3864"/>
                <w:sz w:val="19"/>
              </w:rPr>
              <w:t>Bottom line: at 100,000 vehicles, once-daily scoring costs ~Rs 1.2-1.9 Lakh/month (~Rs 15-23 per vehicle/year). The move to a transformer raises only TRAINING / retraining compute (still a few thousand rupees/year); the production run-rate is unchanged because daily batch inference of a still-small model is cheap (&lt; 15 min/pass on CPU in the consolidated plan).</w:t>
            </w:r>
          </w:p>
        </w:tc>
      </w:tr>
    </w:tbl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"1-2" \h \z \u</w:instrText>
        <w:fldChar w:fldCharType="separate"/>
        <w:t>Right-click here and choose 'Update Field' to build the contents.</w:t>
        <w:fldChar w:fldCharType="end"/>
      </w:r>
    </w:p>
    <w:p>
      <w:r>
        <w:br w:type="page"/>
      </w:r>
    </w:p>
    <w:p>
      <w:pPr>
        <w:pStyle w:val="Heading1"/>
      </w:pPr>
      <w:r>
        <w:t>1.  How to read this document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Customer answers (Sec. 1-8): </w:t>
      </w:r>
      <w:r>
        <w:rPr>
          <w:rFonts w:ascii="Calibri" w:hAnsi="Calibri"/>
          <w:sz w:val="20"/>
        </w:rPr>
        <w:t>clean, decision-ready.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Annex A: </w:t>
      </w:r>
      <w:r>
        <w:rPr>
          <w:rFonts w:ascii="Calibri" w:hAnsi="Calibri"/>
          <w:sz w:val="20"/>
        </w:rPr>
        <w:t>compute as hours x per-hour rate, plus the storage / platform lines that are not hour-priced.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Annex B (internal): </w:t>
      </w:r>
      <w:r>
        <w:rPr>
          <w:rFonts w:ascii="Calibri" w:hAnsi="Calibri"/>
          <w:sz w:val="20"/>
        </w:rPr>
        <w:t>cost-to-price bridge, margin %, points to confirm. Remove before sharing externally.</w:t>
      </w:r>
    </w:p>
    <w:p>
      <w:pPr>
        <w:spacing w:after="120"/>
      </w:pPr>
      <w:r>
        <w:rPr>
          <w:rFonts w:ascii="Calibri" w:hAnsi="Calibri"/>
          <w:b w:val="0"/>
          <w:i/>
          <w:sz w:val="19"/>
        </w:rPr>
        <w:t>Currency Rs 94/USD. Cloud prices: Azure Central India, 24-Jun-2026. Deployment ~100,000 vehicles; models trained on ~500 vehicles/vertical (transformer tier).</w:t>
      </w:r>
    </w:p>
    <w:p>
      <w:pPr>
        <w:pStyle w:val="Heading1"/>
      </w:pPr>
      <w:r>
        <w:t>2.  Programme &amp; Scope</w:t>
      </w:r>
    </w:p>
    <w:p>
      <w:pPr>
        <w:spacing w:before="180" w:after="40"/>
      </w:pPr>
      <w:r>
        <w:rPr>
          <w:rFonts w:ascii="Calibri" w:hAnsi="Calibri"/>
          <w:b/>
          <w:color w:val="1F3864"/>
          <w:sz w:val="22"/>
        </w:rPr>
        <w:t>Q1.  What does the Rs 24 Lakhs “Clutch 500 Readiness” programme cover?</w:t>
      </w:r>
    </w:p>
    <w:p>
      <w:pPr>
        <w:spacing w:after="120"/>
      </w:pPr>
      <w:r>
        <w:rPr>
          <w:rFonts w:ascii="Calibri" w:hAnsi="Calibri"/>
          <w:b/>
          <w:color w:val="70AD47"/>
          <w:sz w:val="21"/>
        </w:rPr>
        <w:t xml:space="preserve">A.  </w:t>
      </w:r>
      <w:r>
        <w:rPr>
          <w:rFonts w:ascii="Calibri" w:hAnsi="Calibri"/>
          <w:sz w:val="21"/>
        </w:rPr>
        <w:t>It takes the proven clutch model from pilot to a production-grade capability ready for the fleet and integrated into Daimler Truck Connect, across three workstreams: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Data Engineering &amp; Foundation - </w:t>
      </w:r>
      <w:r>
        <w:rPr>
          <w:rFonts w:ascii="Calibri" w:hAnsi="Calibri"/>
          <w:sz w:val="20"/>
        </w:rPr>
        <w:t>production-grade ingestion, cleaning and sentinel-handling, a curated data store and feature store, plus data-quality and silent-telemetry monitors.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Predictive Intelligence Industrialization - </w:t>
      </w:r>
      <w:r>
        <w:rPr>
          <w:rFonts w:ascii="Calibri" w:hAnsi="Calibri"/>
          <w:sz w:val="20"/>
        </w:rPr>
        <w:t>hardening the clutch model (anomaly baseline + classifier + RUL with conformal intervals), the champion/challenger retraining loop, and validation gates.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Truck Connect Readiness &amp; Architecture - </w:t>
      </w:r>
      <w:r>
        <w:rPr>
          <w:rFonts w:ascii="Calibri" w:hAnsi="Calibri"/>
          <w:sz w:val="20"/>
        </w:rPr>
        <w:t>the API contract, webhook alerts, the signed/licensed container, and the deployment architecture.</w:t>
      </w: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The same foundation and Truck Connect plumbing are reused by the alternator and starter verticals - which is why each industrializes for an incremental Rs 7 Lakhs. Clutch is the most mature (~63-day failure lead).</w:t>
      </w:r>
    </w:p>
    <w:p>
      <w:pPr>
        <w:spacing w:before="180" w:after="40"/>
      </w:pPr>
      <w:r>
        <w:rPr>
          <w:rFonts w:ascii="Calibri" w:hAnsi="Calibri"/>
          <w:b/>
          <w:color w:val="1F3864"/>
          <w:sz w:val="22"/>
        </w:rPr>
        <w:t>Q2.  What is the breakup of the Rs 24 Lakhs?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312"/>
        <w:gridCol w:w="3312"/>
        <w:gridCol w:w="3312"/>
      </w:tblGrid>
      <w:tr>
        <w:tc>
          <w:tcPr>
            <w:tcW w:type="dxa" w:w="3600"/>
            <w:shd w:val="clear" w:color="auto" w:fill="1F3864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Workstream</w:t>
            </w:r>
          </w:p>
        </w:tc>
        <w:tc>
          <w:tcPr>
            <w:tcW w:type="dxa" w:w="1152"/>
            <w:shd w:val="clear" w:color="auto" w:fill="1F3864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Amount</w:t>
            </w:r>
          </w:p>
        </w:tc>
        <w:tc>
          <w:tcPr>
            <w:tcW w:type="dxa" w:w="5184"/>
            <w:shd w:val="clear" w:color="auto" w:fill="1F3864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What it includes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Data Engineering &amp; Foundation</w:t>
            </w:r>
          </w:p>
        </w:tc>
        <w:tc>
          <w:tcPr>
            <w:tcW w:type="dxa" w:w="1152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Rs 7 L</w:t>
            </w:r>
          </w:p>
        </w:tc>
        <w:tc>
          <w:tcPr>
            <w:tcW w:type="dxa" w:w="5184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Ingestion, cleaning, sentinel rules, curated + feature store, data-quality monitors</w:t>
            </w:r>
          </w:p>
        </w:tc>
      </w:tr>
      <w:tr>
        <w:tc>
          <w:tcPr>
            <w:tcW w:type="dxa" w:w="3600"/>
            <w:vAlign w:val="center"/>
            <w:shd w:val="clear" w:color="auto" w:fill="F2F4F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Predictive Intelligence Industrialization</w:t>
            </w:r>
          </w:p>
        </w:tc>
        <w:tc>
          <w:tcPr>
            <w:tcW w:type="dxa" w:w="1152"/>
            <w:vAlign w:val="center"/>
            <w:shd w:val="clear" w:color="auto" w:fill="F2F4F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Rs 13 L</w:t>
            </w:r>
          </w:p>
        </w:tc>
        <w:tc>
          <w:tcPr>
            <w:tcW w:type="dxa" w:w="5184"/>
            <w:vAlign w:val="center"/>
            <w:shd w:val="clear" w:color="auto" w:fill="F2F4F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Clutch model hardening, calibration, champion/challenger loop, LOVO validation, registry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Truck Connect Readiness &amp; Architecture</w:t>
            </w:r>
          </w:p>
        </w:tc>
        <w:tc>
          <w:tcPr>
            <w:tcW w:type="dxa" w:w="1152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Rs 4 L</w:t>
            </w:r>
          </w:p>
        </w:tc>
        <w:tc>
          <w:tcPr>
            <w:tcW w:type="dxa" w:w="5184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API contract, webhook alerts, signed licensed container, deployment design</w:t>
            </w:r>
          </w:p>
        </w:tc>
      </w:tr>
      <w:tr>
        <w:tc>
          <w:tcPr>
            <w:tcW w:type="dxa" w:w="3600"/>
            <w:vAlign w:val="center"/>
            <w:shd w:val="clear" w:color="auto" w:fill="C6E0B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Total</w:t>
            </w:r>
          </w:p>
        </w:tc>
        <w:tc>
          <w:tcPr>
            <w:tcW w:type="dxa" w:w="1152"/>
            <w:vAlign w:val="center"/>
            <w:shd w:val="clear" w:color="auto" w:fill="C6E0B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Rs 24 L</w:t>
            </w:r>
          </w:p>
        </w:tc>
        <w:tc>
          <w:tcPr>
            <w:tcW w:type="dxa" w:w="5184"/>
            <w:vAlign w:val="center"/>
            <w:shd w:val="clear" w:color="auto" w:fill="C6E0B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~30% data / 54% predictive-model industrialization / 16% Truck Connect readiness</w:t>
            </w:r>
          </w:p>
        </w:tc>
      </w:tr>
    </w:tbl>
    <w:p>
      <w:pPr>
        <w:spacing w:before="180" w:after="40"/>
      </w:pPr>
      <w:r>
        <w:rPr>
          <w:rFonts w:ascii="Calibri" w:hAnsi="Calibri"/>
          <w:b/>
          <w:color w:val="1F3864"/>
          <w:sz w:val="22"/>
        </w:rPr>
        <w:t>Q3.  How much compute cost is assumed (build phase)?</w:t>
      </w:r>
    </w:p>
    <w:p>
      <w:pPr>
        <w:spacing w:after="120"/>
      </w:pPr>
      <w:r>
        <w:rPr>
          <w:rFonts w:ascii="Calibri" w:hAnsi="Calibri"/>
          <w:b/>
          <w:color w:val="70AD47"/>
          <w:sz w:val="21"/>
        </w:rPr>
        <w:t xml:space="preserve">A.  </w:t>
      </w:r>
      <w:r>
        <w:rPr>
          <w:rFonts w:ascii="Calibri" w:hAnsi="Calibri"/>
          <w:sz w:val="21"/>
        </w:rPr>
        <w:t>~Rs 4-4.5 Lakhs across development, training, storage and validation. For small models the actual build compute is only ~Rs 0.7-1.2 L (the envelope is conservative); for the transformer tier (~500 veh/vertical, A100, ~600 GPU-hours incl. hyper-parameter search) it is ~Rs 1.3-5.0 L - i.e. the Rs 4-4.5 L envelope still covers the typical build. Most of the Rs 24 L is engineering effort, not compute.</w:t>
      </w:r>
    </w:p>
    <w:p>
      <w:pPr>
        <w:spacing w:before="180" w:after="40"/>
      </w:pPr>
      <w:r>
        <w:rPr>
          <w:rFonts w:ascii="Calibri" w:hAnsi="Calibri"/>
          <w:b/>
          <w:color w:val="1F3864"/>
          <w:sz w:val="22"/>
        </w:rPr>
        <w:t>Q4.  Does the Rs 24 Lakhs cover all tractor-trailer variants?</w:t>
      </w:r>
    </w:p>
    <w:p>
      <w:pPr>
        <w:spacing w:after="120"/>
      </w:pPr>
      <w:r>
        <w:rPr>
          <w:rFonts w:ascii="Calibri" w:hAnsi="Calibri"/>
          <w:b/>
          <w:color w:val="70AD47"/>
          <w:sz w:val="21"/>
        </w:rPr>
        <w:t xml:space="preserve">A.  </w:t>
      </w:r>
      <w:r>
        <w:rPr>
          <w:rFonts w:ascii="Calibri" w:hAnsi="Calibri"/>
          <w:sz w:val="21"/>
        </w:rPr>
        <w:t>Yes - assuming a similar clutch architecture. Variants sharing the same clutch hardware and signal set are covered by the same model with minor re-calibration. Materially different hardware, torque ratings or duty cycles may need incremental calibration - a small add-on, not a fresh programme. A variant-to-clutch-hardware mapping from Daimler confirms which variants are in scope at no extra cost (Section 8).</w:t>
      </w:r>
    </w:p>
    <w:p>
      <w:pPr>
        <w:pStyle w:val="Heading1"/>
      </w:pPr>
      <w:r>
        <w:t>3.  Deployment Compute (100,000 vehicles, by 25k slab)</w:t>
      </w:r>
    </w:p>
    <w:p>
      <w:pPr>
        <w:spacing w:after="120"/>
      </w:pPr>
      <w:r>
        <w:rPr>
          <w:rFonts w:ascii="Calibri" w:hAnsi="Calibri"/>
          <w:b w:val="0"/>
          <w:i/>
          <w:sz w:val="19"/>
        </w:rPr>
        <w:t>Batch-first architecture: a scheduled CPU batch scores the fleet daily; the GPU is summoned only for quarterly retraining. Compute is model-agnostic (small models or transformer score equally cheaply in batch). Hours x rate in Annex A.</w:t>
      </w:r>
    </w:p>
    <w:p>
      <w:pPr>
        <w:spacing w:before="180" w:after="40"/>
      </w:pPr>
      <w:r>
        <w:rPr>
          <w:rFonts w:ascii="Calibri" w:hAnsi="Calibri"/>
          <w:b/>
          <w:color w:val="1F3864"/>
          <w:sz w:val="22"/>
        </w:rPr>
        <w:t>Q5.  Production compute by deployment slab (once daily)?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484"/>
        <w:gridCol w:w="2484"/>
        <w:gridCol w:w="2484"/>
        <w:gridCol w:w="2484"/>
      </w:tblGrid>
      <w:tr>
        <w:tc>
          <w:tcPr>
            <w:tcW w:type="dxa" w:w="3024"/>
            <w:shd w:val="clear" w:color="auto" w:fill="1F3864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Fleet (once-daily batch)</w:t>
            </w:r>
          </w:p>
        </w:tc>
        <w:tc>
          <w:tcPr>
            <w:tcW w:type="dxa" w:w="2304"/>
            <w:shd w:val="clear" w:color="auto" w:fill="1F3864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Compute / month</w:t>
            </w:r>
          </w:p>
        </w:tc>
        <w:tc>
          <w:tcPr>
            <w:tcW w:type="dxa" w:w="2448"/>
            <w:shd w:val="clear" w:color="auto" w:fill="1F3864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Compute / year</w:t>
            </w:r>
          </w:p>
        </w:tc>
        <w:tc>
          <w:tcPr>
            <w:tcW w:type="dxa" w:w="2160"/>
            <w:shd w:val="clear" w:color="auto" w:fill="1F3864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Per vehicle / year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25,000 vehicles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~Rs 0.55-0.85 L</w:t>
            </w:r>
          </w:p>
        </w:tc>
        <w:tc>
          <w:tcPr>
            <w:tcW w:type="dxa" w:w="2448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~Rs 6.5-10.3 L</w:t>
            </w:r>
          </w:p>
        </w:tc>
        <w:tc>
          <w:tcPr>
            <w:tcW w:type="dxa" w:w="2160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~Rs 26-41</w:t>
            </w:r>
          </w:p>
        </w:tc>
      </w:tr>
      <w:tr>
        <w:tc>
          <w:tcPr>
            <w:tcW w:type="dxa" w:w="3024"/>
            <w:vAlign w:val="center"/>
            <w:shd w:val="clear" w:color="auto" w:fill="F2F4F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50,000 vehicles</w:t>
            </w:r>
          </w:p>
        </w:tc>
        <w:tc>
          <w:tcPr>
            <w:tcW w:type="dxa" w:w="2304"/>
            <w:vAlign w:val="center"/>
            <w:shd w:val="clear" w:color="auto" w:fill="F2F4F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~Rs 0.8-1.3 L</w:t>
            </w:r>
          </w:p>
        </w:tc>
        <w:tc>
          <w:tcPr>
            <w:tcW w:type="dxa" w:w="2448"/>
            <w:vAlign w:val="center"/>
            <w:shd w:val="clear" w:color="auto" w:fill="F2F4F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~Rs 9.8-15.3 L</w:t>
            </w:r>
          </w:p>
        </w:tc>
        <w:tc>
          <w:tcPr>
            <w:tcW w:type="dxa" w:w="2160"/>
            <w:vAlign w:val="center"/>
            <w:shd w:val="clear" w:color="auto" w:fill="F2F4F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~Rs 20-31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75,000 vehicles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~Rs 1.0-1.6 L</w:t>
            </w:r>
          </w:p>
        </w:tc>
        <w:tc>
          <w:tcPr>
            <w:tcW w:type="dxa" w:w="2448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~Rs 12.4-19.3 L</w:t>
            </w:r>
          </w:p>
        </w:tc>
        <w:tc>
          <w:tcPr>
            <w:tcW w:type="dxa" w:w="2160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~Rs 16-26</w:t>
            </w:r>
          </w:p>
        </w:tc>
      </w:tr>
      <w:tr>
        <w:tc>
          <w:tcPr>
            <w:tcW w:type="dxa" w:w="3024"/>
            <w:vAlign w:val="center"/>
            <w:shd w:val="clear" w:color="auto" w:fill="C6E0B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100,000 vehicles (target)</w:t>
            </w:r>
          </w:p>
        </w:tc>
        <w:tc>
          <w:tcPr>
            <w:tcW w:type="dxa" w:w="2304"/>
            <w:vAlign w:val="center"/>
            <w:shd w:val="clear" w:color="auto" w:fill="C6E0B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~Rs 1.2-1.9 L</w:t>
            </w:r>
          </w:p>
        </w:tc>
        <w:tc>
          <w:tcPr>
            <w:tcW w:type="dxa" w:w="2448"/>
            <w:vAlign w:val="center"/>
            <w:shd w:val="clear" w:color="auto" w:fill="C6E0B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~Rs 14.6-22.8 L</w:t>
            </w:r>
          </w:p>
        </w:tc>
        <w:tc>
          <w:tcPr>
            <w:tcW w:type="dxa" w:w="2160"/>
            <w:vAlign w:val="center"/>
            <w:shd w:val="clear" w:color="auto" w:fill="C6E0B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~Rs 15-23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i w:val="0"/>
          <w:sz w:val="20"/>
        </w:rPr>
        <w:t>Compute scales sub-linearly with fleet size (storage and per-vehicle CPU grow ~linearly; the platform / monitoring layer is largely fixed), so per-vehicle cost falls from ~Rs 26-41 at 25k to ~Rs 15-23 at 100k.</w:t>
      </w:r>
    </w:p>
    <w:p>
      <w:pPr>
        <w:spacing w:before="180" w:after="40"/>
      </w:pPr>
      <w:r>
        <w:rPr>
          <w:rFonts w:ascii="Calibri" w:hAnsi="Calibri"/>
          <w:b/>
          <w:color w:val="1F3864"/>
          <w:sz w:val="22"/>
        </w:rPr>
        <w:t>Q6.  Production compute if scoring runs twice daily?</w:t>
      </w:r>
    </w:p>
    <w:p>
      <w:pPr>
        <w:spacing w:after="120"/>
      </w:pPr>
      <w:r>
        <w:rPr>
          <w:rFonts w:ascii="Calibri" w:hAnsi="Calibri"/>
          <w:b/>
          <w:color w:val="70AD47"/>
          <w:sz w:val="21"/>
        </w:rPr>
        <w:t xml:space="preserve">A.  </w:t>
      </w:r>
      <w:r>
        <w:rPr>
          <w:rFonts w:ascii="Calibri" w:hAnsi="Calibri"/>
          <w:sz w:val="21"/>
        </w:rPr>
        <w:t>~1.5-1.8x the once-daily figure (e.g. ~Rs 1.8-3.4 Lakh/month at 100k). It does not double: telemetry is ingested and stored once; only the second scoring pass, the extra prediction-history writes and pipeline runs add cost. The operating rhythm (Section 4) is once-daily, so once-daily is the planning figure.</w:t>
      </w:r>
    </w:p>
    <w:p>
      <w:pPr>
        <w:spacing w:before="180" w:after="40"/>
      </w:pPr>
      <w:r>
        <w:rPr>
          <w:rFonts w:ascii="Calibri" w:hAnsi="Calibri"/>
          <w:b/>
          <w:color w:val="1F3864"/>
          <w:sz w:val="22"/>
        </w:rPr>
        <w:t>Q7.  Per-vehicle compute cost, split by vertical (at 100k)?</w:t>
      </w:r>
    </w:p>
    <w:p>
      <w:pPr>
        <w:spacing w:after="120"/>
      </w:pPr>
      <w:r>
        <w:rPr>
          <w:rFonts w:ascii="Calibri" w:hAnsi="Calibri"/>
          <w:b/>
          <w:color w:val="70AD47"/>
          <w:sz w:val="21"/>
        </w:rPr>
        <w:t xml:space="preserve">A.  </w:t>
      </w:r>
      <w:r>
        <w:rPr>
          <w:rFonts w:ascii="Calibri" w:hAnsi="Calibri"/>
          <w:sz w:val="21"/>
        </w:rPr>
        <w:t>All three verticals together cost ~Rs 15-23/vehicle/year. The split is roughly even because most of the cost is shared infrastructure (storage, feature pipeline, platform); the model inference itself is negligible: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312"/>
        <w:gridCol w:w="3312"/>
        <w:gridCol w:w="3312"/>
      </w:tblGrid>
      <w:tr>
        <w:tc>
          <w:tcPr>
            <w:tcW w:type="dxa" w:w="2160"/>
            <w:shd w:val="clear" w:color="auto" w:fill="1F3864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Vertical</w:t>
            </w:r>
          </w:p>
        </w:tc>
        <w:tc>
          <w:tcPr>
            <w:tcW w:type="dxa" w:w="5472"/>
            <w:shd w:val="clear" w:color="auto" w:fill="1F3864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Daily output</w:t>
            </w:r>
          </w:p>
        </w:tc>
        <w:tc>
          <w:tcPr>
            <w:tcW w:type="dxa" w:w="2304"/>
            <w:shd w:val="clear" w:color="auto" w:fill="1F3864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Compute (Rs / veh / yr @ 100k)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Clutch</w:t>
            </w:r>
          </w:p>
        </w:tc>
        <w:tc>
          <w:tcPr>
            <w:tcW w:type="dxa" w:w="5472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RUL + risk zone (anomaly-based, ~63-day lead)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~Rs 7-9</w:t>
            </w:r>
          </w:p>
        </w:tc>
      </w:tr>
      <w:tr>
        <w:tc>
          <w:tcPr>
            <w:tcW w:type="dxa" w:w="2160"/>
            <w:vAlign w:val="center"/>
            <w:shd w:val="clear" w:color="auto" w:fill="F2F4F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Alternator</w:t>
            </w:r>
          </w:p>
        </w:tc>
        <w:tc>
          <w:tcPr>
            <w:tcW w:type="dxa" w:w="5472"/>
            <w:vAlign w:val="center"/>
            <w:shd w:val="clear" w:color="auto" w:fill="F2F4F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Risk zone + maintenance window + GED=2 alarm</w:t>
            </w:r>
          </w:p>
        </w:tc>
        <w:tc>
          <w:tcPr>
            <w:tcW w:type="dxa" w:w="2304"/>
            <w:vAlign w:val="center"/>
            <w:shd w:val="clear" w:color="auto" w:fill="F2F4F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~Rs 5-7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Starter</w:t>
            </w:r>
          </w:p>
        </w:tc>
        <w:tc>
          <w:tcPr>
            <w:tcW w:type="dxa" w:w="5472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Risk zone + window + persistent-RED dwell pager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~Rs 5-7</w:t>
            </w:r>
          </w:p>
        </w:tc>
      </w:tr>
      <w:tr>
        <w:tc>
          <w:tcPr>
            <w:tcW w:type="dxa" w:w="2160"/>
            <w:vAlign w:val="center"/>
            <w:shd w:val="clear" w:color="auto" w:fill="C6E0B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All three (shared)</w:t>
            </w:r>
          </w:p>
        </w:tc>
        <w:tc>
          <w:tcPr>
            <w:tcW w:type="dxa" w:w="5472"/>
            <w:vAlign w:val="center"/>
            <w:shd w:val="clear" w:color="auto" w:fill="C6E0B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combined daily card per vehicle</w:t>
            </w:r>
          </w:p>
        </w:tc>
        <w:tc>
          <w:tcPr>
            <w:tcW w:type="dxa" w:w="2304"/>
            <w:vAlign w:val="center"/>
            <w:shd w:val="clear" w:color="auto" w:fill="C6E0B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~Rs 15-23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i/>
          <w:sz w:val="19"/>
        </w:rPr>
        <w:t>Clutch is marginally higher (anomaly + RUL). Adding a vertical is incremental (~Rs 5-7/veh/yr), not a third of the cost. This is compute cost, distinct from the SaaS price in Section 7.</w:t>
      </w:r>
    </w:p>
    <w:p>
      <w:pPr>
        <w:pStyle w:val="Heading1"/>
      </w:pPr>
      <w:r>
        <w:t>4.  Operating Rhythm</w:t>
      </w: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One cadence runs the deployed system; retraining sits at the bottom of it, gated by new labels.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484"/>
        <w:gridCol w:w="2484"/>
        <w:gridCol w:w="2484"/>
        <w:gridCol w:w="2484"/>
      </w:tblGrid>
      <w:tr>
        <w:tc>
          <w:tcPr>
            <w:tcW w:type="dxa" w:w="1368"/>
            <w:shd w:val="clear" w:color="auto" w:fill="1F3864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Cadence</w:t>
            </w:r>
          </w:p>
        </w:tc>
        <w:tc>
          <w:tcPr>
            <w:tcW w:type="dxa" w:w="2160"/>
            <w:shd w:val="clear" w:color="auto" w:fill="1F3864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Activity</w:t>
            </w:r>
          </w:p>
        </w:tc>
        <w:tc>
          <w:tcPr>
            <w:tcW w:type="dxa" w:w="3672"/>
            <w:shd w:val="clear" w:color="auto" w:fill="1F3864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Output</w:t>
            </w:r>
          </w:p>
        </w:tc>
        <w:tc>
          <w:tcPr>
            <w:tcW w:type="dxa" w:w="2736"/>
            <w:shd w:val="clear" w:color="auto" w:fill="1F3864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Honest note</w:t>
            </w:r>
          </w:p>
        </w:tc>
      </w:tr>
      <w:tr>
        <w:tc>
          <w:tcPr>
            <w:tcW w:type="dxa" w:w="1368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Daily</w:t>
            </w:r>
          </w:p>
        </w:tc>
        <w:tc>
          <w:tcPr>
            <w:tcW w:type="dxa" w:w="2160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Batch inference</w:t>
            </w:r>
          </w:p>
        </w:tc>
        <w:tc>
          <w:tcPr>
            <w:tcW w:type="dxa" w:w="3672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Risk tier + window + alarms (RUL for clutch)</w:t>
            </w:r>
          </w:p>
        </w:tc>
        <w:tc>
          <w:tcPr>
            <w:tcW w:type="dxa" w:w="2736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per-component split below</w:t>
            </w:r>
          </w:p>
        </w:tc>
      </w:tr>
      <w:tr>
        <w:tc>
          <w:tcPr>
            <w:tcW w:type="dxa" w:w="1368"/>
            <w:vAlign w:val="center"/>
            <w:shd w:val="clear" w:color="auto" w:fill="F2F4F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Weekly</w:t>
            </w:r>
          </w:p>
        </w:tc>
        <w:tc>
          <w:tcPr>
            <w:tcW w:type="dxa" w:w="2160"/>
            <w:vAlign w:val="center"/>
            <w:shd w:val="clear" w:color="auto" w:fill="F2F4F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Aggregate daily scores</w:t>
            </w:r>
          </w:p>
        </w:tc>
        <w:tc>
          <w:tcPr>
            <w:tcW w:type="dxa" w:w="3672"/>
            <w:vAlign w:val="center"/>
            <w:shd w:val="clear" w:color="auto" w:fill="F2F4F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Predictive-maintenance calendar / depot queue</w:t>
            </w:r>
          </w:p>
        </w:tc>
        <w:tc>
          <w:tcPr>
            <w:tcW w:type="dxa" w:w="2736"/>
            <w:vAlign w:val="center"/>
            <w:shd w:val="clear" w:color="auto" w:fill="F2F4F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dwell pager runs on weekly windows</w:t>
            </w:r>
          </w:p>
        </w:tc>
      </w:tr>
      <w:tr>
        <w:tc>
          <w:tcPr>
            <w:tcW w:type="dxa" w:w="1368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Monthly</w:t>
            </w:r>
          </w:p>
        </w:tc>
        <w:tc>
          <w:tcPr>
            <w:tcW w:type="dxa" w:w="2160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Performance review</w:t>
            </w:r>
          </w:p>
        </w:tc>
        <w:tc>
          <w:tcPr>
            <w:tcW w:type="dxa" w:w="3672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Drift, FP/FN vs service outcomes, stale-truck audit</w:t>
            </w:r>
          </w:p>
        </w:tc>
        <w:tc>
          <w:tcPr>
            <w:tcW w:type="dxa" w:w="2736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flag silent telemetry, not false-GREEN</w:t>
            </w:r>
          </w:p>
        </w:tc>
      </w:tr>
      <w:tr>
        <w:tc>
          <w:tcPr>
            <w:tcW w:type="dxa" w:w="1368"/>
            <w:vAlign w:val="center"/>
            <w:shd w:val="clear" w:color="auto" w:fill="F2F4F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Quarterly</w:t>
            </w:r>
          </w:p>
        </w:tc>
        <w:tc>
          <w:tcPr>
            <w:tcW w:type="dxa" w:w="2160"/>
            <w:vAlign w:val="center"/>
            <w:shd w:val="clear" w:color="auto" w:fill="F2F4F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Retrain if enough new labels</w:t>
            </w:r>
          </w:p>
        </w:tc>
        <w:tc>
          <w:tcPr>
            <w:tcW w:type="dxa" w:w="3672"/>
            <w:vAlign w:val="center"/>
            <w:shd w:val="clear" w:color="auto" w:fill="F2F4F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Champion / challenger promotion</w:t>
            </w:r>
          </w:p>
        </w:tc>
        <w:tc>
          <w:tcPr>
            <w:tcW w:type="dxa" w:w="2736"/>
            <w:vAlign w:val="center"/>
            <w:shd w:val="clear" w:color="auto" w:fill="F2F4F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trigger = new failures, not the date</w:t>
            </w:r>
          </w:p>
        </w:tc>
      </w:tr>
    </w:tbl>
    <w:p>
      <w:pPr>
        <w:spacing w:after="120"/>
      </w:pPr>
      <w:r>
        <w:rPr>
          <w:rFonts w:ascii="Calibri" w:hAnsi="Calibri"/>
          <w:b/>
          <w:i w:val="0"/>
          <w:sz w:val="20"/>
        </w:rPr>
        <w:t>Daily output by component: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312"/>
        <w:gridCol w:w="3312"/>
        <w:gridCol w:w="3312"/>
      </w:tblGrid>
      <w:tr>
        <w:tc>
          <w:tcPr>
            <w:tcW w:type="dxa" w:w="1728"/>
            <w:shd w:val="clear" w:color="auto" w:fill="1F3864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Component</w:t>
            </w:r>
          </w:p>
        </w:tc>
        <w:tc>
          <w:tcPr>
            <w:tcW w:type="dxa" w:w="6192"/>
            <w:shd w:val="clear" w:color="auto" w:fill="1F3864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Daily inference output</w:t>
            </w:r>
          </w:p>
        </w:tc>
        <w:tc>
          <w:tcPr>
            <w:tcW w:type="dxa" w:w="2016"/>
            <w:shd w:val="clear" w:color="auto" w:fill="1F3864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Is it an RUL?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Clutch</w:t>
            </w:r>
          </w:p>
        </w:tc>
        <w:tc>
          <w:tcPr>
            <w:tcW w:type="dxa" w:w="6192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RUL estimate + risk zone (anomaly-based, ~63-day lead)</w:t>
            </w:r>
          </w:p>
        </w:tc>
        <w:tc>
          <w:tcPr>
            <w:tcW w:type="dxa" w:w="2016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Yes - RUL (caveated)</w:t>
            </w:r>
          </w:p>
        </w:tc>
      </w:tr>
      <w:tr>
        <w:tc>
          <w:tcPr>
            <w:tcW w:type="dxa" w:w="1728"/>
            <w:vAlign w:val="center"/>
            <w:shd w:val="clear" w:color="auto" w:fill="F2F4F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Alternator</w:t>
            </w:r>
          </w:p>
        </w:tc>
        <w:tc>
          <w:tcPr>
            <w:tcW w:type="dxa" w:w="6192"/>
            <w:vAlign w:val="center"/>
            <w:shd w:val="clear" w:color="auto" w:fill="F2F4F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Risk zone + maintenance window + GED=2 disturbance alarm</w:t>
            </w:r>
          </w:p>
        </w:tc>
        <w:tc>
          <w:tcPr>
            <w:tcW w:type="dxa" w:w="2016"/>
            <w:vAlign w:val="center"/>
            <w:shd w:val="clear" w:color="auto" w:fill="F2F4F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 - risk zone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Starter</w:t>
            </w:r>
          </w:p>
        </w:tc>
        <w:tc>
          <w:tcPr>
            <w:tcW w:type="dxa" w:w="6192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Risk zone + maintenance window + persistent-RED dwell pager (weekly)</w:t>
            </w:r>
          </w:p>
        </w:tc>
        <w:tc>
          <w:tcPr>
            <w:tcW w:type="dxa" w:w="2016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 - risk zone</w:t>
            </w:r>
          </w:p>
        </w:tc>
      </w:tr>
    </w:tbl>
    <w:p>
      <w:pPr>
        <w:pStyle w:val="Heading1"/>
      </w:pPr>
      <w:r>
        <w:t>5.  Retraining (quarterly)</w:t>
      </w:r>
    </w:p>
    <w:p>
      <w:pPr>
        <w:spacing w:before="180" w:after="40"/>
      </w:pPr>
      <w:r>
        <w:rPr>
          <w:rFonts w:ascii="Calibri" w:hAnsi="Calibri"/>
          <w:b/>
          <w:color w:val="1F3864"/>
          <w:sz w:val="22"/>
        </w:rPr>
        <w:t>Q8.  Retraining compute - complete individual models, quarterly, on Azure (all 3 verticals)?</w:t>
      </w:r>
    </w:p>
    <w:p>
      <w:pPr>
        <w:spacing w:after="120"/>
      </w:pPr>
      <w:r>
        <w:rPr>
          <w:rFonts w:ascii="Calibri" w:hAnsi="Calibri"/>
          <w:b/>
          <w:color w:val="70AD47"/>
          <w:sz w:val="21"/>
        </w:rPr>
        <w:t xml:space="preserve">A.  </w:t>
      </w:r>
      <w:r>
        <w:rPr>
          <w:rFonts w:ascii="Calibri" w:hAnsi="Calibri"/>
          <w:sz w:val="21"/>
        </w:rPr>
        <w:t>Retraining is quarterly only (champion/challenger, triggered by new confirmed failures - not the calendar). It is periodic retraining, not reinforcement learning. Cost depends on the model tier and is fleet-size-independent (the training matrix is small regardless of deployment size):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484"/>
        <w:gridCol w:w="2484"/>
        <w:gridCol w:w="2484"/>
        <w:gridCol w:w="2484"/>
      </w:tblGrid>
      <w:tr>
        <w:tc>
          <w:tcPr>
            <w:tcW w:type="dxa" w:w="3456"/>
            <w:shd w:val="clear" w:color="auto" w:fill="1F3864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Model tier</w:t>
            </w:r>
          </w:p>
        </w:tc>
        <w:tc>
          <w:tcPr>
            <w:tcW w:type="dxa" w:w="1440"/>
            <w:shd w:val="clear" w:color="auto" w:fill="1F3864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GPU</w:t>
            </w:r>
          </w:p>
        </w:tc>
        <w:tc>
          <w:tcPr>
            <w:tcW w:type="dxa" w:w="2880"/>
            <w:shd w:val="clear" w:color="auto" w:fill="1F3864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Per quarterly run (3 verticals)</w:t>
            </w:r>
          </w:p>
        </w:tc>
        <w:tc>
          <w:tcPr>
            <w:tcW w:type="dxa" w:w="2160"/>
            <w:shd w:val="clear" w:color="auto" w:fill="1F3864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Per year (4 quarters)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Small models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A10 Spot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1-3 GPU-h  (~Rs 94-Rs 329)</w:t>
            </w:r>
          </w:p>
        </w:tc>
        <w:tc>
          <w:tcPr>
            <w:tcW w:type="dxa" w:w="2160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~Rs 450-1,300</w:t>
            </w:r>
          </w:p>
        </w:tc>
      </w:tr>
      <w:tr>
        <w:tc>
          <w:tcPr>
            <w:tcW w:type="dxa" w:w="3456"/>
            <w:vAlign w:val="center"/>
            <w:shd w:val="clear" w:color="auto" w:fill="C6E0B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Transformer (~500 veh/vertical)</w:t>
            </w:r>
          </w:p>
        </w:tc>
        <w:tc>
          <w:tcPr>
            <w:tcW w:type="dxa" w:w="1440"/>
            <w:vAlign w:val="center"/>
            <w:shd w:val="clear" w:color="auto" w:fill="C6E0B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A100 Spot</w:t>
            </w:r>
          </w:p>
        </w:tc>
        <w:tc>
          <w:tcPr>
            <w:tcW w:type="dxa" w:w="2880"/>
            <w:vAlign w:val="center"/>
            <w:shd w:val="clear" w:color="auto" w:fill="C6E0B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12-30 GPU-h  (~Rs 1,260-Rs 2,867)</w:t>
            </w:r>
          </w:p>
        </w:tc>
        <w:tc>
          <w:tcPr>
            <w:tcW w:type="dxa" w:w="2160"/>
            <w:vAlign w:val="center"/>
            <w:shd w:val="clear" w:color="auto" w:fill="C6E0B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~Rs 5,000-11,500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i w:val="0"/>
          <w:sz w:val="20"/>
        </w:rPr>
        <w:t>Per vertical, the transformer quarterly retrain is ~Rs 1,700-3,800/year. Even on dedicated (PAYG) GPUs the all-vertical figure stays under ~Rs 60k/year. The real constraint is how many new labelled failures arrive, not the compute. Hours x rate in Annex A.3.</w:t>
      </w:r>
    </w:p>
    <w:p>
      <w:pPr>
        <w:pStyle w:val="Heading1"/>
      </w:pPr>
      <w:r>
        <w:t>6.  Expansion Strategy</w:t>
      </w:r>
    </w:p>
    <w:p>
      <w:pPr>
        <w:spacing w:before="180" w:after="40"/>
      </w:pPr>
      <w:r>
        <w:rPr>
          <w:rFonts w:ascii="Calibri" w:hAnsi="Calibri"/>
          <w:b/>
          <w:color w:val="1F3864"/>
          <w:sz w:val="22"/>
        </w:rPr>
        <w:t>Q9.  Recommended expansion strategy?</w:t>
      </w:r>
    </w:p>
    <w:p>
      <w:pPr>
        <w:spacing w:after="120"/>
      </w:pPr>
      <w:r>
        <w:rPr>
          <w:rFonts w:ascii="Calibri" w:hAnsi="Calibri"/>
          <w:b/>
          <w:color w:val="70AD47"/>
          <w:sz w:val="21"/>
        </w:rPr>
        <w:t xml:space="preserve">A.  </w:t>
      </w:r>
      <w:r>
        <w:rPr>
          <w:rFonts w:ascii="Calibri" w:hAnsi="Calibri"/>
          <w:sz w:val="21"/>
        </w:rPr>
        <w:t>Industrialize by component first - Clutch -&gt; Alternator -&gt; Starter -&gt; Brake -&gt; Battery - then extend across vehicle families. The data foundation and Truck Connect integration are built once and amortized, so each additional component is an incremental Rs 7 Lakhs; extending to other families is mainly re-calibration.</w:t>
      </w:r>
    </w:p>
    <w:p>
      <w:pPr>
        <w:spacing w:before="180" w:after="40"/>
      </w:pPr>
      <w:r>
        <w:rPr>
          <w:rFonts w:ascii="Calibri" w:hAnsi="Calibri"/>
          <w:b/>
          <w:color w:val="1F3864"/>
          <w:sz w:val="22"/>
        </w:rPr>
        <w:t>Q10.  Single-Unit Truck clutch expansion?</w:t>
      </w:r>
    </w:p>
    <w:p>
      <w:pPr>
        <w:spacing w:after="120"/>
      </w:pPr>
      <w:r>
        <w:rPr>
          <w:rFonts w:ascii="Calibri" w:hAnsi="Calibri"/>
          <w:b/>
          <w:color w:val="70AD47"/>
          <w:sz w:val="21"/>
        </w:rPr>
        <w:t xml:space="preserve">A.  </w:t>
      </w:r>
      <w:r>
        <w:rPr>
          <w:rFonts w:ascii="Calibri" w:hAnsi="Calibri"/>
          <w:sz w:val="21"/>
        </w:rPr>
        <w:t>~10-12 weeks, Rs 10-12 Lakhs. Re-uses the proven clutch model and existing foundation; re-maps and re-calibrates features for the single-unit duty cycle, re-validates, and onboards into Truck Connect.</w:t>
      </w:r>
    </w:p>
    <w:p>
      <w:pPr>
        <w:spacing w:before="180" w:after="40"/>
      </w:pPr>
      <w:r>
        <w:rPr>
          <w:rFonts w:ascii="Calibri" w:hAnsi="Calibri"/>
          <w:b/>
          <w:color w:val="1F3864"/>
          <w:sz w:val="22"/>
        </w:rPr>
        <w:t>Q11.  Mining / Off-Highway clutch expansion?</w:t>
      </w:r>
    </w:p>
    <w:p>
      <w:pPr>
        <w:spacing w:after="120"/>
      </w:pPr>
      <w:r>
        <w:rPr>
          <w:rFonts w:ascii="Calibri" w:hAnsi="Calibri"/>
          <w:b/>
          <w:color w:val="70AD47"/>
          <w:sz w:val="21"/>
        </w:rPr>
        <w:t xml:space="preserve">A.  </w:t>
      </w:r>
      <w:r>
        <w:rPr>
          <w:rFonts w:ascii="Calibri" w:hAnsi="Calibri"/>
          <w:sz w:val="21"/>
        </w:rPr>
        <w:t>~12-16 weeks, Rs 12-15 Lakhs. Off-highway duty cycles differ substantially (severe loads, low-speed/high-torque, harsh thermal/dust), needing more re-calibration, possible new failure modes and longer validation.</w:t>
      </w:r>
    </w:p>
    <w:p>
      <w:pPr>
        <w:spacing w:before="180" w:after="40"/>
      </w:pPr>
      <w:r>
        <w:rPr>
          <w:rFonts w:ascii="Calibri" w:hAnsi="Calibri"/>
          <w:b/>
          <w:color w:val="1F3864"/>
          <w:sz w:val="22"/>
        </w:rPr>
        <w:t>Q12.  Alternator industrialization cost?</w:t>
      </w:r>
    </w:p>
    <w:p>
      <w:pPr>
        <w:spacing w:after="120"/>
      </w:pPr>
      <w:r>
        <w:rPr>
          <w:rFonts w:ascii="Calibri" w:hAnsi="Calibri"/>
          <w:b/>
          <w:color w:val="70AD47"/>
          <w:sz w:val="21"/>
        </w:rPr>
        <w:t xml:space="preserve">A.  </w:t>
      </w:r>
      <w:r>
        <w:rPr>
          <w:rFonts w:ascii="Calibri" w:hAnsi="Calibri"/>
          <w:sz w:val="21"/>
        </w:rPr>
        <w:t>Rs 7 Lakhs incremental on the shared foundation: validated alternator model (AUROC 0.927) to production - GED-disturbance alarm, risk-window matrix, calibration, champion/challenger. Deliverable = risk score + maintenance window + GED alarm.</w:t>
      </w:r>
    </w:p>
    <w:p>
      <w:pPr>
        <w:spacing w:before="180" w:after="40"/>
      </w:pPr>
      <w:r>
        <w:rPr>
          <w:rFonts w:ascii="Calibri" w:hAnsi="Calibri"/>
          <w:b/>
          <w:color w:val="1F3864"/>
          <w:sz w:val="22"/>
        </w:rPr>
        <w:t>Q13.  Starter industrialization cost?</w:t>
      </w:r>
    </w:p>
    <w:p>
      <w:pPr>
        <w:spacing w:after="120"/>
      </w:pPr>
      <w:r>
        <w:rPr>
          <w:rFonts w:ascii="Calibri" w:hAnsi="Calibri"/>
          <w:b/>
          <w:color w:val="70AD47"/>
          <w:sz w:val="21"/>
        </w:rPr>
        <w:t xml:space="preserve">A.  </w:t>
      </w:r>
      <w:r>
        <w:rPr>
          <w:rFonts w:ascii="Calibri" w:hAnsi="Calibri"/>
          <w:sz w:val="21"/>
        </w:rPr>
        <w:t>Rs 7 Lakhs incremental: validated starter model (AUROC ~0.93) to production with its maintenance window and a persistent-RED dwell pager. Deliverable = risk zone + window + alarm, not a per-day countdown.</w:t>
      </w:r>
    </w:p>
    <w:p>
      <w:pPr>
        <w:pStyle w:val="Heading1"/>
      </w:pPr>
      <w:r>
        <w:t>7.  Commercial Model &amp; Pricing</w:t>
      </w:r>
    </w:p>
    <w:p>
      <w:pPr>
        <w:spacing w:before="180" w:after="40"/>
      </w:pPr>
      <w:r>
        <w:rPr>
          <w:rFonts w:ascii="Calibri" w:hAnsi="Calibri"/>
          <w:b/>
          <w:color w:val="1F3864"/>
          <w:sz w:val="22"/>
        </w:rPr>
        <w:t>Q14.  Recommended commercial model?</w:t>
      </w:r>
    </w:p>
    <w:p>
      <w:pPr>
        <w:spacing w:after="120"/>
      </w:pPr>
      <w:r>
        <w:rPr>
          <w:rFonts w:ascii="Calibri" w:hAnsi="Calibri"/>
          <w:b/>
          <w:color w:val="70AD47"/>
          <w:sz w:val="21"/>
        </w:rPr>
        <w:t xml:space="preserve">A.  </w:t>
      </w:r>
      <w:r>
        <w:rPr>
          <w:rFonts w:ascii="Calibri" w:hAnsi="Calibri"/>
          <w:sz w:val="21"/>
        </w:rPr>
        <w:t>Offer both an Enterprise License (large committed / OEM-embedded fleets; capacity-based) and a Per-Vehicle SaaS subscription (variable/growing fleets; transparent Rs/vehicle/year). Both lets Daimler choose by deployment model and captures large-fleet commitments plus incremental adoption.</w:t>
      </w:r>
    </w:p>
    <w:p>
      <w:pPr>
        <w:spacing w:before="180" w:after="40"/>
      </w:pPr>
      <w:r>
        <w:rPr>
          <w:rFonts w:ascii="Calibri" w:hAnsi="Calibri"/>
          <w:b/>
          <w:color w:val="1F3864"/>
          <w:sz w:val="22"/>
        </w:rPr>
        <w:t>Q15.  Recommended enterprise pricing?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968"/>
        <w:gridCol w:w="4968"/>
      </w:tblGrid>
      <w:tr>
        <w:tc>
          <w:tcPr>
            <w:tcW w:type="dxa" w:w="4896"/>
            <w:shd w:val="clear" w:color="auto" w:fill="1F3864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Fleet size band</w:t>
            </w:r>
          </w:p>
        </w:tc>
        <w:tc>
          <w:tcPr>
            <w:tcW w:type="dxa" w:w="5040"/>
            <w:shd w:val="clear" w:color="auto" w:fill="1F3864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Enterprise price (full suite)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Up to 25,000 vehicles</w:t>
            </w:r>
          </w:p>
        </w:tc>
        <w:tc>
          <w:tcPr>
            <w:tcW w:type="dxa" w:w="5040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Rs 1.5 Crore</w:t>
            </w:r>
          </w:p>
        </w:tc>
      </w:tr>
      <w:tr>
        <w:tc>
          <w:tcPr>
            <w:tcW w:type="dxa" w:w="4896"/>
            <w:vAlign w:val="center"/>
            <w:shd w:val="clear" w:color="auto" w:fill="F2F4F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25,000 - 50,000 vehicles</w:t>
            </w:r>
          </w:p>
        </w:tc>
        <w:tc>
          <w:tcPr>
            <w:tcW w:type="dxa" w:w="5040"/>
            <w:vAlign w:val="center"/>
            <w:shd w:val="clear" w:color="auto" w:fill="F2F4F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Rs 2.5 Crore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50,000 - 100,000 vehicles</w:t>
            </w:r>
          </w:p>
        </w:tc>
        <w:tc>
          <w:tcPr>
            <w:tcW w:type="dxa" w:w="5040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Rs 3.5 Crore</w:t>
            </w:r>
          </w:p>
        </w:tc>
      </w:tr>
      <w:tr>
        <w:tc>
          <w:tcPr>
            <w:tcW w:type="dxa" w:w="4896"/>
            <w:vAlign w:val="center"/>
            <w:shd w:val="clear" w:color="auto" w:fill="F2F4F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Above 100,000 vehicles</w:t>
            </w:r>
          </w:p>
        </w:tc>
        <w:tc>
          <w:tcPr>
            <w:tcW w:type="dxa" w:w="5040"/>
            <w:vAlign w:val="center"/>
            <w:shd w:val="clear" w:color="auto" w:fill="F2F4F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Custom</w:t>
            </w:r>
          </w:p>
        </w:tc>
      </w:tr>
    </w:tbl>
    <w:p>
      <w:pPr>
        <w:spacing w:before="180" w:after="40"/>
      </w:pPr>
      <w:r>
        <w:rPr>
          <w:rFonts w:ascii="Calibri" w:hAnsi="Calibri"/>
          <w:b/>
          <w:color w:val="1F3864"/>
          <w:sz w:val="22"/>
        </w:rPr>
        <w:t>Q16.  Recommended per-vehicle pricing?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968"/>
        <w:gridCol w:w="4968"/>
      </w:tblGrid>
      <w:tr>
        <w:tc>
          <w:tcPr>
            <w:tcW w:type="dxa" w:w="5616"/>
            <w:shd w:val="clear" w:color="auto" w:fill="1F3864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Component bundle</w:t>
            </w:r>
          </w:p>
        </w:tc>
        <w:tc>
          <w:tcPr>
            <w:tcW w:type="dxa" w:w="4320"/>
            <w:shd w:val="clear" w:color="auto" w:fill="1F3864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Price (per vehicle / year)</w:t>
            </w:r>
          </w:p>
        </w:tc>
      </w:tr>
      <w:tr>
        <w:tc>
          <w:tcPr>
            <w:tcW w:type="dxa" w:w="5616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Clutch</w:t>
            </w:r>
          </w:p>
        </w:tc>
        <w:tc>
          <w:tcPr>
            <w:tcW w:type="dxa" w:w="4320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Rs 150</w:t>
            </w:r>
          </w:p>
        </w:tc>
      </w:tr>
      <w:tr>
        <w:tc>
          <w:tcPr>
            <w:tcW w:type="dxa" w:w="5616"/>
            <w:vAlign w:val="center"/>
            <w:shd w:val="clear" w:color="auto" w:fill="F2F4F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Clutch + Starter</w:t>
            </w:r>
          </w:p>
        </w:tc>
        <w:tc>
          <w:tcPr>
            <w:tcW w:type="dxa" w:w="4320"/>
            <w:vAlign w:val="center"/>
            <w:shd w:val="clear" w:color="auto" w:fill="F2F4F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Rs 250</w:t>
            </w:r>
          </w:p>
        </w:tc>
      </w:tr>
      <w:tr>
        <w:tc>
          <w:tcPr>
            <w:tcW w:type="dxa" w:w="5616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Clutch + Starter + Alternator</w:t>
            </w:r>
          </w:p>
        </w:tc>
        <w:tc>
          <w:tcPr>
            <w:tcW w:type="dxa" w:w="4320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Rs 400</w:t>
            </w:r>
          </w:p>
        </w:tc>
      </w:tr>
      <w:tr>
        <w:tc>
          <w:tcPr>
            <w:tcW w:type="dxa" w:w="5616"/>
            <w:vAlign w:val="center"/>
            <w:shd w:val="clear" w:color="auto" w:fill="F2F4F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Full Suite</w:t>
            </w:r>
          </w:p>
        </w:tc>
        <w:tc>
          <w:tcPr>
            <w:tcW w:type="dxa" w:w="4320"/>
            <w:vAlign w:val="center"/>
            <w:shd w:val="clear" w:color="auto" w:fill="F2F4F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Rs 600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i/>
          <w:sz w:val="19"/>
        </w:rPr>
        <w:t>Pricing reflects avoided breakdowns and downtime; the underlying cloud compute is only ~Rs 15-23/vehicle/year (Section 3) - a small fraction of price.</w:t>
      </w:r>
    </w:p>
    <w:p>
      <w:pPr>
        <w:pStyle w:val="Heading1"/>
      </w:pPr>
      <w:r>
        <w:t>8.  What we need from Daimler</w:t>
      </w:r>
    </w:p>
    <w:p>
      <w:pPr>
        <w:spacing w:before="180" w:after="40"/>
      </w:pPr>
      <w:r>
        <w:rPr>
          <w:rFonts w:ascii="Calibri" w:hAnsi="Calibri"/>
          <w:b/>
          <w:color w:val="1F3864"/>
          <w:sz w:val="22"/>
        </w:rPr>
        <w:t>Q17.  What information is still needed?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Vehicle variant mapping - </w:t>
      </w:r>
      <w:r>
        <w:rPr>
          <w:rFonts w:ascii="Calibri" w:hAnsi="Calibri"/>
          <w:sz w:val="20"/>
        </w:rPr>
        <w:t>families/variants in scope and their clutch (and alternator/starter) hardware.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Deployment architecture - </w:t>
      </w:r>
      <w:r>
        <w:rPr>
          <w:rFonts w:ascii="Calibri" w:hAnsi="Calibri"/>
          <w:sz w:val="20"/>
        </w:rPr>
        <w:t>Truck Connect integration contract (APIs, auth, latency/SLA); cloud / on-prem / hybrid.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Cloud preference - </w:t>
      </w:r>
      <w:r>
        <w:rPr>
          <w:rFonts w:ascii="Calibri" w:hAnsi="Calibri"/>
          <w:sz w:val="20"/>
        </w:rPr>
        <w:t>Azure (assumed) and target region / data-residency (Central India assumed).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IT / security - </w:t>
      </w:r>
      <w:r>
        <w:rPr>
          <w:rFonts w:ascii="Calibri" w:hAnsi="Calibri"/>
          <w:sz w:val="20"/>
        </w:rPr>
        <w:t>data residency, RBAC, audit logging, per-tenant isolation, signed-image / license controls.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Prediction frequency &amp; retention - </w:t>
      </w:r>
      <w:r>
        <w:rPr>
          <w:rFonts w:ascii="Calibri" w:hAnsi="Calibri"/>
          <w:sz w:val="20"/>
        </w:rPr>
        <w:t>once- vs twice-daily scoring (sets compute per Section 3) and prediction-history retention.</w:t>
      </w:r>
    </w:p>
    <w:p>
      <w:r>
        <w:br w:type="page"/>
      </w:r>
    </w:p>
    <w:p>
      <w:pPr>
        <w:pStyle w:val="Heading1"/>
      </w:pPr>
      <w:r>
        <w:t>Annex A.  Compute - hours x rate</w:t>
      </w:r>
    </w:p>
    <w:p>
      <w:pPr>
        <w:spacing w:after="120"/>
      </w:pPr>
      <w:r>
        <w:rPr>
          <w:rFonts w:ascii="Calibri" w:hAnsi="Calibri"/>
          <w:b w:val="0"/>
          <w:i/>
          <w:sz w:val="19"/>
        </w:rPr>
        <w:t>Only GPU and CPU are hour-priced. Storage is per GB-month and platform/monitoring are flat fees - together about half the bill - so those are shown in their real units.</w:t>
      </w:r>
    </w:p>
    <w:p>
      <w:pPr>
        <w:pStyle w:val="Heading2"/>
      </w:pPr>
      <w:r>
        <w:t>A.1  Rate card (Central India, 24-Jun-2026)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484"/>
        <w:gridCol w:w="2484"/>
        <w:gridCol w:w="2484"/>
        <w:gridCol w:w="2484"/>
      </w:tblGrid>
      <w:tr>
        <w:tc>
          <w:tcPr>
            <w:tcW w:type="dxa" w:w="3744"/>
            <w:shd w:val="clear" w:color="auto" w:fill="1F3864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Resource</w:t>
            </w:r>
          </w:p>
        </w:tc>
        <w:tc>
          <w:tcPr>
            <w:tcW w:type="dxa" w:w="1872"/>
            <w:shd w:val="clear" w:color="auto" w:fill="1F3864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Unit</w:t>
            </w:r>
          </w:p>
        </w:tc>
        <w:tc>
          <w:tcPr>
            <w:tcW w:type="dxa" w:w="2304"/>
            <w:shd w:val="clear" w:color="auto" w:fill="1F3864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PAYG rate</w:t>
            </w:r>
          </w:p>
        </w:tc>
        <w:tc>
          <w:tcPr>
            <w:tcW w:type="dxa" w:w="2016"/>
            <w:shd w:val="clear" w:color="auto" w:fill="1F3864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Spot rate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A10 GPU (NV36ads_A10_v5)</w:t>
            </w:r>
          </w:p>
        </w:tc>
        <w:tc>
          <w:tcPr>
            <w:tcW w:type="dxa" w:w="1872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$/GPU-hr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$4.48  (Rs 421)</w:t>
            </w:r>
          </w:p>
        </w:tc>
        <w:tc>
          <w:tcPr>
            <w:tcW w:type="dxa" w:w="2016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$0.828  (Rs 78)</w:t>
            </w:r>
          </w:p>
        </w:tc>
      </w:tr>
      <w:tr>
        <w:tc>
          <w:tcPr>
            <w:tcW w:type="dxa" w:w="3744"/>
            <w:vAlign w:val="center"/>
            <w:shd w:val="clear" w:color="auto" w:fill="F2F4F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A100 GPU (NC24ads_A100_v4)</w:t>
            </w:r>
          </w:p>
        </w:tc>
        <w:tc>
          <w:tcPr>
            <w:tcW w:type="dxa" w:w="1872"/>
            <w:vAlign w:val="center"/>
            <w:shd w:val="clear" w:color="auto" w:fill="F2F4F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$/GPU-hr</w:t>
            </w:r>
          </w:p>
        </w:tc>
        <w:tc>
          <w:tcPr>
            <w:tcW w:type="dxa" w:w="2304"/>
            <w:vAlign w:val="center"/>
            <w:shd w:val="clear" w:color="auto" w:fill="F2F4F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$5.142  (Rs 483)</w:t>
            </w:r>
          </w:p>
        </w:tc>
        <w:tc>
          <w:tcPr>
            <w:tcW w:type="dxa" w:w="2016"/>
            <w:vAlign w:val="center"/>
            <w:shd w:val="clear" w:color="auto" w:fill="F2F4F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$0.95  (Rs 89)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D16ds_v5 CPU (16 vCPU - feature/ETL)</w:t>
            </w:r>
          </w:p>
        </w:tc>
        <w:tc>
          <w:tcPr>
            <w:tcW w:type="dxa" w:w="1872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$/instance-hr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$0.918  (Rs 86)</w:t>
            </w:r>
          </w:p>
        </w:tc>
        <w:tc>
          <w:tcPr>
            <w:tcW w:type="dxa" w:w="2016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~$0.3  (Rs 28)</w:t>
            </w:r>
          </w:p>
        </w:tc>
      </w:tr>
      <w:tr>
        <w:tc>
          <w:tcPr>
            <w:tcW w:type="dxa" w:w="3744"/>
            <w:vAlign w:val="center"/>
            <w:shd w:val="clear" w:color="auto" w:fill="F2F4F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D8ds_v5 CPU (8 vCPU - inference)</w:t>
            </w:r>
          </w:p>
        </w:tc>
        <w:tc>
          <w:tcPr>
            <w:tcW w:type="dxa" w:w="1872"/>
            <w:vAlign w:val="center"/>
            <w:shd w:val="clear" w:color="auto" w:fill="F2F4F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$/instance-hr</w:t>
            </w:r>
          </w:p>
        </w:tc>
        <w:tc>
          <w:tcPr>
            <w:tcW w:type="dxa" w:w="2304"/>
            <w:vAlign w:val="center"/>
            <w:shd w:val="clear" w:color="auto" w:fill="F2F4F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$0.459  (Rs 43)</w:t>
            </w:r>
          </w:p>
        </w:tc>
        <w:tc>
          <w:tcPr>
            <w:tcW w:type="dxa" w:w="2016"/>
            <w:vAlign w:val="center"/>
            <w:shd w:val="clear" w:color="auto" w:fill="F2F4F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~$0.15  (Rs 14)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Blob storage hot / cool / archive</w:t>
            </w:r>
          </w:p>
        </w:tc>
        <w:tc>
          <w:tcPr>
            <w:tcW w:type="dxa" w:w="1872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$/GB-month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$0.020 / 0.010 / 0.002</w:t>
            </w:r>
          </w:p>
        </w:tc>
        <w:tc>
          <w:tcPr>
            <w:tcW w:type="dxa" w:w="2016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-</w:t>
            </w:r>
          </w:p>
        </w:tc>
      </w:tr>
    </w:tbl>
    <w:p>
      <w:pPr>
        <w:pStyle w:val="Heading2"/>
      </w:pPr>
      <w:r>
        <w:t>A.2  Once-daily production @ 100,000 vehicles</w:t>
      </w:r>
    </w:p>
    <w:p>
      <w:pPr>
        <w:spacing w:after="120"/>
      </w:pPr>
      <w:r>
        <w:rPr>
          <w:rFonts w:ascii="Calibri" w:hAnsi="Calibri"/>
          <w:b/>
          <w:i w:val="0"/>
          <w:sz w:val="20"/>
        </w:rPr>
        <w:t>Hour-based (compute), per month: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2880"/>
            <w:shd w:val="clear" w:color="auto" w:fill="1F3864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Job</w:t>
            </w:r>
          </w:p>
        </w:tc>
        <w:tc>
          <w:tcPr>
            <w:tcW w:type="dxa" w:w="1296"/>
            <w:shd w:val="clear" w:color="auto" w:fill="1F3864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Instance</w:t>
            </w:r>
          </w:p>
        </w:tc>
        <w:tc>
          <w:tcPr>
            <w:tcW w:type="dxa" w:w="2016"/>
            <w:shd w:val="clear" w:color="auto" w:fill="1F3864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Instance-hr/mo</w:t>
            </w:r>
          </w:p>
        </w:tc>
        <w:tc>
          <w:tcPr>
            <w:tcW w:type="dxa" w:w="2016"/>
            <w:shd w:val="clear" w:color="auto" w:fill="1F3864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= $/mo PAYG</w:t>
            </w:r>
          </w:p>
        </w:tc>
        <w:tc>
          <w:tcPr>
            <w:tcW w:type="dxa" w:w="1728"/>
            <w:shd w:val="clear" w:color="auto" w:fill="1F3864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Spot option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Feature aggregation</w:t>
            </w:r>
          </w:p>
        </w:tc>
        <w:tc>
          <w:tcPr>
            <w:tcW w:type="dxa" w:w="1296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D16ds_v5</w:t>
            </w:r>
          </w:p>
        </w:tc>
        <w:tc>
          <w:tcPr>
            <w:tcW w:type="dxa" w:w="2016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435-1,307</w:t>
            </w:r>
          </w:p>
        </w:tc>
        <w:tc>
          <w:tcPr>
            <w:tcW w:type="dxa" w:w="2016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$400-1,200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$130-390</w:t>
            </w:r>
          </w:p>
        </w:tc>
      </w:tr>
      <w:tr>
        <w:tc>
          <w:tcPr>
            <w:tcW w:type="dxa" w:w="2880"/>
            <w:vAlign w:val="center"/>
            <w:shd w:val="clear" w:color="auto" w:fill="F2F4F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Batch inference (x3 verticals)</w:t>
            </w:r>
          </w:p>
        </w:tc>
        <w:tc>
          <w:tcPr>
            <w:tcW w:type="dxa" w:w="1296"/>
            <w:vAlign w:val="center"/>
            <w:shd w:val="clear" w:color="auto" w:fill="F2F4F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D8ds_v5</w:t>
            </w:r>
          </w:p>
        </w:tc>
        <w:tc>
          <w:tcPr>
            <w:tcW w:type="dxa" w:w="2016"/>
            <w:vAlign w:val="center"/>
            <w:shd w:val="clear" w:color="auto" w:fill="F2F4F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218-654</w:t>
            </w:r>
          </w:p>
        </w:tc>
        <w:tc>
          <w:tcPr>
            <w:tcW w:type="dxa" w:w="2016"/>
            <w:vAlign w:val="center"/>
            <w:shd w:val="clear" w:color="auto" w:fill="F2F4F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$100-300</w:t>
            </w:r>
          </w:p>
        </w:tc>
        <w:tc>
          <w:tcPr>
            <w:tcW w:type="dxa" w:w="1728"/>
            <w:vAlign w:val="center"/>
            <w:shd w:val="clear" w:color="auto" w:fill="F2F4F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$33-98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GPU retrain (quarterly, amortized)</w:t>
            </w:r>
          </w:p>
        </w:tc>
        <w:tc>
          <w:tcPr>
            <w:tcW w:type="dxa" w:w="1296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A100 Spot</w:t>
            </w:r>
          </w:p>
        </w:tc>
        <w:tc>
          <w:tcPr>
            <w:tcW w:type="dxa" w:w="2016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~4-10 GPU-hr</w:t>
            </w:r>
          </w:p>
        </w:tc>
        <w:tc>
          <w:tcPr>
            <w:tcW w:type="dxa" w:w="2016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-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$4-10</w:t>
            </w:r>
          </w:p>
        </w:tc>
      </w:tr>
      <w:tr>
        <w:tc>
          <w:tcPr>
            <w:tcW w:type="dxa" w:w="2880"/>
            <w:vAlign w:val="center"/>
            <w:shd w:val="clear" w:color="auto" w:fill="D9E1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Compute subtotal</w:t>
            </w:r>
          </w:p>
        </w:tc>
        <w:tc>
          <w:tcPr>
            <w:tcW w:type="dxa" w:w="1296"/>
            <w:vAlign w:val="center"/>
            <w:shd w:val="clear" w:color="auto" w:fill="D9E1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7"/>
              </w:rPr>
            </w:r>
          </w:p>
        </w:tc>
        <w:tc>
          <w:tcPr>
            <w:tcW w:type="dxa" w:w="2016"/>
            <w:vAlign w:val="center"/>
            <w:shd w:val="clear" w:color="auto" w:fill="D9E1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~650-1,960 CPU-hr/mo</w:t>
            </w:r>
          </w:p>
        </w:tc>
        <w:tc>
          <w:tcPr>
            <w:tcW w:type="dxa" w:w="2016"/>
            <w:vAlign w:val="center"/>
            <w:shd w:val="clear" w:color="auto" w:fill="D9E1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$500-1,500</w:t>
            </w:r>
          </w:p>
        </w:tc>
        <w:tc>
          <w:tcPr>
            <w:tcW w:type="dxa" w:w="1728"/>
            <w:vAlign w:val="center"/>
            <w:shd w:val="clear" w:color="auto" w:fill="D9E1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$165-500</w:t>
            </w:r>
          </w:p>
        </w:tc>
      </w:tr>
    </w:tbl>
    <w:p>
      <w:pPr>
        <w:spacing w:after="120"/>
      </w:pPr>
      <w:r>
        <w:rPr>
          <w:rFonts w:ascii="Calibri" w:hAnsi="Calibri"/>
          <w:b/>
          <w:i w:val="0"/>
          <w:sz w:val="20"/>
        </w:rPr>
        <w:t>Not hour-based: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312"/>
        <w:gridCol w:w="3312"/>
        <w:gridCol w:w="3312"/>
      </w:tblGrid>
      <w:tr>
        <w:tc>
          <w:tcPr>
            <w:tcW w:type="dxa" w:w="5184"/>
            <w:shd w:val="clear" w:color="auto" w:fill="1F3864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Line</w:t>
            </w:r>
          </w:p>
        </w:tc>
        <w:tc>
          <w:tcPr>
            <w:tcW w:type="dxa" w:w="3312"/>
            <w:shd w:val="clear" w:color="auto" w:fill="1F3864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Quantity</w:t>
            </w:r>
          </w:p>
        </w:tc>
        <w:tc>
          <w:tcPr>
            <w:tcW w:type="dxa" w:w="1440"/>
            <w:shd w:val="clear" w:color="auto" w:fill="1F3864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= $/mo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Storage (raw 14-day hot + curated + features)</w:t>
            </w:r>
          </w:p>
        </w:tc>
        <w:tc>
          <w:tcPr>
            <w:tcW w:type="dxa" w:w="3312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~12,000 GB-mo @ $0.02/GB-mo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$220-500</w:t>
            </w:r>
          </w:p>
        </w:tc>
      </w:tr>
      <w:tr>
        <w:tc>
          <w:tcPr>
            <w:tcW w:type="dxa" w:w="5184"/>
            <w:vAlign w:val="center"/>
            <w:shd w:val="clear" w:color="auto" w:fill="F2F4F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Registry + orchestration + monitoring</w:t>
            </w:r>
          </w:p>
        </w:tc>
        <w:tc>
          <w:tcPr>
            <w:tcW w:type="dxa" w:w="3312"/>
            <w:vAlign w:val="center"/>
            <w:shd w:val="clear" w:color="auto" w:fill="F2F4F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platform (flat) + per-run</w:t>
            </w:r>
          </w:p>
        </w:tc>
        <w:tc>
          <w:tcPr>
            <w:tcW w:type="dxa" w:w="1440"/>
            <w:vAlign w:val="center"/>
            <w:shd w:val="clear" w:color="auto" w:fill="F2F4F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$200-520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936"/>
      </w:tblGrid>
      <w:tr>
        <w:tc>
          <w:tcPr>
            <w:tcW w:type="dxa" w:w="9936"/>
            <w:shd w:val="clear" w:color="auto" w:fill="C6E0B4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color w:val="1F3864"/>
                <w:sz w:val="19"/>
              </w:rPr>
              <w:t>Total once-daily @ 100k: ~$950-2,560/mo = ~Rs 0.9-2.4 lakh; planning figure ~Rs 1.2-1.9 Lakh/month. Compute is model-agnostic - a transformer scores just as cheaply in daily batch (&lt; 15 min/pass on CPU).</w:t>
            </w:r>
          </w:p>
        </w:tc>
      </w:tr>
    </w:tbl>
    <w:p>
      <w:pPr>
        <w:pStyle w:val="Heading2"/>
      </w:pPr>
      <w:r>
        <w:t>A.3  Retraining (quarterly) - hours x rate</w:t>
      </w: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>One quarterly retrain of all three verticals; transformer tier on A100 (small-model tier on A10):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2736"/>
            <w:shd w:val="clear" w:color="auto" w:fill="1F3864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Tier / GPU</w:t>
            </w:r>
          </w:p>
        </w:tc>
        <w:tc>
          <w:tcPr>
            <w:tcW w:type="dxa" w:w="1584"/>
            <w:shd w:val="clear" w:color="auto" w:fill="1F3864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Hours</w:t>
            </w:r>
          </w:p>
        </w:tc>
        <w:tc>
          <w:tcPr>
            <w:tcW w:type="dxa" w:w="1872"/>
            <w:shd w:val="clear" w:color="auto" w:fill="1F3864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= Spot / run</w:t>
            </w:r>
          </w:p>
        </w:tc>
        <w:tc>
          <w:tcPr>
            <w:tcW w:type="dxa" w:w="1872"/>
            <w:shd w:val="clear" w:color="auto" w:fill="1F3864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= PAYG / run</w:t>
            </w:r>
          </w:p>
        </w:tc>
        <w:tc>
          <w:tcPr>
            <w:tcW w:type="dxa" w:w="1872"/>
            <w:shd w:val="clear" w:color="auto" w:fill="1F3864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Per year (x4) Spot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Small / A10</w:t>
            </w:r>
          </w:p>
        </w:tc>
        <w:tc>
          <w:tcPr>
            <w:tcW w:type="dxa" w:w="1584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1-3 GPU-h</w:t>
            </w:r>
          </w:p>
        </w:tc>
        <w:tc>
          <w:tcPr>
            <w:tcW w:type="dxa" w:w="1872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Rs 94-Rs 329</w:t>
            </w:r>
          </w:p>
        </w:tc>
        <w:tc>
          <w:tcPr>
            <w:tcW w:type="dxa" w:w="1872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Rs 442-Rs 1,354</w:t>
            </w:r>
          </w:p>
        </w:tc>
        <w:tc>
          <w:tcPr>
            <w:tcW w:type="dxa" w:w="1872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Rs 450-1,300</w:t>
            </w:r>
          </w:p>
        </w:tc>
      </w:tr>
      <w:tr>
        <w:tc>
          <w:tcPr>
            <w:tcW w:type="dxa" w:w="2736"/>
            <w:vAlign w:val="center"/>
            <w:shd w:val="clear" w:color="auto" w:fill="C6E0B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Transformer / A100</w:t>
            </w:r>
          </w:p>
        </w:tc>
        <w:tc>
          <w:tcPr>
            <w:tcW w:type="dxa" w:w="1584"/>
            <w:vAlign w:val="center"/>
            <w:shd w:val="clear" w:color="auto" w:fill="C6E0B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12-30 GPU-h</w:t>
            </w:r>
          </w:p>
        </w:tc>
        <w:tc>
          <w:tcPr>
            <w:tcW w:type="dxa" w:w="1872"/>
            <w:vAlign w:val="center"/>
            <w:shd w:val="clear" w:color="auto" w:fill="C6E0B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Rs 1,260-Rs 2,867</w:t>
            </w:r>
          </w:p>
        </w:tc>
        <w:tc>
          <w:tcPr>
            <w:tcW w:type="dxa" w:w="1872"/>
            <w:vAlign w:val="center"/>
            <w:shd w:val="clear" w:color="auto" w:fill="C6E0B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Rs 5,988-Rs 14,692</w:t>
            </w:r>
          </w:p>
        </w:tc>
        <w:tc>
          <w:tcPr>
            <w:tcW w:type="dxa" w:w="1872"/>
            <w:vAlign w:val="center"/>
            <w:shd w:val="clear" w:color="auto" w:fill="C6E0B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Rs 5,000-11,500</w:t>
            </w:r>
          </w:p>
        </w:tc>
      </w:tr>
    </w:tbl>
    <w:p>
      <w:pPr>
        <w:pStyle w:val="ListBullet"/>
      </w:pPr>
      <w:r>
        <w:rPr>
          <w:rFonts w:ascii="Calibri" w:hAnsi="Calibri"/>
          <w:b/>
          <w:sz w:val="20"/>
        </w:rPr>
        <w:t xml:space="preserve">Quarterly only: </w:t>
      </w:r>
      <w:r>
        <w:rPr>
          <w:rFonts w:ascii="Calibri" w:hAnsi="Calibri"/>
          <w:sz w:val="20"/>
        </w:rPr>
        <w:t>4 runs/year. GPU-hours/year = 48-120 (transformer) or 4-12 (small). Per vertical, the transformer is ~Rs 1,700-3,800/year.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Fleet-size-independent &amp; checkpointed: </w:t>
      </w:r>
      <w:r>
        <w:rPr>
          <w:rFonts w:ascii="Calibri" w:hAnsi="Calibri"/>
          <w:sz w:val="20"/>
        </w:rPr>
        <w:t>same cost for 25k or 100k vehicles; Spot eviction just resumes, so PAYG is only the rare must-finish ceiling.</w:t>
      </w:r>
    </w:p>
    <w:p>
      <w:pPr>
        <w:pStyle w:val="Heading2"/>
      </w:pPr>
      <w:r>
        <w:t>A.4  Bottom line</w:t>
      </w:r>
    </w:p>
    <w:p>
      <w:pPr>
        <w:spacing w:after="120"/>
      </w:pPr>
      <w:r>
        <w:rPr>
          <w:rFonts w:ascii="Calibri" w:hAnsi="Calibri"/>
          <w:b/>
          <w:i w:val="0"/>
          <w:sz w:val="20"/>
        </w:rPr>
        <w:t>Compute hours are nearly free: ~1-3 CPU-seconds per vehicle per day to score, and 48-120 GPU-hours per year to retrain all three transformers. About half the production bill is storage (GB-month) and flat platform fees, so the real cost levers are architecture (batch vs ~4x costlier always-on streaming) and retention - not the hours.</w:t>
      </w:r>
    </w:p>
    <w:p>
      <w:r>
        <w:br w:type="page"/>
      </w:r>
    </w:p>
    <w:p>
      <w:pPr>
        <w:pStyle w:val="Heading1"/>
      </w:pPr>
      <w:r>
        <w:t>Annex B.  Internal commercial notes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936"/>
      </w:tblGrid>
      <w:tr>
        <w:tc>
          <w:tcPr>
            <w:tcW w:type="dxa" w:w="9936"/>
            <w:shd w:val="clear" w:color="auto" w:fill="FCE4EC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color w:val="880E4F"/>
                <w:sz w:val="19"/>
              </w:rPr>
              <w:t>INTERNAL - NOT FOR EXTERNAL DISTRIBUTION. Remove before sharing with the customer.</w:t>
            </w:r>
          </w:p>
        </w:tc>
      </w:tr>
    </w:tbl>
    <w:p>
      <w:pPr>
        <w:spacing w:after="80" w:before="0"/>
      </w:pPr>
    </w:p>
    <w:p>
      <w:pPr>
        <w:pStyle w:val="Heading2"/>
      </w:pPr>
      <w:r>
        <w:t>B.1  Cost-to-price bridge</w:t>
      </w: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Consolidated 500-truck build (all components + data + Truck Connect + onboarding) ~ $60.7-66.7k = ~Rs 57-63 Lakhs at Rs 94/USD. Rs 24 L clutch + Rs 7 L alternator + Rs 7 L starter = Rs 38 L covers the foundation + 3 verticals + Truck Connect readiness; the remaining ~Rs 19-25 L is brakes (greenfield), onboarding and the fuller Truck Connect integration. The offer is internally consistent.</w:t>
      </w:r>
    </w:p>
    <w:p>
      <w:pPr>
        <w:pStyle w:val="Heading2"/>
      </w:pPr>
      <w:r>
        <w:t>B.2  Effort reconciliation ($40/hr fully-loaded, Rs 94/USD)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484"/>
        <w:gridCol w:w="2484"/>
        <w:gridCol w:w="2484"/>
        <w:gridCol w:w="2484"/>
      </w:tblGrid>
      <w:tr>
        <w:tc>
          <w:tcPr>
            <w:tcW w:type="dxa" w:w="4320"/>
            <w:shd w:val="clear" w:color="auto" w:fill="1F3864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1872"/>
            <w:shd w:val="clear" w:color="auto" w:fill="1F3864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Price</w:t>
            </w:r>
          </w:p>
        </w:tc>
        <w:tc>
          <w:tcPr>
            <w:tcW w:type="dxa" w:w="1872"/>
            <w:shd w:val="clear" w:color="auto" w:fill="1F3864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~ eng-hours</w:t>
            </w:r>
          </w:p>
        </w:tc>
        <w:tc>
          <w:tcPr>
            <w:tcW w:type="dxa" w:w="1872"/>
            <w:shd w:val="clear" w:color="auto" w:fill="1F3864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~ eng-days</w:t>
            </w:r>
          </w:p>
        </w:tc>
      </w:tr>
      <w:tr>
        <w:tc>
          <w:tcPr>
            <w:tcW w:type="dxa" w:w="4320"/>
            <w:vAlign w:val="center"/>
            <w:shd w:val="clear" w:color="auto" w:fill="D9E1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Rs 24 L clutch programme</w:t>
            </w:r>
          </w:p>
        </w:tc>
        <w:tc>
          <w:tcPr>
            <w:tcW w:type="dxa" w:w="1872"/>
            <w:vAlign w:val="center"/>
            <w:shd w:val="clear" w:color="auto" w:fill="D9E1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Rs 24 L</w:t>
            </w:r>
          </w:p>
        </w:tc>
        <w:tc>
          <w:tcPr>
            <w:tcW w:type="dxa" w:w="1872"/>
            <w:vAlign w:val="center"/>
            <w:shd w:val="clear" w:color="auto" w:fill="D9E1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~640</w:t>
            </w:r>
          </w:p>
        </w:tc>
        <w:tc>
          <w:tcPr>
            <w:tcW w:type="dxa" w:w="1872"/>
            <w:vAlign w:val="center"/>
            <w:shd w:val="clear" w:color="auto" w:fill="D9E1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~80</w:t>
            </w:r>
          </w:p>
        </w:tc>
      </w:tr>
      <w:tr>
        <w:tc>
          <w:tcPr>
            <w:tcW w:type="dxa" w:w="4320"/>
            <w:vAlign w:val="center"/>
            <w:shd w:val="clear" w:color="auto" w:fill="F2F4F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Alternator / Starter (each)</w:t>
            </w:r>
          </w:p>
        </w:tc>
        <w:tc>
          <w:tcPr>
            <w:tcW w:type="dxa" w:w="1872"/>
            <w:vAlign w:val="center"/>
            <w:shd w:val="clear" w:color="auto" w:fill="F2F4F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Rs 7 L</w:t>
            </w:r>
          </w:p>
        </w:tc>
        <w:tc>
          <w:tcPr>
            <w:tcW w:type="dxa" w:w="1872"/>
            <w:vAlign w:val="center"/>
            <w:shd w:val="clear" w:color="auto" w:fill="F2F4F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~185</w:t>
            </w:r>
          </w:p>
        </w:tc>
        <w:tc>
          <w:tcPr>
            <w:tcW w:type="dxa" w:w="1872"/>
            <w:vAlign w:val="center"/>
            <w:shd w:val="clear" w:color="auto" w:fill="F2F4F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~23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Single-Unit Truck clutch</w:t>
            </w:r>
          </w:p>
        </w:tc>
        <w:tc>
          <w:tcPr>
            <w:tcW w:type="dxa" w:w="1872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Rs 10-12 L</w:t>
            </w:r>
          </w:p>
        </w:tc>
        <w:tc>
          <w:tcPr>
            <w:tcW w:type="dxa" w:w="1872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~265-320</w:t>
            </w:r>
          </w:p>
        </w:tc>
        <w:tc>
          <w:tcPr>
            <w:tcW w:type="dxa" w:w="1872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~33-40</w:t>
            </w:r>
          </w:p>
        </w:tc>
      </w:tr>
      <w:tr>
        <w:tc>
          <w:tcPr>
            <w:tcW w:type="dxa" w:w="4320"/>
            <w:vAlign w:val="center"/>
            <w:shd w:val="clear" w:color="auto" w:fill="F2F4F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Mining / Off-Highway clutch</w:t>
            </w:r>
          </w:p>
        </w:tc>
        <w:tc>
          <w:tcPr>
            <w:tcW w:type="dxa" w:w="1872"/>
            <w:vAlign w:val="center"/>
            <w:shd w:val="clear" w:color="auto" w:fill="F2F4F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Rs 12-15 L</w:t>
            </w:r>
          </w:p>
        </w:tc>
        <w:tc>
          <w:tcPr>
            <w:tcW w:type="dxa" w:w="1872"/>
            <w:vAlign w:val="center"/>
            <w:shd w:val="clear" w:color="auto" w:fill="F2F4F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~320-400</w:t>
            </w:r>
          </w:p>
        </w:tc>
        <w:tc>
          <w:tcPr>
            <w:tcW w:type="dxa" w:w="1872"/>
            <w:vAlign w:val="center"/>
            <w:shd w:val="clear" w:color="auto" w:fill="F2F4F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~40-50</w:t>
            </w:r>
          </w:p>
        </w:tc>
      </w:tr>
    </w:tbl>
    <w:p>
      <w:pPr>
        <w:pStyle w:val="Heading2"/>
      </w:pPr>
      <w:r>
        <w:t>B.3  Points to confirm before quoting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1. Cost vs billing rate. </w:t>
      </w:r>
      <w:r>
        <w:rPr>
          <w:rFonts w:ascii="Calibri" w:hAnsi="Calibri"/>
          <w:sz w:val="20"/>
        </w:rPr>
        <w:t>$40/hr is fully-loaded (cost). Rs 24 L ~ 640 hours at that rate = near delivery cost; confirm whether $40/hr is cost or billing and set the margin before quoting.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2. Enterprise vs per-vehicle. </w:t>
      </w:r>
      <w:r>
        <w:rPr>
          <w:rFonts w:ascii="Calibri" w:hAnsi="Calibri"/>
          <w:sz w:val="20"/>
        </w:rPr>
        <w:t>Rs 1.5 Cr / 25,000 = Rs 600/veh = the full-suite per-vehicle rate. Decide annual vs perpetual; if perpetual, add an AMC (~18-22%/yr) for compute, support and retraining.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3. Starter vs alternator effort. </w:t>
      </w:r>
      <w:r>
        <w:rPr>
          <w:rFonts w:ascii="Calibri" w:hAnsi="Calibri"/>
          <w:sz w:val="20"/>
        </w:rPr>
        <w:t>Starter is a 6-week plan phase vs alternator 4; both at Rs 7 L is fine if pilot reuse offsets it, else consider Rs 8-9 L for starter.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4. Architecture dependency. </w:t>
      </w:r>
      <w:r>
        <w:rPr>
          <w:rFonts w:ascii="Calibri" w:hAnsi="Calibri"/>
          <w:sz w:val="20"/>
        </w:rPr>
        <w:t>The Rs 1.2-1.9 L/mo @ 100k assumes the batch architecture. Real-time / always-on serving moves it toward the heavier streaming profile - hence the prediction-frequency question.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5. Deliverable scope. </w:t>
      </w:r>
      <w:r>
        <w:rPr>
          <w:rFonts w:ascii="Calibri" w:hAnsi="Calibri"/>
          <w:sz w:val="20"/>
        </w:rPr>
        <w:t>Clutch = RUL (~63-day lead). Alternator &amp; starter = risk zone + window + alarm, NOT a per-day RUL. Do not sell daily RUL for alternator/starter.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6. Model tier is priced in. </w:t>
      </w:r>
      <w:r>
        <w:rPr>
          <w:rFonts w:ascii="Calibri" w:hAnsi="Calibri"/>
          <w:sz w:val="20"/>
        </w:rPr>
        <w:t>The effort prices assume DL/transformer work; the transformer tier raises only compute (build + retrain), both within the quoted envelopes - not the engineering price.</w:t>
      </w:r>
    </w:p>
    <w:p>
      <w:pPr>
        <w:pStyle w:val="Heading2"/>
      </w:pPr>
      <w:r>
        <w:t>B.4  Compute as % of price (margin sanity)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484"/>
        <w:gridCol w:w="2484"/>
        <w:gridCol w:w="2484"/>
        <w:gridCol w:w="2484"/>
      </w:tblGrid>
      <w:tr>
        <w:tc>
          <w:tcPr>
            <w:tcW w:type="dxa" w:w="2736"/>
            <w:shd w:val="clear" w:color="auto" w:fill="1F3864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Enterprise band</w:t>
            </w:r>
          </w:p>
        </w:tc>
        <w:tc>
          <w:tcPr>
            <w:tcW w:type="dxa" w:w="2160"/>
            <w:shd w:val="clear" w:color="auto" w:fill="1F3864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License</w:t>
            </w:r>
          </w:p>
        </w:tc>
        <w:tc>
          <w:tcPr>
            <w:tcW w:type="dxa" w:w="2880"/>
            <w:shd w:val="clear" w:color="auto" w:fill="1F3864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Compute / yr (at top of band)</w:t>
            </w:r>
          </w:p>
        </w:tc>
        <w:tc>
          <w:tcPr>
            <w:tcW w:type="dxa" w:w="2160"/>
            <w:shd w:val="clear" w:color="auto" w:fill="1F3864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Compute %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Up to 25,000</w:t>
            </w:r>
          </w:p>
        </w:tc>
        <w:tc>
          <w:tcPr>
            <w:tcW w:type="dxa" w:w="2160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Rs 1.5 Cr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Rs 6.5-10.3 L</w:t>
            </w:r>
          </w:p>
        </w:tc>
        <w:tc>
          <w:tcPr>
            <w:tcW w:type="dxa" w:w="2160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4.3-6.9%</w:t>
            </w:r>
          </w:p>
        </w:tc>
      </w:tr>
      <w:tr>
        <w:tc>
          <w:tcPr>
            <w:tcW w:type="dxa" w:w="2736"/>
            <w:vAlign w:val="center"/>
            <w:shd w:val="clear" w:color="auto" w:fill="F2F4F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25,000-50,000</w:t>
            </w:r>
          </w:p>
        </w:tc>
        <w:tc>
          <w:tcPr>
            <w:tcW w:type="dxa" w:w="2160"/>
            <w:vAlign w:val="center"/>
            <w:shd w:val="clear" w:color="auto" w:fill="F2F4F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Rs 2.5 Cr</w:t>
            </w:r>
          </w:p>
        </w:tc>
        <w:tc>
          <w:tcPr>
            <w:tcW w:type="dxa" w:w="2880"/>
            <w:vAlign w:val="center"/>
            <w:shd w:val="clear" w:color="auto" w:fill="F2F4F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Rs 9.8-15.3 L</w:t>
            </w:r>
          </w:p>
        </w:tc>
        <w:tc>
          <w:tcPr>
            <w:tcW w:type="dxa" w:w="2160"/>
            <w:vAlign w:val="center"/>
            <w:shd w:val="clear" w:color="auto" w:fill="F2F4F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3.9-6.1%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50,000-100,000</w:t>
            </w:r>
          </w:p>
        </w:tc>
        <w:tc>
          <w:tcPr>
            <w:tcW w:type="dxa" w:w="2160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Rs 3.5 Cr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Rs 14.6-22.8 L</w:t>
            </w:r>
          </w:p>
        </w:tc>
        <w:tc>
          <w:tcPr>
            <w:tcW w:type="dxa" w:w="2160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4.2-6.5%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i/>
          <w:sz w:val="19"/>
        </w:rPr>
        <w:t>Per-vehicle: compute is ~Rs 15-41/veh/yr (fleet-dependent) against Rs 150-600 price -&gt; ~3-7%. Healthy infra margin in both models; transformer retraining adds only ~Rs 5-12k/year fleet-wide, immaterial to the ratios.</w:t>
      </w:r>
    </w:p>
    <w:p>
      <w:r>
        <w:br w:type="page"/>
      </w:r>
    </w:p>
    <w:p>
      <w:pPr>
        <w:pStyle w:val="Heading1"/>
      </w:pPr>
      <w:r>
        <w:t>Assumptions, sources &amp; caveats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FX: </w:t>
      </w:r>
      <w:r>
        <w:rPr>
          <w:rFonts w:ascii="Calibri" w:hAnsi="Calibri"/>
          <w:sz w:val="20"/>
        </w:rPr>
        <w:t>Rs 94 / USD.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Pricing snapshot: </w:t>
      </w:r>
      <w:r>
        <w:rPr>
          <w:rFonts w:ascii="Calibri" w:hAnsi="Calibri"/>
          <w:sz w:val="20"/>
        </w:rPr>
        <w:t>24-Jun-2026, Azure Central India, Linux PAYG / Spot - re-check the Azure calculator before commitment.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Architecture: </w:t>
      </w:r>
      <w:r>
        <w:rPr>
          <w:rFonts w:ascii="Calibri" w:hAnsi="Calibri"/>
          <w:sz w:val="20"/>
        </w:rPr>
        <w:t>batch-first (daily CPU batch scoring, on-demand Spot GPU for quarterly retraining); not always-on streaming.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Model tiers: </w:t>
      </w:r>
      <w:r>
        <w:rPr>
          <w:rFonts w:ascii="Calibri" w:hAnsi="Calibri"/>
          <w:sz w:val="20"/>
        </w:rPr>
        <w:t>small models (A10) for small data; transformer (A100) at ~500 veh/vertical. Production inference is daily CPU batch in both - run-rate is model-agnostic.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Deployment / training scale: </w:t>
      </w:r>
      <w:r>
        <w:rPr>
          <w:rFonts w:ascii="Calibri" w:hAnsi="Calibri"/>
          <w:sz w:val="20"/>
        </w:rPr>
        <w:t>deployed ~100,000 vehicles; trained ~500 vehicles/vertical.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Scope of compute figures: </w:t>
      </w:r>
      <w:r>
        <w:rPr>
          <w:rFonts w:ascii="Calibri" w:hAnsi="Calibri"/>
          <w:sz w:val="20"/>
        </w:rPr>
        <w:t>cloud compute + data platform only. Excludes one-time build, dashboard hosting, support, Truck Connect integration engineering and data egress.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Sources: </w:t>
      </w:r>
      <w:r>
        <w:rPr>
          <w:rFonts w:ascii="Calibri" w:hAnsi="Calibri"/>
          <w:sz w:val="20"/>
        </w:rPr>
        <w:t>DICV 500-Truck Scale-Up Plan (Consolidated) and the Azure Deployment / Retraining / GPU plans (v2 batch deployment supersedes v1).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Status: </w:t>
      </w:r>
      <w:r>
        <w:rPr>
          <w:rFonts w:ascii="Calibri" w:hAnsi="Calibri"/>
          <w:sz w:val="20"/>
        </w:rPr>
        <w:t>planning estimates, NOT a quotation.</w:t>
      </w:r>
    </w:p>
    <w:p>
      <w:pPr>
        <w:spacing w:after="120" w:before="0"/>
      </w:pPr>
    </w:p>
    <w:p>
      <w:pPr>
        <w:spacing w:after="40" w:before="0"/>
        <w:jc w:val="center"/>
      </w:pPr>
      <w:r>
        <w:rPr>
          <w:rFonts w:ascii="Calibri" w:hAnsi="Calibri"/>
          <w:b w:val="0"/>
          <w:i w:val="0"/>
          <w:color w:val="595959"/>
          <w:sz w:val="18"/>
        </w:rPr>
        <w:t>DICV BharatBenz Predictive Maintenance  -  Truck Connect Predictive Intelligence  -  Commercial Q&amp;A  -  2026-06-26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95959"/>
        <w:sz w:val="16"/>
      </w:rPr>
      <w:t xml:space="preserve">ByteEdge  -  DICV Truck Connect Predictive Intelligence  -  planning estimates, not a quotation  - 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