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Yu Gothic" w:cs="Yu Gothic" w:eastAsia="Yu Gothic" w:hAnsi="Yu Gothic"/>
          <w:b/>
          <w:bCs/>
          <w:color w:val="1F3864"/>
          <w:sz w:val="32"/>
          <w:szCs w:val="32"/>
        </w:rPr>
        <w:t xml:space="preserve">QR読取ページ　画面構造の説明</w:t>
      </w:r>
    </w:p>
    <w:p>
      <w:pPr>
        <w:spacing w:after="140"/>
      </w:pPr>
      <w:r>
        <w:rPr>
          <w:rFonts w:ascii="Yu Gothic" w:cs="Yu Gothic" w:eastAsia="Yu Gothic" w:hAnsi="Yu Gothic"/>
          <w:sz w:val="20"/>
          <w:szCs w:val="20"/>
        </w:rPr>
        <w:t xml:space="preserve">本資料は、QR読取ページが「どのような部品で構成されているか」を示す。業務ごとに画面が別々に作られているのではなく、共通の部品を土台として、業務ごとに変わる部分だけが切り替わる構造になっている。</w:t>
      </w:r>
    </w:p>
    <w:p>
      <w:pPr>
        <w:spacing w:after="100" w:before="260"/>
      </w:pPr>
      <w:r>
        <w:rPr>
          <w:rFonts w:ascii="Yu Gothic" w:cs="Yu Gothic" w:eastAsia="Yu Gothic" w:hAnsi="Yu Gothic"/>
          <w:b/>
          <w:bCs/>
          <w:color w:val="2E5C8A"/>
          <w:sz w:val="24"/>
          <w:szCs w:val="24"/>
        </w:rPr>
        <w:t xml:space="preserve">① 共通の構造</w:t>
      </w:r>
    </w:p>
    <w:p>
      <w:pPr>
        <w:spacing w:after="140"/>
      </w:pPr>
      <w:r>
        <w:rPr>
          <w:rFonts w:ascii="Yu Gothic" w:cs="Yu Gothic" w:eastAsia="Yu Gothic" w:hAnsi="Yu Gothic"/>
          <w:sz w:val="20"/>
          <w:szCs w:val="20"/>
        </w:rPr>
        <w:t xml:space="preserve">上部バーと業務ボタン行は、どの業務を選んでも常に同じ内容が表示される。その下のカード表示エリアは、①②③という同じ3種類のカードを持つ1つの共通部品であり、業務ごとに一部のカードが表示・非表示になるだけで、部品そのものは変わらない。</w:t>
      </w:r>
    </w:p>
    <w:p>
      <w:pPr>
        <w:spacing w:after="60" w:before="80"/>
        <w:jc w:val="center"/>
      </w:pPr>
      <w: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943225"/>
                    </a:xfrm>
                    <a:prstGeom prst="rect">
                      <a:avLst/>
                    </a:prstGeom>
                  </pic:spPr>
                </pic:pic>
              </a:graphicData>
            </a:graphic>
          </wp:inline>
        </w:drawing>
      </w:r>
    </w:p>
    <w:p>
      <w:pPr>
        <w:spacing w:after="200"/>
        <w:jc w:val="center"/>
      </w:pPr>
      <w:r>
        <w:rPr>
          <w:rFonts w:ascii="Yu Gothic" w:cs="Yu Gothic" w:eastAsia="Yu Gothic" w:hAnsi="Yu Gothic"/>
          <w:i/>
          <w:iCs/>
          <w:color w:val="595959"/>
          <w:sz w:val="16"/>
          <w:szCs w:val="16"/>
        </w:rPr>
        <w:t xml:space="preserve">図1　共通の構造（上部バー・業務ボタン行・カード表示エリア）</w:t>
      </w:r>
    </w:p>
    <w:p>
      <w:pPr>
        <w:spacing w:after="100" w:before="260"/>
      </w:pPr>
      <w:r>
        <w:rPr>
          <w:rFonts w:ascii="Yu Gothic" w:cs="Yu Gothic" w:eastAsia="Yu Gothic" w:hAnsi="Yu Gothic"/>
          <w:b/>
          <w:bCs/>
          <w:color w:val="2E5C8A"/>
          <w:sz w:val="24"/>
          <w:szCs w:val="24"/>
        </w:rPr>
        <w:t xml:space="preserve">② 下部フッターの4パターン</w:t>
      </w:r>
    </w:p>
    <w:p>
      <w:pPr>
        <w:spacing w:after="140"/>
      </w:pPr>
      <w:r>
        <w:rPr>
          <w:rFonts w:ascii="Yu Gothic" w:cs="Yu Gothic" w:eastAsia="Yu Gothic" w:hAnsi="Yu Gothic"/>
          <w:sz w:val="20"/>
          <w:szCs w:val="20"/>
        </w:rPr>
        <w:t xml:space="preserve">共通構造の下にある「下部フッター」だけは、選んだ業務によって中身が入れ替わる。ここは共通部品の使い回しではなく、情報表示・精算処理・経路選択あり精算・その他4業務（入場／出場／廃券／発駅キャンセル）という、実装上4種類の異なる部品に切り替わっている。</w:t>
      </w:r>
    </w:p>
    <w:p>
      <w:pPr>
        <w:spacing w:after="60" w:before="80"/>
        <w:jc w:val="center"/>
      </w:pPr>
      <w:r>
        <w:drawing>
          <wp:inline distT="0" distB="0" distL="0" distR="0">
            <wp:extent cx="47625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514475"/>
                    </a:xfrm>
                    <a:prstGeom prst="rect">
                      <a:avLst/>
                    </a:prstGeom>
                  </pic:spPr>
                </pic:pic>
              </a:graphicData>
            </a:graphic>
          </wp:inline>
        </w:drawing>
      </w:r>
    </w:p>
    <w:p>
      <w:pPr>
        <w:spacing w:after="200"/>
        <w:jc w:val="center"/>
      </w:pPr>
      <w:r>
        <w:rPr>
          <w:rFonts w:ascii="Yu Gothic" w:cs="Yu Gothic" w:eastAsia="Yu Gothic" w:hAnsi="Yu Gothic"/>
          <w:i/>
          <w:iCs/>
          <w:color w:val="595959"/>
          <w:sz w:val="16"/>
          <w:szCs w:val="16"/>
        </w:rPr>
        <w:t xml:space="preserve">図2　下部フッターの4パターン</w:t>
      </w:r>
    </w:p>
    <w:p>
      <w:pPr>
        <w:spacing w:after="100" w:before="260"/>
      </w:pPr>
      <w:r>
        <w:rPr>
          <w:rFonts w:ascii="Yu Gothic" w:cs="Yu Gothic" w:eastAsia="Yu Gothic" w:hAnsi="Yu Gothic"/>
          <w:b/>
          <w:bCs/>
          <w:color w:val="2E5C8A"/>
          <w:sz w:val="24"/>
          <w:szCs w:val="24"/>
        </w:rPr>
        <w:t xml:space="preserve">③ カード枚数のまとめ</w:t>
      </w:r>
    </w:p>
    <w:p>
      <w:pPr>
        <w:spacing w:after="140"/>
      </w:pPr>
      <w:r>
        <w:rPr>
          <w:rFonts w:ascii="Yu Gothic" w:cs="Yu Gothic" w:eastAsia="Yu Gothic" w:hAnsi="Yu Gothic"/>
          <w:sz w:val="20"/>
          <w:szCs w:val="20"/>
        </w:rPr>
        <w:t xml:space="preserve">①のまとめとして、業務ごとに実際に表示されるカードの枚数を整理すると以下の通りになる。同じ部品（CardInfoContents）の中で、if文による表示条件が満たされる枚数がそのまま画面上の枚数になっている。</w:t>
      </w:r>
    </w:p>
    <w:p>
      <w:pPr>
        <w:spacing w:after="60" w:before="80"/>
        <w:jc w:val="center"/>
      </w:pPr>
      <w:r>
        <w:drawing>
          <wp:inline distT="0" distB="0" distL="0" distR="0">
            <wp:extent cx="40005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743075"/>
                    </a:xfrm>
                    <a:prstGeom prst="rect">
                      <a:avLst/>
                    </a:prstGeom>
                  </pic:spPr>
                </pic:pic>
              </a:graphicData>
            </a:graphic>
          </wp:inline>
        </w:drawing>
      </w:r>
    </w:p>
    <w:p>
      <w:pPr>
        <w:spacing w:after="200"/>
        <w:jc w:val="center"/>
      </w:pPr>
      <w:r>
        <w:rPr>
          <w:rFonts w:ascii="Yu Gothic" w:cs="Yu Gothic" w:eastAsia="Yu Gothic" w:hAnsi="Yu Gothic"/>
          <w:i/>
          <w:iCs/>
          <w:color w:val="595959"/>
          <w:sz w:val="16"/>
          <w:szCs w:val="16"/>
        </w:rPr>
        <w:t xml:space="preserve">図3　業務ごとのカード表示枚数</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0c7237c84dadd3eed665daf0f8cc0a7d9e96d35.png"/><Relationship Id="rId8" Type="http://schemas.openxmlformats.org/officeDocument/2006/relationships/image" Target="media/99d012867c5c6b48699f8e8a4e721f444b0683ce.png"/><Relationship Id="rId9" Type="http://schemas.openxmlformats.org/officeDocument/2006/relationships/image" Target="media/3c353c762b815217f2240b239cf2acbb222cbd3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2026-09-10T05:33:06.884Z</dcterms:created>
  <dcterms:modified xsi:type="dcterms:W3CDTF">2026-09-10T05:33:06.884Z</dcterms:modified>
</cp:coreProperties>
</file>

<file path=docProps/custom.xml><?xml version="1.0" encoding="utf-8"?>
<Properties xmlns="http://schemas.openxmlformats.org/officeDocument/2006/custom-properties" xmlns:vt="http://schemas.openxmlformats.org/officeDocument/2006/docPropsVTypes"/>
</file>