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5B9BD5"/>
          <w:sz w:val="28"/>
        </w:rPr>
        <w:t>WEEK 2 TASK</w:t>
      </w:r>
    </w:p>
    <w:p>
      <w:pPr>
        <w:jc w:val="center"/>
      </w:pPr>
      <w:r>
        <w:rPr>
          <w:b/>
          <w:color w:val="1F4E79"/>
          <w:sz w:val="54"/>
        </w:rPr>
        <w:t>Data Collection and Preprocessing Framework</w:t>
      </w:r>
    </w:p>
    <w:p>
      <w:pPr>
        <w:jc w:val="center"/>
      </w:pPr>
      <w:r>
        <w:rPr>
          <w:i/>
          <w:sz w:val="30"/>
        </w:rPr>
        <w:t>Logistics Operations Analytics</w:t>
      </w:r>
    </w:p>
    <w:tbl>
      <w:tblPr>
        <w:tblW w:type="auto" w:w="0"/>
        <w:jc w:val="center"/>
        <w:tblLook w:firstColumn="1" w:firstRow="1" w:lastColumn="0" w:lastRow="0" w:noHBand="0" w:noVBand="1" w:val="04A0"/>
      </w:tblPr>
      <w:tblGrid>
        <w:gridCol w:w="10080"/>
      </w:tblGrid>
      <w:tr>
        <w:tc>
          <w:tcPr>
            <w:tcW w:type="dxa" w:w="10080"/>
            <w:shd w:fill="EAF2F8"/>
          </w:tcPr>
          <w:p>
            <w:r>
              <w:rPr>
                <w:b/>
                <w:sz w:val="20"/>
              </w:rPr>
              <w:t>Submission purpose</w:t>
              <w:br/>
            </w:r>
            <w:r>
              <w:rPr>
                <w:sz w:val="18"/>
              </w:rPr>
              <w:t>A practical framework for collecting, validating, cleaning, standardizing and transforming logistics data into an analysis-ready dataset. The design emphasizes traceability, reproducibility, source preservation, data-quality controls and contingency handling.</w:t>
            </w:r>
          </w:p>
        </w:tc>
      </w:tr>
    </w:tbl>
    <w:p/>
    <w:p>
      <w:pPr>
        <w:jc w:val="center"/>
      </w:pPr>
      <w:r>
        <w:rPr>
          <w:b/>
        </w:rPr>
        <w:t>Prepared for: Junior Data Analyst — Logistics</w:t>
        <w:br/>
      </w:r>
      <w:r>
        <w:t>Planning allocation: 34 hours</w:t>
        <w:br/>
        <w:t>Document date: 30 August 2026</w:t>
      </w:r>
    </w:p>
    <w:p>
      <w:r>
        <w:br w:type="page"/>
      </w:r>
    </w:p>
    <w:p>
      <w:pPr>
        <w:pStyle w:val="Heading1"/>
      </w:pPr>
      <w:r>
        <w:t>1. Technical Summary</w:t>
      </w:r>
    </w:p>
    <w:p>
      <w:r>
        <w:t>The central principle of this Week 2 framework is that preprocessing is not simply 'cleaning a spreadsheet'. Logistics data is generated across multiple operational systems and physical events, so the analyst must preserve source evidence while creating a standardized analytical layer. The proposed approach separates raw, validated and curated layers, maintains data lineage, records every material transformation, and uses explicit quality gates before data reaches analysis.</w:t>
      </w:r>
    </w:p>
    <w:p>
      <w:r>
        <w:t>The collection strategy begins with a data requirements specification tied to the Week 1 KPI framework. Required fields are mapped to operational sources such as ERP/order management, WMS, TMS/carrier feeds, GPS/telematics, inventory, procurement and returns/claims. Where possible, event-based visibility data should capture what happened, when, where and in what business context. GS1's EPCIS standard is specifically designed around supply-chain visibility events and can represent status, location, movement and chain-of-custody information. citeturn0search10turn0search12</w:t>
      </w:r>
    </w:p>
    <w:p>
      <w:r>
        <w:t>The preprocessing layer covers schema validation, type conversion, duplicate handling, missing-value treatment, master-data standardization, unit normalization, timestamp normalization, outlier investigation, referential-integrity checks, derived-field creation and reconciliation to source control totals. The result is a documented, analysis-ready dataset with quality metrics and a remediation log.</w:t>
      </w:r>
    </w:p>
    <w:tbl>
      <w:tblPr>
        <w:tblW w:type="auto" w:w="0"/>
        <w:jc w:val="center"/>
        <w:tblLook w:firstColumn="1" w:firstRow="1" w:lastColumn="0" w:lastRow="0" w:noHBand="0" w:noVBand="1" w:val="04A0"/>
      </w:tblPr>
      <w:tblGrid>
        <w:gridCol w:w="10080"/>
      </w:tblGrid>
      <w:tr>
        <w:tc>
          <w:tcPr>
            <w:tcW w:type="dxa" w:w="10080"/>
            <w:shd w:fill="EAF2F8"/>
          </w:tcPr>
          <w:p>
            <w:r>
              <w:rPr>
                <w:b/>
                <w:sz w:val="20"/>
              </w:rPr>
              <w:t>Critical rule</w:t>
              <w:br/>
            </w:r>
            <w:r>
              <w:rPr>
                <w:sz w:val="18"/>
              </w:rPr>
              <w:t>Never silently delete, overwrite or 'fix' source records. Preserve raw data, create a transformed copy, document the rule, and retain enough information to reproduce the result.</w:t>
            </w:r>
          </w:p>
        </w:tc>
      </w:tr>
    </w:tbl>
    <w:p/>
    <w:p>
      <w:pPr>
        <w:pStyle w:val="Heading1"/>
      </w:pPr>
      <w:r>
        <w:t>2. Objectives</w:t>
      </w:r>
    </w:p>
    <w:p>
      <w:pPr>
        <w:pStyle w:val="ListBullet"/>
        <w:spacing w:after="60"/>
      </w:pPr>
      <w:r>
        <w:t>Collect logistics data systematically from identified operational systems and external sources.</w:t>
      </w:r>
    </w:p>
    <w:p>
      <w:pPr>
        <w:pStyle w:val="ListBullet"/>
        <w:spacing w:after="60"/>
      </w:pPr>
      <w:r>
        <w:t>Preserve source-level evidence and maintain lineage from raw records to analytical tables.</w:t>
      </w:r>
    </w:p>
    <w:p>
      <w:pPr>
        <w:pStyle w:val="ListBullet"/>
        <w:spacing w:after="60"/>
      </w:pPr>
      <w:r>
        <w:t>Standardize identifiers, timestamps, units, codes and business definitions across systems.</w:t>
      </w:r>
    </w:p>
    <w:p>
      <w:pPr>
        <w:pStyle w:val="ListBullet"/>
        <w:spacing w:after="60"/>
      </w:pPr>
      <w:r>
        <w:t>Detect and remediate missing, duplicate, invalid, inconsistent and anomalous records.</w:t>
      </w:r>
    </w:p>
    <w:p>
      <w:pPr>
        <w:pStyle w:val="ListBullet"/>
        <w:spacing w:after="60"/>
      </w:pPr>
      <w:r>
        <w:t>Create a stable analytical grain suitable for KPI calculation and downstream modelling.</w:t>
      </w:r>
    </w:p>
    <w:p>
      <w:pPr>
        <w:pStyle w:val="ListBullet"/>
        <w:spacing w:after="60"/>
      </w:pPr>
      <w:r>
        <w:t>Quantify data quality before analysis and block unreliable datasets from publication.</w:t>
      </w:r>
    </w:p>
    <w:p>
      <w:pPr>
        <w:pStyle w:val="ListBullet"/>
        <w:spacing w:after="60"/>
      </w:pPr>
      <w:r>
        <w:t>Define contingency plans for incomplete feeds, system outages, schema changes and unresolved records.</w:t>
      </w:r>
    </w:p>
    <w:p>
      <w:pPr>
        <w:pStyle w:val="Heading1"/>
      </w:pPr>
      <w:r>
        <w:t>3. Data Collection Scope and Requirements</w:t>
      </w:r>
    </w:p>
    <w:p>
      <w:pPr>
        <w:pStyle w:val="Heading2"/>
      </w:pPr>
      <w:r>
        <w:t>3.1 Source-to-purpose mapping</w:t>
      </w:r>
    </w:p>
    <w:tbl>
      <w:tblPr>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vAlign w:val="center"/>
            <w:shd w:fill="D9EAF7"/>
          </w:tcPr>
          <w:p>
            <w:r/>
            <w:r>
              <w:rPr>
                <w:b/>
                <w:sz w:val="17"/>
              </w:rPr>
              <w:t>Source</w:t>
            </w:r>
          </w:p>
        </w:tc>
        <w:tc>
          <w:tcPr>
            <w:tcW w:type="dxa" w:w="2016"/>
            <w:vAlign w:val="center"/>
            <w:shd w:fill="D9EAF7"/>
          </w:tcPr>
          <w:p>
            <w:r/>
            <w:r>
              <w:rPr>
                <w:b/>
                <w:sz w:val="17"/>
              </w:rPr>
              <w:t>Collection mode</w:t>
            </w:r>
          </w:p>
        </w:tc>
        <w:tc>
          <w:tcPr>
            <w:tcW w:type="dxa" w:w="2016"/>
            <w:vAlign w:val="center"/>
            <w:shd w:fill="D9EAF7"/>
          </w:tcPr>
          <w:p>
            <w:r/>
            <w:r>
              <w:rPr>
                <w:b/>
                <w:sz w:val="17"/>
              </w:rPr>
              <w:t>Key fields</w:t>
            </w:r>
          </w:p>
        </w:tc>
        <w:tc>
          <w:tcPr>
            <w:tcW w:type="dxa" w:w="2016"/>
            <w:vAlign w:val="center"/>
            <w:shd w:fill="D9EAF7"/>
          </w:tcPr>
          <w:p>
            <w:r/>
            <w:r>
              <w:rPr>
                <w:b/>
                <w:sz w:val="17"/>
              </w:rPr>
              <w:t>Frequency</w:t>
            </w:r>
          </w:p>
        </w:tc>
        <w:tc>
          <w:tcPr>
            <w:tcW w:type="dxa" w:w="2016"/>
            <w:vAlign w:val="center"/>
            <w:shd w:fill="D9EAF7"/>
          </w:tcPr>
          <w:p>
            <w:r/>
            <w:r>
              <w:rPr>
                <w:b/>
                <w:sz w:val="17"/>
              </w:rPr>
              <w:t>Primary use</w:t>
            </w:r>
          </w:p>
        </w:tc>
      </w:tr>
      <w:tr>
        <w:tc>
          <w:tcPr>
            <w:tcW w:type="dxa" w:w="2016"/>
            <w:vAlign w:val="center"/>
          </w:tcPr>
          <w:p>
            <w:r/>
            <w:r>
              <w:rPr>
                <w:b w:val="0"/>
                <w:sz w:val="15"/>
              </w:rPr>
              <w:t>ERP / OMS</w:t>
            </w:r>
          </w:p>
        </w:tc>
        <w:tc>
          <w:tcPr>
            <w:tcW w:type="dxa" w:w="2016"/>
            <w:vAlign w:val="center"/>
          </w:tcPr>
          <w:p>
            <w:r/>
            <w:r>
              <w:rPr>
                <w:b w:val="0"/>
                <w:sz w:val="15"/>
              </w:rPr>
              <w:t>API, database extract, scheduled CSV</w:t>
            </w:r>
          </w:p>
        </w:tc>
        <w:tc>
          <w:tcPr>
            <w:tcW w:type="dxa" w:w="2016"/>
            <w:vAlign w:val="center"/>
          </w:tcPr>
          <w:p>
            <w:r/>
            <w:r>
              <w:rPr>
                <w:b w:val="0"/>
                <w:sz w:val="15"/>
              </w:rPr>
              <w:t>order_id, order_ts, promised_ts, customer, SKU, qty, status</w:t>
            </w:r>
          </w:p>
        </w:tc>
        <w:tc>
          <w:tcPr>
            <w:tcW w:type="dxa" w:w="2016"/>
            <w:vAlign w:val="center"/>
          </w:tcPr>
          <w:p>
            <w:r/>
            <w:r>
              <w:rPr>
                <w:b w:val="0"/>
                <w:sz w:val="15"/>
              </w:rPr>
              <w:t>Daily / intraday</w:t>
            </w:r>
          </w:p>
        </w:tc>
        <w:tc>
          <w:tcPr>
            <w:tcW w:type="dxa" w:w="2016"/>
            <w:vAlign w:val="center"/>
          </w:tcPr>
          <w:p>
            <w:r/>
            <w:r>
              <w:rPr>
                <w:b w:val="0"/>
                <w:sz w:val="15"/>
              </w:rPr>
              <w:t>Orders, demand, service level</w:t>
            </w:r>
          </w:p>
        </w:tc>
      </w:tr>
      <w:tr>
        <w:tc>
          <w:tcPr>
            <w:tcW w:type="dxa" w:w="2016"/>
            <w:vAlign w:val="center"/>
          </w:tcPr>
          <w:p>
            <w:r/>
            <w:r>
              <w:rPr>
                <w:b w:val="0"/>
                <w:sz w:val="15"/>
              </w:rPr>
              <w:t>WMS</w:t>
            </w:r>
          </w:p>
        </w:tc>
        <w:tc>
          <w:tcPr>
            <w:tcW w:type="dxa" w:w="2016"/>
            <w:vAlign w:val="center"/>
          </w:tcPr>
          <w:p>
            <w:r/>
            <w:r>
              <w:rPr>
                <w:b w:val="0"/>
                <w:sz w:val="15"/>
              </w:rPr>
              <w:t>API/database/events</w:t>
            </w:r>
          </w:p>
        </w:tc>
        <w:tc>
          <w:tcPr>
            <w:tcW w:type="dxa" w:w="2016"/>
            <w:vAlign w:val="center"/>
          </w:tcPr>
          <w:p>
            <w:r/>
            <w:r>
              <w:rPr>
                <w:b w:val="0"/>
                <w:sz w:val="15"/>
              </w:rPr>
              <w:t>pick_ts, pack_ts, facility, bin, qty, inventory movement</w:t>
            </w:r>
          </w:p>
        </w:tc>
        <w:tc>
          <w:tcPr>
            <w:tcW w:type="dxa" w:w="2016"/>
            <w:vAlign w:val="center"/>
          </w:tcPr>
          <w:p>
            <w:r/>
            <w:r>
              <w:rPr>
                <w:b w:val="0"/>
                <w:sz w:val="15"/>
              </w:rPr>
              <w:t>Intraday</w:t>
            </w:r>
          </w:p>
        </w:tc>
        <w:tc>
          <w:tcPr>
            <w:tcW w:type="dxa" w:w="2016"/>
            <w:vAlign w:val="center"/>
          </w:tcPr>
          <w:p>
            <w:r/>
            <w:r>
              <w:rPr>
                <w:b w:val="0"/>
                <w:sz w:val="15"/>
              </w:rPr>
              <w:t>Warehouse cycle time and inventory</w:t>
            </w:r>
          </w:p>
        </w:tc>
      </w:tr>
      <w:tr>
        <w:tc>
          <w:tcPr>
            <w:tcW w:type="dxa" w:w="2016"/>
            <w:vAlign w:val="center"/>
          </w:tcPr>
          <w:p>
            <w:r/>
            <w:r>
              <w:rPr>
                <w:b w:val="0"/>
                <w:sz w:val="15"/>
              </w:rPr>
              <w:t>TMS / carrier</w:t>
            </w:r>
          </w:p>
        </w:tc>
        <w:tc>
          <w:tcPr>
            <w:tcW w:type="dxa" w:w="2016"/>
            <w:vAlign w:val="center"/>
          </w:tcPr>
          <w:p>
            <w:r/>
            <w:r>
              <w:rPr>
                <w:b w:val="0"/>
                <w:sz w:val="15"/>
              </w:rPr>
              <w:t>API/EDI/SFTP/database</w:t>
            </w:r>
          </w:p>
        </w:tc>
        <w:tc>
          <w:tcPr>
            <w:tcW w:type="dxa" w:w="2016"/>
            <w:vAlign w:val="center"/>
          </w:tcPr>
          <w:p>
            <w:r/>
            <w:r>
              <w:rPr>
                <w:b w:val="0"/>
                <w:sz w:val="15"/>
              </w:rPr>
              <w:t>shipment_id, carrier, lane, dispatch, ETA, delivery, cost</w:t>
            </w:r>
          </w:p>
        </w:tc>
        <w:tc>
          <w:tcPr>
            <w:tcW w:type="dxa" w:w="2016"/>
            <w:vAlign w:val="center"/>
          </w:tcPr>
          <w:p>
            <w:r/>
            <w:r>
              <w:rPr>
                <w:b w:val="0"/>
                <w:sz w:val="15"/>
              </w:rPr>
              <w:t>Intraday / daily</w:t>
            </w:r>
          </w:p>
        </w:tc>
        <w:tc>
          <w:tcPr>
            <w:tcW w:type="dxa" w:w="2016"/>
            <w:vAlign w:val="center"/>
          </w:tcPr>
          <w:p>
            <w:r/>
            <w:r>
              <w:rPr>
                <w:b w:val="0"/>
                <w:sz w:val="15"/>
              </w:rPr>
              <w:t>Transport performance</w:t>
            </w:r>
          </w:p>
        </w:tc>
      </w:tr>
      <w:tr>
        <w:tc>
          <w:tcPr>
            <w:tcW w:type="dxa" w:w="2016"/>
            <w:vAlign w:val="center"/>
          </w:tcPr>
          <w:p>
            <w:r/>
            <w:r>
              <w:rPr>
                <w:b w:val="0"/>
                <w:sz w:val="15"/>
              </w:rPr>
              <w:t>GPS / telematics</w:t>
            </w:r>
          </w:p>
        </w:tc>
        <w:tc>
          <w:tcPr>
            <w:tcW w:type="dxa" w:w="2016"/>
            <w:vAlign w:val="center"/>
          </w:tcPr>
          <w:p>
            <w:r/>
            <w:r>
              <w:rPr>
                <w:b w:val="0"/>
                <w:sz w:val="15"/>
              </w:rPr>
              <w:t>Streaming/API</w:t>
            </w:r>
          </w:p>
        </w:tc>
        <w:tc>
          <w:tcPr>
            <w:tcW w:type="dxa" w:w="2016"/>
            <w:vAlign w:val="center"/>
          </w:tcPr>
          <w:p>
            <w:r/>
            <w:r>
              <w:rPr>
                <w:b w:val="0"/>
                <w:sz w:val="15"/>
              </w:rPr>
              <w:t>vehicle, trip, GPS, distance, dwell, event_ts</w:t>
            </w:r>
          </w:p>
        </w:tc>
        <w:tc>
          <w:tcPr>
            <w:tcW w:type="dxa" w:w="2016"/>
            <w:vAlign w:val="center"/>
          </w:tcPr>
          <w:p>
            <w:r/>
            <w:r>
              <w:rPr>
                <w:b w:val="0"/>
                <w:sz w:val="15"/>
              </w:rPr>
              <w:t>Near real time</w:t>
            </w:r>
          </w:p>
        </w:tc>
        <w:tc>
          <w:tcPr>
            <w:tcW w:type="dxa" w:w="2016"/>
            <w:vAlign w:val="center"/>
          </w:tcPr>
          <w:p>
            <w:r/>
            <w:r>
              <w:rPr>
                <w:b w:val="0"/>
                <w:sz w:val="15"/>
              </w:rPr>
              <w:t>Movement, utilization, dwell</w:t>
            </w:r>
          </w:p>
        </w:tc>
      </w:tr>
      <w:tr>
        <w:tc>
          <w:tcPr>
            <w:tcW w:type="dxa" w:w="2016"/>
            <w:vAlign w:val="center"/>
          </w:tcPr>
          <w:p>
            <w:r/>
            <w:r>
              <w:rPr>
                <w:b w:val="0"/>
                <w:sz w:val="15"/>
              </w:rPr>
              <w:t>Inventory</w:t>
            </w:r>
          </w:p>
        </w:tc>
        <w:tc>
          <w:tcPr>
            <w:tcW w:type="dxa" w:w="2016"/>
            <w:vAlign w:val="center"/>
          </w:tcPr>
          <w:p>
            <w:r/>
            <w:r>
              <w:rPr>
                <w:b w:val="0"/>
                <w:sz w:val="15"/>
              </w:rPr>
              <w:t>ERP/WMS snapshot</w:t>
            </w:r>
          </w:p>
        </w:tc>
        <w:tc>
          <w:tcPr>
            <w:tcW w:type="dxa" w:w="2016"/>
            <w:vAlign w:val="center"/>
          </w:tcPr>
          <w:p>
            <w:r/>
            <w:r>
              <w:rPr>
                <w:b w:val="0"/>
                <w:sz w:val="15"/>
              </w:rPr>
              <w:t>SKU, location, on_hand, reserved, damaged</w:t>
            </w:r>
          </w:p>
        </w:tc>
        <w:tc>
          <w:tcPr>
            <w:tcW w:type="dxa" w:w="2016"/>
            <w:vAlign w:val="center"/>
          </w:tcPr>
          <w:p>
            <w:r/>
            <w:r>
              <w:rPr>
                <w:b w:val="0"/>
                <w:sz w:val="15"/>
              </w:rPr>
              <w:t>Daily / intraday</w:t>
            </w:r>
          </w:p>
        </w:tc>
        <w:tc>
          <w:tcPr>
            <w:tcW w:type="dxa" w:w="2016"/>
            <w:vAlign w:val="center"/>
          </w:tcPr>
          <w:p>
            <w:r/>
            <w:r>
              <w:rPr>
                <w:b w:val="0"/>
                <w:sz w:val="15"/>
              </w:rPr>
              <w:t>Stock health</w:t>
            </w:r>
          </w:p>
        </w:tc>
      </w:tr>
      <w:tr>
        <w:tc>
          <w:tcPr>
            <w:tcW w:type="dxa" w:w="2016"/>
            <w:vAlign w:val="center"/>
          </w:tcPr>
          <w:p>
            <w:r/>
            <w:r>
              <w:rPr>
                <w:b w:val="0"/>
                <w:sz w:val="15"/>
              </w:rPr>
              <w:t>Procurement</w:t>
            </w:r>
          </w:p>
        </w:tc>
        <w:tc>
          <w:tcPr>
            <w:tcW w:type="dxa" w:w="2016"/>
            <w:vAlign w:val="center"/>
          </w:tcPr>
          <w:p>
            <w:r/>
            <w:r>
              <w:rPr>
                <w:b w:val="0"/>
                <w:sz w:val="15"/>
              </w:rPr>
              <w:t>ERP/PO extract</w:t>
            </w:r>
          </w:p>
        </w:tc>
        <w:tc>
          <w:tcPr>
            <w:tcW w:type="dxa" w:w="2016"/>
            <w:vAlign w:val="center"/>
          </w:tcPr>
          <w:p>
            <w:r/>
            <w:r>
              <w:rPr>
                <w:b w:val="0"/>
                <w:sz w:val="15"/>
              </w:rPr>
              <w:t>PO, supplier, order/receipt dates, qty, cost</w:t>
            </w:r>
          </w:p>
        </w:tc>
        <w:tc>
          <w:tcPr>
            <w:tcW w:type="dxa" w:w="2016"/>
            <w:vAlign w:val="center"/>
          </w:tcPr>
          <w:p>
            <w:r/>
            <w:r>
              <w:rPr>
                <w:b w:val="0"/>
                <w:sz w:val="15"/>
              </w:rPr>
              <w:t>Daily</w:t>
            </w:r>
          </w:p>
        </w:tc>
        <w:tc>
          <w:tcPr>
            <w:tcW w:type="dxa" w:w="2016"/>
            <w:vAlign w:val="center"/>
          </w:tcPr>
          <w:p>
            <w:r/>
            <w:r>
              <w:rPr>
                <w:b w:val="0"/>
                <w:sz w:val="15"/>
              </w:rPr>
              <w:t>Inbound reliability</w:t>
            </w:r>
          </w:p>
        </w:tc>
      </w:tr>
      <w:tr>
        <w:tc>
          <w:tcPr>
            <w:tcW w:type="dxa" w:w="2016"/>
            <w:vAlign w:val="center"/>
          </w:tcPr>
          <w:p>
            <w:r/>
            <w:r>
              <w:rPr>
                <w:b w:val="0"/>
                <w:sz w:val="15"/>
              </w:rPr>
              <w:t>Returns / claims</w:t>
            </w:r>
          </w:p>
        </w:tc>
        <w:tc>
          <w:tcPr>
            <w:tcW w:type="dxa" w:w="2016"/>
            <w:vAlign w:val="center"/>
          </w:tcPr>
          <w:p>
            <w:r/>
            <w:r>
              <w:rPr>
                <w:b w:val="0"/>
                <w:sz w:val="15"/>
              </w:rPr>
              <w:t>Database/API</w:t>
            </w:r>
          </w:p>
        </w:tc>
        <w:tc>
          <w:tcPr>
            <w:tcW w:type="dxa" w:w="2016"/>
            <w:vAlign w:val="center"/>
          </w:tcPr>
          <w:p>
            <w:r/>
            <w:r>
              <w:rPr>
                <w:b w:val="0"/>
                <w:sz w:val="15"/>
              </w:rPr>
              <w:t>return_id, order, reason, damage, resolution</w:t>
            </w:r>
          </w:p>
        </w:tc>
        <w:tc>
          <w:tcPr>
            <w:tcW w:type="dxa" w:w="2016"/>
            <w:vAlign w:val="center"/>
          </w:tcPr>
          <w:p>
            <w:r/>
            <w:r>
              <w:rPr>
                <w:b w:val="0"/>
                <w:sz w:val="15"/>
              </w:rPr>
              <w:t>Daily</w:t>
            </w:r>
          </w:p>
        </w:tc>
        <w:tc>
          <w:tcPr>
            <w:tcW w:type="dxa" w:w="2016"/>
            <w:vAlign w:val="center"/>
          </w:tcPr>
          <w:p>
            <w:r/>
            <w:r>
              <w:rPr>
                <w:b w:val="0"/>
                <w:sz w:val="15"/>
              </w:rPr>
              <w:t>Quality and exception analysis</w:t>
            </w:r>
          </w:p>
        </w:tc>
      </w:tr>
      <w:tr>
        <w:tc>
          <w:tcPr>
            <w:tcW w:type="dxa" w:w="2016"/>
            <w:vAlign w:val="center"/>
          </w:tcPr>
          <w:p>
            <w:r/>
            <w:r>
              <w:rPr>
                <w:b w:val="0"/>
                <w:sz w:val="15"/>
              </w:rPr>
              <w:t>Master data</w:t>
            </w:r>
          </w:p>
        </w:tc>
        <w:tc>
          <w:tcPr>
            <w:tcW w:type="dxa" w:w="2016"/>
            <w:vAlign w:val="center"/>
          </w:tcPr>
          <w:p>
            <w:r/>
            <w:r>
              <w:rPr>
                <w:b w:val="0"/>
                <w:sz w:val="15"/>
              </w:rPr>
              <w:t>Reference tables/API</w:t>
            </w:r>
          </w:p>
        </w:tc>
        <w:tc>
          <w:tcPr>
            <w:tcW w:type="dxa" w:w="2016"/>
            <w:vAlign w:val="center"/>
          </w:tcPr>
          <w:p>
            <w:r/>
            <w:r>
              <w:rPr>
                <w:b w:val="0"/>
                <w:sz w:val="15"/>
              </w:rPr>
              <w:t>SKU, carrier, location, customer, codes</w:t>
            </w:r>
          </w:p>
        </w:tc>
        <w:tc>
          <w:tcPr>
            <w:tcW w:type="dxa" w:w="2016"/>
            <w:vAlign w:val="center"/>
          </w:tcPr>
          <w:p>
            <w:r/>
            <w:r>
              <w:rPr>
                <w:b w:val="0"/>
                <w:sz w:val="15"/>
              </w:rPr>
              <w:t>Daily / controlled</w:t>
            </w:r>
          </w:p>
        </w:tc>
        <w:tc>
          <w:tcPr>
            <w:tcW w:type="dxa" w:w="2016"/>
            <w:vAlign w:val="center"/>
          </w:tcPr>
          <w:p>
            <w:r/>
            <w:r>
              <w:rPr>
                <w:b w:val="0"/>
                <w:sz w:val="15"/>
              </w:rPr>
              <w:t>Standardization</w:t>
            </w:r>
          </w:p>
        </w:tc>
      </w:tr>
      <w:tr>
        <w:tc>
          <w:tcPr>
            <w:tcW w:type="dxa" w:w="2016"/>
            <w:vAlign w:val="center"/>
          </w:tcPr>
          <w:p>
            <w:r/>
            <w:r>
              <w:rPr>
                <w:b w:val="0"/>
                <w:sz w:val="15"/>
              </w:rPr>
              <w:t>External public data</w:t>
            </w:r>
          </w:p>
        </w:tc>
        <w:tc>
          <w:tcPr>
            <w:tcW w:type="dxa" w:w="2016"/>
            <w:vAlign w:val="center"/>
          </w:tcPr>
          <w:p>
            <w:r/>
            <w:r>
              <w:rPr>
                <w:b w:val="0"/>
                <w:sz w:val="15"/>
              </w:rPr>
              <w:t>Download/API</w:t>
            </w:r>
          </w:p>
        </w:tc>
        <w:tc>
          <w:tcPr>
            <w:tcW w:type="dxa" w:w="2016"/>
            <w:vAlign w:val="center"/>
          </w:tcPr>
          <w:p>
            <w:r/>
            <w:r>
              <w:rPr>
                <w:b w:val="0"/>
                <w:sz w:val="15"/>
              </w:rPr>
              <w:t>benchmark indicators, geography, codes</w:t>
            </w:r>
          </w:p>
        </w:tc>
        <w:tc>
          <w:tcPr>
            <w:tcW w:type="dxa" w:w="2016"/>
            <w:vAlign w:val="center"/>
          </w:tcPr>
          <w:p>
            <w:r/>
            <w:r>
              <w:rPr>
                <w:b w:val="0"/>
                <w:sz w:val="15"/>
              </w:rPr>
              <w:t>Periodic</w:t>
            </w:r>
          </w:p>
        </w:tc>
        <w:tc>
          <w:tcPr>
            <w:tcW w:type="dxa" w:w="2016"/>
            <w:vAlign w:val="center"/>
          </w:tcPr>
          <w:p>
            <w:r/>
            <w:r>
              <w:rPr>
                <w:b w:val="0"/>
                <w:sz w:val="15"/>
              </w:rPr>
              <w:t>Context and benchmarking</w:t>
            </w:r>
          </w:p>
        </w:tc>
      </w:tr>
    </w:tbl>
    <w:p>
      <w:pPr>
        <w:pStyle w:val="Heading2"/>
      </w:pPr>
      <w:r>
        <w:t>3.2 Data requirement specification</w:t>
      </w:r>
    </w:p>
    <w:p>
      <w:r>
        <w:t>Before extraction, create a Data Requirement Specification (DRS). Each field should be mapped to a business purpose, source, owner, data type, expected range, allowed values, refresh frequency and quality rule.</w:t>
      </w:r>
    </w:p>
    <w:tbl>
      <w:tblPr>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shd w:fill="D9EAF7"/>
          </w:tcPr>
          <w:p>
            <w:r/>
            <w:r>
              <w:rPr>
                <w:b/>
                <w:sz w:val="17"/>
              </w:rPr>
              <w:t>DRS field</w:t>
            </w:r>
          </w:p>
        </w:tc>
        <w:tc>
          <w:tcPr>
            <w:tcW w:type="dxa" w:w="2520"/>
            <w:vAlign w:val="center"/>
            <w:shd w:fill="D9EAF7"/>
          </w:tcPr>
          <w:p>
            <w:r/>
            <w:r>
              <w:rPr>
                <w:b/>
                <w:sz w:val="17"/>
              </w:rPr>
              <w:t>Example</w:t>
            </w:r>
          </w:p>
        </w:tc>
        <w:tc>
          <w:tcPr>
            <w:tcW w:type="dxa" w:w="2520"/>
            <w:vAlign w:val="center"/>
            <w:shd w:fill="D9EAF7"/>
          </w:tcPr>
          <w:p>
            <w:r/>
            <w:r>
              <w:rPr>
                <w:b/>
                <w:sz w:val="17"/>
              </w:rPr>
              <w:t>Why required</w:t>
            </w:r>
          </w:p>
        </w:tc>
        <w:tc>
          <w:tcPr>
            <w:tcW w:type="dxa" w:w="2520"/>
            <w:vAlign w:val="center"/>
            <w:shd w:fill="D9EAF7"/>
          </w:tcPr>
          <w:p>
            <w:r/>
            <w:r>
              <w:rPr>
                <w:b/>
                <w:sz w:val="17"/>
              </w:rPr>
              <w:t>Validation rule</w:t>
            </w:r>
          </w:p>
        </w:tc>
      </w:tr>
      <w:tr>
        <w:tc>
          <w:tcPr>
            <w:tcW w:type="dxa" w:w="2520"/>
            <w:vAlign w:val="center"/>
          </w:tcPr>
          <w:p>
            <w:r/>
            <w:r>
              <w:rPr>
                <w:b w:val="0"/>
                <w:sz w:val="16"/>
              </w:rPr>
              <w:t>order_id</w:t>
            </w:r>
          </w:p>
        </w:tc>
        <w:tc>
          <w:tcPr>
            <w:tcW w:type="dxa" w:w="2520"/>
            <w:vAlign w:val="center"/>
          </w:tcPr>
          <w:p>
            <w:r/>
            <w:r>
              <w:rPr>
                <w:b w:val="0"/>
                <w:sz w:val="16"/>
              </w:rPr>
              <w:t>ORD12345</w:t>
            </w:r>
          </w:p>
        </w:tc>
        <w:tc>
          <w:tcPr>
            <w:tcW w:type="dxa" w:w="2520"/>
            <w:vAlign w:val="center"/>
          </w:tcPr>
          <w:p>
            <w:r/>
            <w:r>
              <w:rPr>
                <w:b w:val="0"/>
                <w:sz w:val="16"/>
              </w:rPr>
              <w:t>Primary order key</w:t>
            </w:r>
          </w:p>
        </w:tc>
        <w:tc>
          <w:tcPr>
            <w:tcW w:type="dxa" w:w="2520"/>
            <w:vAlign w:val="center"/>
          </w:tcPr>
          <w:p>
            <w:r/>
            <w:r>
              <w:rPr>
                <w:b w:val="0"/>
                <w:sz w:val="16"/>
              </w:rPr>
              <w:t>Non-null + unique at order grain</w:t>
            </w:r>
          </w:p>
        </w:tc>
      </w:tr>
      <w:tr>
        <w:tc>
          <w:tcPr>
            <w:tcW w:type="dxa" w:w="2520"/>
            <w:vAlign w:val="center"/>
          </w:tcPr>
          <w:p>
            <w:r/>
            <w:r>
              <w:rPr>
                <w:b w:val="0"/>
                <w:sz w:val="16"/>
              </w:rPr>
              <w:t>promised_delivery_ts</w:t>
            </w:r>
          </w:p>
        </w:tc>
        <w:tc>
          <w:tcPr>
            <w:tcW w:type="dxa" w:w="2520"/>
            <w:vAlign w:val="center"/>
          </w:tcPr>
          <w:p>
            <w:r/>
            <w:r>
              <w:rPr>
                <w:b w:val="0"/>
                <w:sz w:val="16"/>
              </w:rPr>
              <w:t>2026-08-30 16:00</w:t>
            </w:r>
          </w:p>
        </w:tc>
        <w:tc>
          <w:tcPr>
            <w:tcW w:type="dxa" w:w="2520"/>
            <w:vAlign w:val="center"/>
          </w:tcPr>
          <w:p>
            <w:r/>
            <w:r>
              <w:rPr>
                <w:b w:val="0"/>
                <w:sz w:val="16"/>
              </w:rPr>
              <w:t>OTD denominator / SLA</w:t>
            </w:r>
          </w:p>
        </w:tc>
        <w:tc>
          <w:tcPr>
            <w:tcW w:type="dxa" w:w="2520"/>
            <w:vAlign w:val="center"/>
          </w:tcPr>
          <w:p>
            <w:r/>
            <w:r>
              <w:rPr>
                <w:b w:val="0"/>
                <w:sz w:val="16"/>
              </w:rPr>
              <w:t>Valid timestamp; correct timezone</w:t>
            </w:r>
          </w:p>
        </w:tc>
      </w:tr>
      <w:tr>
        <w:tc>
          <w:tcPr>
            <w:tcW w:type="dxa" w:w="2520"/>
            <w:vAlign w:val="center"/>
          </w:tcPr>
          <w:p>
            <w:r/>
            <w:r>
              <w:rPr>
                <w:b w:val="0"/>
                <w:sz w:val="16"/>
              </w:rPr>
              <w:t>actual_delivery_ts</w:t>
            </w:r>
          </w:p>
        </w:tc>
        <w:tc>
          <w:tcPr>
            <w:tcW w:type="dxa" w:w="2520"/>
            <w:vAlign w:val="center"/>
          </w:tcPr>
          <w:p>
            <w:r/>
            <w:r>
              <w:rPr>
                <w:b w:val="0"/>
                <w:sz w:val="16"/>
              </w:rPr>
              <w:t>2026-08-30 15:42</w:t>
            </w:r>
          </w:p>
        </w:tc>
        <w:tc>
          <w:tcPr>
            <w:tcW w:type="dxa" w:w="2520"/>
            <w:vAlign w:val="center"/>
          </w:tcPr>
          <w:p>
            <w:r/>
            <w:r>
              <w:rPr>
                <w:b w:val="0"/>
                <w:sz w:val="16"/>
              </w:rPr>
              <w:t>OTD numerator</w:t>
            </w:r>
          </w:p>
        </w:tc>
        <w:tc>
          <w:tcPr>
            <w:tcW w:type="dxa" w:w="2520"/>
            <w:vAlign w:val="center"/>
          </w:tcPr>
          <w:p>
            <w:r/>
            <w:r>
              <w:rPr>
                <w:b w:val="0"/>
                <w:sz w:val="16"/>
              </w:rPr>
              <w:t>Cannot precede dispatch</w:t>
            </w:r>
          </w:p>
        </w:tc>
      </w:tr>
      <w:tr>
        <w:tc>
          <w:tcPr>
            <w:tcW w:type="dxa" w:w="2520"/>
            <w:vAlign w:val="center"/>
          </w:tcPr>
          <w:p>
            <w:r/>
            <w:r>
              <w:rPr>
                <w:b w:val="0"/>
                <w:sz w:val="16"/>
              </w:rPr>
              <w:t>quantity_ordered</w:t>
            </w:r>
          </w:p>
        </w:tc>
        <w:tc>
          <w:tcPr>
            <w:tcW w:type="dxa" w:w="2520"/>
            <w:vAlign w:val="center"/>
          </w:tcPr>
          <w:p>
            <w:r/>
            <w:r>
              <w:rPr>
                <w:b w:val="0"/>
                <w:sz w:val="16"/>
              </w:rPr>
              <w:t>10</w:t>
            </w:r>
          </w:p>
        </w:tc>
        <w:tc>
          <w:tcPr>
            <w:tcW w:type="dxa" w:w="2520"/>
            <w:vAlign w:val="center"/>
          </w:tcPr>
          <w:p>
            <w:r/>
            <w:r>
              <w:rPr>
                <w:b w:val="0"/>
                <w:sz w:val="16"/>
              </w:rPr>
              <w:t>Fill-rate denominator</w:t>
            </w:r>
          </w:p>
        </w:tc>
        <w:tc>
          <w:tcPr>
            <w:tcW w:type="dxa" w:w="2520"/>
            <w:vAlign w:val="center"/>
          </w:tcPr>
          <w:p>
            <w:r/>
            <w:r>
              <w:rPr>
                <w:b w:val="0"/>
                <w:sz w:val="16"/>
              </w:rPr>
              <w:t>Numeric; ≥0</w:t>
            </w:r>
          </w:p>
        </w:tc>
      </w:tr>
      <w:tr>
        <w:tc>
          <w:tcPr>
            <w:tcW w:type="dxa" w:w="2520"/>
            <w:vAlign w:val="center"/>
          </w:tcPr>
          <w:p>
            <w:r/>
            <w:r>
              <w:rPr>
                <w:b w:val="0"/>
                <w:sz w:val="16"/>
              </w:rPr>
              <w:t>quantity_shipped</w:t>
            </w:r>
          </w:p>
        </w:tc>
        <w:tc>
          <w:tcPr>
            <w:tcW w:type="dxa" w:w="2520"/>
            <w:vAlign w:val="center"/>
          </w:tcPr>
          <w:p>
            <w:r/>
            <w:r>
              <w:rPr>
                <w:b w:val="0"/>
                <w:sz w:val="16"/>
              </w:rPr>
              <w:t>8</w:t>
            </w:r>
          </w:p>
        </w:tc>
        <w:tc>
          <w:tcPr>
            <w:tcW w:type="dxa" w:w="2520"/>
            <w:vAlign w:val="center"/>
          </w:tcPr>
          <w:p>
            <w:r/>
            <w:r>
              <w:rPr>
                <w:b w:val="0"/>
                <w:sz w:val="16"/>
              </w:rPr>
              <w:t>Fill-rate numerator</w:t>
            </w:r>
          </w:p>
        </w:tc>
        <w:tc>
          <w:tcPr>
            <w:tcW w:type="dxa" w:w="2520"/>
            <w:vAlign w:val="center"/>
          </w:tcPr>
          <w:p>
            <w:r/>
            <w:r>
              <w:rPr>
                <w:b w:val="0"/>
                <w:sz w:val="16"/>
              </w:rPr>
              <w:t>Numeric; ≥0 and business-rule constrained</w:t>
            </w:r>
          </w:p>
        </w:tc>
      </w:tr>
      <w:tr>
        <w:tc>
          <w:tcPr>
            <w:tcW w:type="dxa" w:w="2520"/>
            <w:vAlign w:val="center"/>
          </w:tcPr>
          <w:p>
            <w:r/>
            <w:r>
              <w:rPr>
                <w:b w:val="0"/>
                <w:sz w:val="16"/>
              </w:rPr>
              <w:t>carrier_id</w:t>
            </w:r>
          </w:p>
        </w:tc>
        <w:tc>
          <w:tcPr>
            <w:tcW w:type="dxa" w:w="2520"/>
            <w:vAlign w:val="center"/>
          </w:tcPr>
          <w:p>
            <w:r/>
            <w:r>
              <w:rPr>
                <w:b w:val="0"/>
                <w:sz w:val="16"/>
              </w:rPr>
              <w:t>CAR014</w:t>
            </w:r>
          </w:p>
        </w:tc>
        <w:tc>
          <w:tcPr>
            <w:tcW w:type="dxa" w:w="2520"/>
            <w:vAlign w:val="center"/>
          </w:tcPr>
          <w:p>
            <w:r/>
            <w:r>
              <w:rPr>
                <w:b w:val="0"/>
                <w:sz w:val="16"/>
              </w:rPr>
              <w:t>Carrier segmentation</w:t>
            </w:r>
          </w:p>
        </w:tc>
        <w:tc>
          <w:tcPr>
            <w:tcW w:type="dxa" w:w="2520"/>
            <w:vAlign w:val="center"/>
          </w:tcPr>
          <w:p>
            <w:r/>
            <w:r>
              <w:rPr>
                <w:b w:val="0"/>
                <w:sz w:val="16"/>
              </w:rPr>
              <w:t>Must exist in carrier master</w:t>
            </w:r>
          </w:p>
        </w:tc>
      </w:tr>
      <w:tr>
        <w:tc>
          <w:tcPr>
            <w:tcW w:type="dxa" w:w="2520"/>
            <w:vAlign w:val="center"/>
          </w:tcPr>
          <w:p>
            <w:r/>
            <w:r>
              <w:rPr>
                <w:b w:val="0"/>
                <w:sz w:val="16"/>
              </w:rPr>
              <w:t>origin_location</w:t>
            </w:r>
          </w:p>
        </w:tc>
        <w:tc>
          <w:tcPr>
            <w:tcW w:type="dxa" w:w="2520"/>
            <w:vAlign w:val="center"/>
          </w:tcPr>
          <w:p>
            <w:r/>
            <w:r>
              <w:rPr>
                <w:b w:val="0"/>
                <w:sz w:val="16"/>
              </w:rPr>
              <w:t>INDEL</w:t>
            </w:r>
          </w:p>
        </w:tc>
        <w:tc>
          <w:tcPr>
            <w:tcW w:type="dxa" w:w="2520"/>
            <w:vAlign w:val="center"/>
          </w:tcPr>
          <w:p>
            <w:r/>
            <w:r>
              <w:rPr>
                <w:b w:val="0"/>
                <w:sz w:val="16"/>
              </w:rPr>
              <w:t>Lane definition</w:t>
            </w:r>
          </w:p>
        </w:tc>
        <w:tc>
          <w:tcPr>
            <w:tcW w:type="dxa" w:w="2520"/>
            <w:vAlign w:val="center"/>
          </w:tcPr>
          <w:p>
            <w:r/>
            <w:r>
              <w:rPr>
                <w:b w:val="0"/>
                <w:sz w:val="16"/>
              </w:rPr>
              <w:t>Valid location code</w:t>
            </w:r>
          </w:p>
        </w:tc>
      </w:tr>
      <w:tr>
        <w:tc>
          <w:tcPr>
            <w:tcW w:type="dxa" w:w="2520"/>
            <w:vAlign w:val="center"/>
          </w:tcPr>
          <w:p>
            <w:r/>
            <w:r>
              <w:rPr>
                <w:b w:val="0"/>
                <w:sz w:val="16"/>
              </w:rPr>
              <w:t>freight_cost</w:t>
            </w:r>
          </w:p>
        </w:tc>
        <w:tc>
          <w:tcPr>
            <w:tcW w:type="dxa" w:w="2520"/>
            <w:vAlign w:val="center"/>
          </w:tcPr>
          <w:p>
            <w:r/>
            <w:r>
              <w:rPr>
                <w:b w:val="0"/>
                <w:sz w:val="16"/>
              </w:rPr>
              <w:t>₹1250</w:t>
            </w:r>
          </w:p>
        </w:tc>
        <w:tc>
          <w:tcPr>
            <w:tcW w:type="dxa" w:w="2520"/>
            <w:vAlign w:val="center"/>
          </w:tcPr>
          <w:p>
            <w:r/>
            <w:r>
              <w:rPr>
                <w:b w:val="0"/>
                <w:sz w:val="16"/>
              </w:rPr>
              <w:t>Cost KPI</w:t>
            </w:r>
          </w:p>
        </w:tc>
        <w:tc>
          <w:tcPr>
            <w:tcW w:type="dxa" w:w="2520"/>
            <w:vAlign w:val="center"/>
          </w:tcPr>
          <w:p>
            <w:r/>
            <w:r>
              <w:rPr>
                <w:b w:val="0"/>
                <w:sz w:val="16"/>
              </w:rPr>
              <w:t>Numeric; currency documented</w:t>
            </w:r>
          </w:p>
        </w:tc>
      </w:tr>
      <w:tr>
        <w:tc>
          <w:tcPr>
            <w:tcW w:type="dxa" w:w="2520"/>
            <w:vAlign w:val="center"/>
          </w:tcPr>
          <w:p>
            <w:r/>
            <w:r>
              <w:rPr>
                <w:b w:val="0"/>
                <w:sz w:val="16"/>
              </w:rPr>
              <w:t>event_ts</w:t>
            </w:r>
          </w:p>
        </w:tc>
        <w:tc>
          <w:tcPr>
            <w:tcW w:type="dxa" w:w="2520"/>
            <w:vAlign w:val="center"/>
          </w:tcPr>
          <w:p>
            <w:r/>
            <w:r>
              <w:rPr>
                <w:b w:val="0"/>
                <w:sz w:val="16"/>
              </w:rPr>
              <w:t>2026-08-30 12:15</w:t>
            </w:r>
          </w:p>
        </w:tc>
        <w:tc>
          <w:tcPr>
            <w:tcW w:type="dxa" w:w="2520"/>
            <w:vAlign w:val="center"/>
          </w:tcPr>
          <w:p>
            <w:r/>
            <w:r>
              <w:rPr>
                <w:b w:val="0"/>
                <w:sz w:val="16"/>
              </w:rPr>
              <w:t>Event sequence</w:t>
            </w:r>
          </w:p>
        </w:tc>
        <w:tc>
          <w:tcPr>
            <w:tcW w:type="dxa" w:w="2520"/>
            <w:vAlign w:val="center"/>
          </w:tcPr>
          <w:p>
            <w:r/>
            <w:r>
              <w:rPr>
                <w:b w:val="0"/>
                <w:sz w:val="16"/>
              </w:rPr>
              <w:t>Valid timestamp; event order plausible</w:t>
            </w:r>
          </w:p>
        </w:tc>
      </w:tr>
    </w:tbl>
    <w:p>
      <w:pPr>
        <w:pStyle w:val="Heading1"/>
      </w:pPr>
      <w:r>
        <w:t>4. End-to-End Collection and Preprocessing Workflow</w:t>
      </w:r>
    </w:p>
    <w:p>
      <w:r>
        <w:drawing>
          <wp:inline xmlns:a="http://schemas.openxmlformats.org/drawingml/2006/main" xmlns:pic="http://schemas.openxmlformats.org/drawingml/2006/picture">
            <wp:extent cx="6217920" cy="3942944"/>
            <wp:docPr id="1" name="Picture 1"/>
            <wp:cNvGraphicFramePr>
              <a:graphicFrameLocks noChangeAspect="1"/>
            </wp:cNvGraphicFramePr>
            <a:graphic>
              <a:graphicData uri="http://schemas.openxmlformats.org/drawingml/2006/picture">
                <pic:pic>
                  <pic:nvPicPr>
                    <pic:cNvPr id="0" name="week2_data_collection_preprocessing_flowchart.png"/>
                    <pic:cNvPicPr/>
                  </pic:nvPicPr>
                  <pic:blipFill>
                    <a:blip r:embed="rId10"/>
                    <a:stretch>
                      <a:fillRect/>
                    </a:stretch>
                  </pic:blipFill>
                  <pic:spPr>
                    <a:xfrm>
                      <a:off x="0" y="0"/>
                      <a:ext cx="6217920" cy="3942944"/>
                    </a:xfrm>
                    <a:prstGeom prst="rect"/>
                  </pic:spPr>
                </pic:pic>
              </a:graphicData>
            </a:graphic>
          </wp:inline>
        </w:drawing>
      </w:r>
    </w:p>
    <w:p>
      <w:pPr>
        <w:jc w:val="center"/>
      </w:pPr>
      <w:r>
        <w:rPr>
          <w:i/>
        </w:rPr>
        <w:t>Figure 1. Proposed raw-to-analysis-ready workflow.</w:t>
      </w:r>
    </w:p>
    <w:p>
      <w:pPr>
        <w:pStyle w:val="Heading2"/>
      </w:pPr>
      <w:r>
        <w:t>4.1 Processing layers</w:t>
      </w:r>
    </w:p>
    <w:tbl>
      <w:tblPr>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shd w:fill="D9EAF7"/>
          </w:tcPr>
          <w:p>
            <w:r/>
            <w:r>
              <w:rPr>
                <w:b/>
                <w:sz w:val="17"/>
              </w:rPr>
              <w:t>Layer</w:t>
            </w:r>
          </w:p>
        </w:tc>
        <w:tc>
          <w:tcPr>
            <w:tcW w:type="dxa" w:w="2520"/>
            <w:vAlign w:val="center"/>
            <w:shd w:fill="D9EAF7"/>
          </w:tcPr>
          <w:p>
            <w:r/>
            <w:r>
              <w:rPr>
                <w:b/>
                <w:sz w:val="17"/>
              </w:rPr>
              <w:t>Purpose</w:t>
            </w:r>
          </w:p>
        </w:tc>
        <w:tc>
          <w:tcPr>
            <w:tcW w:type="dxa" w:w="2520"/>
            <w:vAlign w:val="center"/>
            <w:shd w:fill="D9EAF7"/>
          </w:tcPr>
          <w:p>
            <w:r/>
            <w:r>
              <w:rPr>
                <w:b/>
                <w:sz w:val="17"/>
              </w:rPr>
              <w:t>Rule</w:t>
            </w:r>
          </w:p>
        </w:tc>
        <w:tc>
          <w:tcPr>
            <w:tcW w:type="dxa" w:w="2520"/>
            <w:vAlign w:val="center"/>
            <w:shd w:fill="D9EAF7"/>
          </w:tcPr>
          <w:p>
            <w:r/>
            <w:r>
              <w:rPr>
                <w:b/>
                <w:sz w:val="17"/>
              </w:rPr>
              <w:t>Example</w:t>
            </w:r>
          </w:p>
        </w:tc>
      </w:tr>
      <w:tr>
        <w:tc>
          <w:tcPr>
            <w:tcW w:type="dxa" w:w="2520"/>
            <w:vAlign w:val="center"/>
          </w:tcPr>
          <w:p>
            <w:r/>
            <w:r>
              <w:rPr>
                <w:b w:val="0"/>
                <w:sz w:val="16"/>
              </w:rPr>
              <w:t>RAW</w:t>
            </w:r>
          </w:p>
        </w:tc>
        <w:tc>
          <w:tcPr>
            <w:tcW w:type="dxa" w:w="2520"/>
            <w:vAlign w:val="center"/>
          </w:tcPr>
          <w:p>
            <w:r/>
            <w:r>
              <w:rPr>
                <w:b w:val="0"/>
                <w:sz w:val="16"/>
              </w:rPr>
              <w:t>Immutable source copy</w:t>
            </w:r>
          </w:p>
        </w:tc>
        <w:tc>
          <w:tcPr>
            <w:tcW w:type="dxa" w:w="2520"/>
            <w:vAlign w:val="center"/>
          </w:tcPr>
          <w:p>
            <w:r/>
            <w:r>
              <w:rPr>
                <w:b w:val="0"/>
                <w:sz w:val="16"/>
              </w:rPr>
              <w:t>No business transformations</w:t>
            </w:r>
          </w:p>
        </w:tc>
        <w:tc>
          <w:tcPr>
            <w:tcW w:type="dxa" w:w="2520"/>
            <w:vAlign w:val="center"/>
          </w:tcPr>
          <w:p>
            <w:r/>
            <w:r>
              <w:rPr>
                <w:b w:val="0"/>
                <w:sz w:val="16"/>
              </w:rPr>
              <w:t>raw_shipments_20260830</w:t>
            </w:r>
          </w:p>
        </w:tc>
      </w:tr>
      <w:tr>
        <w:tc>
          <w:tcPr>
            <w:tcW w:type="dxa" w:w="2520"/>
            <w:vAlign w:val="center"/>
          </w:tcPr>
          <w:p>
            <w:r/>
            <w:r>
              <w:rPr>
                <w:b w:val="0"/>
                <w:sz w:val="16"/>
              </w:rPr>
              <w:t>STAGING</w:t>
            </w:r>
          </w:p>
        </w:tc>
        <w:tc>
          <w:tcPr>
            <w:tcW w:type="dxa" w:w="2520"/>
            <w:vAlign w:val="center"/>
          </w:tcPr>
          <w:p>
            <w:r/>
            <w:r>
              <w:rPr>
                <w:b w:val="0"/>
                <w:sz w:val="16"/>
              </w:rPr>
              <w:t>Schema/type normalization</w:t>
            </w:r>
          </w:p>
        </w:tc>
        <w:tc>
          <w:tcPr>
            <w:tcW w:type="dxa" w:w="2520"/>
            <w:vAlign w:val="center"/>
          </w:tcPr>
          <w:p>
            <w:r/>
            <w:r>
              <w:rPr>
                <w:b w:val="0"/>
                <w:sz w:val="16"/>
              </w:rPr>
              <w:t>Safe structural fixes only</w:t>
            </w:r>
          </w:p>
        </w:tc>
        <w:tc>
          <w:tcPr>
            <w:tcW w:type="dxa" w:w="2520"/>
            <w:vAlign w:val="center"/>
          </w:tcPr>
          <w:p>
            <w:r/>
            <w:r>
              <w:rPr>
                <w:b w:val="0"/>
                <w:sz w:val="16"/>
              </w:rPr>
              <w:t>timestamps parsed; column names standardized</w:t>
            </w:r>
          </w:p>
        </w:tc>
      </w:tr>
      <w:tr>
        <w:tc>
          <w:tcPr>
            <w:tcW w:type="dxa" w:w="2520"/>
            <w:vAlign w:val="center"/>
          </w:tcPr>
          <w:p>
            <w:r/>
            <w:r>
              <w:rPr>
                <w:b w:val="0"/>
                <w:sz w:val="16"/>
              </w:rPr>
              <w:t>VALIDATED</w:t>
            </w:r>
          </w:p>
        </w:tc>
        <w:tc>
          <w:tcPr>
            <w:tcW w:type="dxa" w:w="2520"/>
            <w:vAlign w:val="center"/>
          </w:tcPr>
          <w:p>
            <w:r/>
            <w:r>
              <w:rPr>
                <w:b w:val="0"/>
                <w:sz w:val="16"/>
              </w:rPr>
              <w:t>Quality checks and quarantine</w:t>
            </w:r>
          </w:p>
        </w:tc>
        <w:tc>
          <w:tcPr>
            <w:tcW w:type="dxa" w:w="2520"/>
            <w:vAlign w:val="center"/>
          </w:tcPr>
          <w:p>
            <w:r/>
            <w:r>
              <w:rPr>
                <w:b w:val="0"/>
                <w:sz w:val="16"/>
              </w:rPr>
              <w:t>Invalid records flagged or isolated</w:t>
            </w:r>
          </w:p>
        </w:tc>
        <w:tc>
          <w:tcPr>
            <w:tcW w:type="dxa" w:w="2520"/>
            <w:vAlign w:val="center"/>
          </w:tcPr>
          <w:p>
            <w:r/>
            <w:r>
              <w:rPr>
                <w:b w:val="0"/>
                <w:sz w:val="16"/>
              </w:rPr>
              <w:t>duplicate shipment IDs quarantined</w:t>
            </w:r>
          </w:p>
        </w:tc>
      </w:tr>
      <w:tr>
        <w:tc>
          <w:tcPr>
            <w:tcW w:type="dxa" w:w="2520"/>
            <w:vAlign w:val="center"/>
          </w:tcPr>
          <w:p>
            <w:r/>
            <w:r>
              <w:rPr>
                <w:b w:val="0"/>
                <w:sz w:val="16"/>
              </w:rPr>
              <w:t>CURATED</w:t>
            </w:r>
          </w:p>
        </w:tc>
        <w:tc>
          <w:tcPr>
            <w:tcW w:type="dxa" w:w="2520"/>
            <w:vAlign w:val="center"/>
          </w:tcPr>
          <w:p>
            <w:r/>
            <w:r>
              <w:rPr>
                <w:b w:val="0"/>
                <w:sz w:val="16"/>
              </w:rPr>
              <w:t>Business transformations</w:t>
            </w:r>
          </w:p>
        </w:tc>
        <w:tc>
          <w:tcPr>
            <w:tcW w:type="dxa" w:w="2520"/>
            <w:vAlign w:val="center"/>
          </w:tcPr>
          <w:p>
            <w:r/>
            <w:r>
              <w:rPr>
                <w:b w:val="0"/>
                <w:sz w:val="16"/>
              </w:rPr>
              <w:t>Documented joins/derived fields</w:t>
            </w:r>
          </w:p>
        </w:tc>
        <w:tc>
          <w:tcPr>
            <w:tcW w:type="dxa" w:w="2520"/>
            <w:vAlign w:val="center"/>
          </w:tcPr>
          <w:p>
            <w:r/>
            <w:r>
              <w:rPr>
                <w:b w:val="0"/>
                <w:sz w:val="16"/>
              </w:rPr>
              <w:t>order_cycle_hours, lane_key</w:t>
            </w:r>
          </w:p>
        </w:tc>
      </w:tr>
      <w:tr>
        <w:tc>
          <w:tcPr>
            <w:tcW w:type="dxa" w:w="2520"/>
            <w:vAlign w:val="center"/>
          </w:tcPr>
          <w:p>
            <w:r/>
            <w:r>
              <w:rPr>
                <w:b w:val="0"/>
                <w:sz w:val="16"/>
              </w:rPr>
              <w:t>ANALYTICAL</w:t>
            </w:r>
          </w:p>
        </w:tc>
        <w:tc>
          <w:tcPr>
            <w:tcW w:type="dxa" w:w="2520"/>
            <w:vAlign w:val="center"/>
          </w:tcPr>
          <w:p>
            <w:r/>
            <w:r>
              <w:rPr>
                <w:b w:val="0"/>
                <w:sz w:val="16"/>
              </w:rPr>
              <w:t>KPI-ready grain</w:t>
            </w:r>
          </w:p>
        </w:tc>
        <w:tc>
          <w:tcPr>
            <w:tcW w:type="dxa" w:w="2520"/>
            <w:vAlign w:val="center"/>
          </w:tcPr>
          <w:p>
            <w:r/>
            <w:r>
              <w:rPr>
                <w:b w:val="0"/>
                <w:sz w:val="16"/>
              </w:rPr>
              <w:t>Stable definitions and aggregates</w:t>
            </w:r>
          </w:p>
        </w:tc>
        <w:tc>
          <w:tcPr>
            <w:tcW w:type="dxa" w:w="2520"/>
            <w:vAlign w:val="center"/>
          </w:tcPr>
          <w:p>
            <w:r/>
            <w:r>
              <w:rPr>
                <w:b w:val="0"/>
                <w:sz w:val="16"/>
              </w:rPr>
              <w:t>shipment_fact, inventory_day_fact</w:t>
            </w:r>
          </w:p>
        </w:tc>
      </w:tr>
      <w:tr>
        <w:tc>
          <w:tcPr>
            <w:tcW w:type="dxa" w:w="2520"/>
            <w:vAlign w:val="center"/>
          </w:tcPr>
          <w:p>
            <w:r/>
            <w:r>
              <w:rPr>
                <w:b w:val="0"/>
                <w:sz w:val="16"/>
              </w:rPr>
              <w:t>SERVING</w:t>
            </w:r>
          </w:p>
        </w:tc>
        <w:tc>
          <w:tcPr>
            <w:tcW w:type="dxa" w:w="2520"/>
            <w:vAlign w:val="center"/>
          </w:tcPr>
          <w:p>
            <w:r/>
            <w:r>
              <w:rPr>
                <w:b w:val="0"/>
                <w:sz w:val="16"/>
              </w:rPr>
              <w:t>Dashboard/model output</w:t>
            </w:r>
          </w:p>
        </w:tc>
        <w:tc>
          <w:tcPr>
            <w:tcW w:type="dxa" w:w="2520"/>
            <w:vAlign w:val="center"/>
          </w:tcPr>
          <w:p>
            <w:r/>
            <w:r>
              <w:rPr>
                <w:b w:val="0"/>
                <w:sz w:val="16"/>
              </w:rPr>
              <w:t>Published only after quality gate</w:t>
            </w:r>
          </w:p>
        </w:tc>
        <w:tc>
          <w:tcPr>
            <w:tcW w:type="dxa" w:w="2520"/>
            <w:vAlign w:val="center"/>
          </w:tcPr>
          <w:p>
            <w:r/>
            <w:r>
              <w:rPr>
                <w:b w:val="0"/>
                <w:sz w:val="16"/>
              </w:rPr>
              <w:t>Power BI dataset / reporting table</w:t>
            </w:r>
          </w:p>
        </w:tc>
      </w:tr>
    </w:tbl>
    <w:p>
      <w:pPr>
        <w:pStyle w:val="Heading1"/>
      </w:pPr>
      <w:r>
        <w:t>5. Data Collection Methodology</w:t>
      </w:r>
    </w:p>
    <w:p>
      <w:pPr>
        <w:pStyle w:val="Heading2"/>
      </w:pPr>
      <w:r>
        <w:t>5.1 Extraction principles</w:t>
      </w:r>
    </w:p>
    <w:p>
      <w:pPr>
        <w:pStyle w:val="ListBullet"/>
        <w:spacing w:after="60"/>
      </w:pPr>
      <w:r>
        <w:t>Prefer system-of-record sources over manually maintained spreadsheets when both exist.</w:t>
      </w:r>
    </w:p>
    <w:p>
      <w:pPr>
        <w:pStyle w:val="ListBullet"/>
        <w:spacing w:after="60"/>
      </w:pPr>
      <w:r>
        <w:t>Use incremental extraction where possible: collect new/changed records using event timestamp, update timestamp or change-data-capture mechanism.</w:t>
      </w:r>
    </w:p>
    <w:p>
      <w:pPr>
        <w:pStyle w:val="ListBullet"/>
        <w:spacing w:after="60"/>
      </w:pPr>
      <w:r>
        <w:t>Retain extraction timestamp, source system, file/API version and batch identifier.</w:t>
      </w:r>
    </w:p>
    <w:p>
      <w:pPr>
        <w:pStyle w:val="ListBullet"/>
        <w:spacing w:after="60"/>
      </w:pPr>
      <w:r>
        <w:t>Use stable business keys and surrogate keys only when necessary.</w:t>
      </w:r>
    </w:p>
    <w:p>
      <w:pPr>
        <w:pStyle w:val="ListBullet"/>
        <w:spacing w:after="60"/>
      </w:pPr>
      <w:r>
        <w:t>Never overwrite previous raw batches; retain historical extracts for audit and reproducibility.</w:t>
      </w:r>
    </w:p>
    <w:p>
      <w:pPr>
        <w:pStyle w:val="ListBullet"/>
        <w:spacing w:after="60"/>
      </w:pPr>
      <w:r>
        <w:t>Capture source metadata such as row count, file size, schema version, extraction status and checksum where practical.</w:t>
      </w:r>
    </w:p>
    <w:p>
      <w:pPr>
        <w:pStyle w:val="ListBullet"/>
        <w:spacing w:after="60"/>
      </w:pPr>
      <w:r>
        <w:t>Establish control totals at extraction time: order count, shipment count, quantity, freight cost and inventory value where available.</w:t>
      </w:r>
    </w:p>
    <w:p>
      <w:pPr>
        <w:pStyle w:val="Heading2"/>
      </w:pPr>
      <w:r>
        <w:t>5.2 Structured supply-chain data standards</w:t>
      </w:r>
    </w:p>
    <w:p>
      <w:r>
        <w:t>Standardized identifiers and codes reduce ambiguity when data crosses organizational boundaries. GS1 states that visibility can be enabled by identifiers captured on standards-based labels/tags and synchronized across trading partners. EPCIS is designed as a visibility data standard and represents events involving products/assets, including what, when, where and why; EPCIS 2.0 can also represent status effects such as temperature and shocks. citeturn0search9turn0search12</w:t>
      </w:r>
    </w:p>
    <w:p>
      <w:r>
        <w:t>UN/CEFACT also provides reference data models and data-exchange standards for supply-chain and multimodal transport processes. Its Supply Chain Reference Data Model is intended to provide common definitions and structures for information exchange, while UN/EDIFACT provides internationally agreed rules for electronic interchange of structured data. citeturn0search2turn0search3turn0search4</w:t>
      </w:r>
    </w:p>
    <w:tbl>
      <w:tblPr>
        <w:tblW w:type="auto" w:w="0"/>
        <w:jc w:val="center"/>
        <w:tblLook w:firstColumn="1" w:firstRow="1" w:lastColumn="0" w:lastRow="0" w:noHBand="0" w:noVBand="1" w:val="04A0"/>
      </w:tblPr>
      <w:tblGrid>
        <w:gridCol w:w="10080"/>
      </w:tblGrid>
      <w:tr>
        <w:tc>
          <w:tcPr>
            <w:tcW w:type="dxa" w:w="10080"/>
            <w:shd w:fill="EAF2F8"/>
          </w:tcPr>
          <w:p>
            <w:r>
              <w:rPr>
                <w:b/>
                <w:sz w:val="20"/>
              </w:rPr>
              <w:t>Practical implication</w:t>
              <w:br/>
            </w:r>
            <w:r>
              <w:rPr>
                <w:sz w:val="18"/>
              </w:rPr>
              <w:t>For a company dataset, the analyst does not need to implement every international standard. The immediate objective is to adopt consistent identifiers, code lists, event semantics and units so that different systems can be joined without repeatedly rewriting business logic.</w:t>
            </w:r>
          </w:p>
        </w:tc>
      </w:tr>
    </w:tbl>
    <w:p/>
    <w:p>
      <w:pPr>
        <w:pStyle w:val="Heading1"/>
      </w:pPr>
      <w:r>
        <w:t>6. Data Cleaning and Preprocessing Framework</w:t>
      </w:r>
    </w:p>
    <w:p>
      <w:pPr>
        <w:pStyle w:val="Heading2"/>
      </w:pPr>
      <w:r>
        <w:t>6.1 Schema and structural validation</w:t>
      </w:r>
    </w:p>
    <w:p>
      <w:pPr>
        <w:pStyle w:val="ListBullet"/>
        <w:spacing w:after="60"/>
      </w:pPr>
      <w:r>
        <w:t>Verify expected columns and detect added, removed or renamed fields.</w:t>
      </w:r>
    </w:p>
    <w:p>
      <w:pPr>
        <w:pStyle w:val="ListBullet"/>
        <w:spacing w:after="60"/>
      </w:pPr>
      <w:r>
        <w:t>Validate data types: numeric quantities/costs, categorical codes, dates/timestamps and boolean flags.</w:t>
      </w:r>
    </w:p>
    <w:p>
      <w:pPr>
        <w:pStyle w:val="ListBullet"/>
        <w:spacing w:after="60"/>
      </w:pPr>
      <w:r>
        <w:t>Standardize column naming conventions and character encoding.</w:t>
      </w:r>
    </w:p>
    <w:p>
      <w:pPr>
        <w:pStyle w:val="ListBullet"/>
        <w:spacing w:after="60"/>
      </w:pPr>
      <w:r>
        <w:t>Check file/API row counts against expected volumes.</w:t>
      </w:r>
    </w:p>
    <w:p>
      <w:pPr>
        <w:pStyle w:val="ListBullet"/>
        <w:spacing w:after="60"/>
      </w:pPr>
      <w:r>
        <w:t>Reject corrupted files or incomplete API responses rather than partially loading them as complete batches.</w:t>
      </w:r>
    </w:p>
    <w:p>
      <w:pPr>
        <w:pStyle w:val="Heading2"/>
      </w:pPr>
      <w:r>
        <w:t>6.2 Missing values</w:t>
      </w:r>
    </w:p>
    <w:tbl>
      <w:tblPr>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shd w:fill="D9EAF7"/>
          </w:tcPr>
          <w:p>
            <w:r/>
            <w:r>
              <w:rPr>
                <w:b/>
                <w:sz w:val="17"/>
              </w:rPr>
              <w:t>Missing-data situation</w:t>
            </w:r>
          </w:p>
        </w:tc>
        <w:tc>
          <w:tcPr>
            <w:tcW w:type="dxa" w:w="2520"/>
            <w:vAlign w:val="center"/>
            <w:shd w:fill="D9EAF7"/>
          </w:tcPr>
          <w:p>
            <w:r/>
            <w:r>
              <w:rPr>
                <w:b/>
                <w:sz w:val="17"/>
              </w:rPr>
              <w:t>Preferred response</w:t>
            </w:r>
          </w:p>
        </w:tc>
        <w:tc>
          <w:tcPr>
            <w:tcW w:type="dxa" w:w="2520"/>
            <w:vAlign w:val="center"/>
            <w:shd w:fill="D9EAF7"/>
          </w:tcPr>
          <w:p>
            <w:r/>
            <w:r>
              <w:rPr>
                <w:b/>
                <w:sz w:val="17"/>
              </w:rPr>
              <w:t>Do not do</w:t>
            </w:r>
          </w:p>
        </w:tc>
        <w:tc>
          <w:tcPr>
            <w:tcW w:type="dxa" w:w="2520"/>
            <w:vAlign w:val="center"/>
            <w:shd w:fill="D9EAF7"/>
          </w:tcPr>
          <w:p>
            <w:r/>
            <w:r>
              <w:rPr>
                <w:b/>
                <w:sz w:val="17"/>
              </w:rPr>
              <w:t>Example</w:t>
            </w:r>
          </w:p>
        </w:tc>
      </w:tr>
      <w:tr>
        <w:tc>
          <w:tcPr>
            <w:tcW w:type="dxa" w:w="2520"/>
            <w:vAlign w:val="center"/>
          </w:tcPr>
          <w:p>
            <w:r/>
            <w:r>
              <w:rPr>
                <w:b w:val="0"/>
                <w:sz w:val="16"/>
              </w:rPr>
              <w:t>Critical identifier missing</w:t>
            </w:r>
          </w:p>
        </w:tc>
        <w:tc>
          <w:tcPr>
            <w:tcW w:type="dxa" w:w="2520"/>
            <w:vAlign w:val="center"/>
          </w:tcPr>
          <w:p>
            <w:r/>
            <w:r>
              <w:rPr>
                <w:b w:val="0"/>
                <w:sz w:val="16"/>
              </w:rPr>
              <w:t>Reject/quarantine or source re-extract</w:t>
            </w:r>
          </w:p>
        </w:tc>
        <w:tc>
          <w:tcPr>
            <w:tcW w:type="dxa" w:w="2520"/>
            <w:vAlign w:val="center"/>
          </w:tcPr>
          <w:p>
            <w:r/>
            <w:r>
              <w:rPr>
                <w:b w:val="0"/>
                <w:sz w:val="16"/>
              </w:rPr>
              <w:t>Invent an ID</w:t>
            </w:r>
          </w:p>
        </w:tc>
        <w:tc>
          <w:tcPr>
            <w:tcW w:type="dxa" w:w="2520"/>
            <w:vAlign w:val="center"/>
          </w:tcPr>
          <w:p>
            <w:r/>
            <w:r>
              <w:rPr>
                <w:b w:val="0"/>
                <w:sz w:val="16"/>
              </w:rPr>
              <w:t>shipment_id is null</w:t>
            </w:r>
          </w:p>
        </w:tc>
      </w:tr>
      <w:tr>
        <w:tc>
          <w:tcPr>
            <w:tcW w:type="dxa" w:w="2520"/>
            <w:vAlign w:val="center"/>
          </w:tcPr>
          <w:p>
            <w:r/>
            <w:r>
              <w:rPr>
                <w:b w:val="0"/>
                <w:sz w:val="16"/>
              </w:rPr>
              <w:t>Optional descriptive field missing</w:t>
            </w:r>
          </w:p>
        </w:tc>
        <w:tc>
          <w:tcPr>
            <w:tcW w:type="dxa" w:w="2520"/>
            <w:vAlign w:val="center"/>
          </w:tcPr>
          <w:p>
            <w:r/>
            <w:r>
              <w:rPr>
                <w:b w:val="0"/>
                <w:sz w:val="16"/>
              </w:rPr>
              <w:t>Keep null + create missingness flag if useful</w:t>
            </w:r>
          </w:p>
        </w:tc>
        <w:tc>
          <w:tcPr>
            <w:tcW w:type="dxa" w:w="2520"/>
            <w:vAlign w:val="center"/>
          </w:tcPr>
          <w:p>
            <w:r/>
            <w:r>
              <w:rPr>
                <w:b w:val="0"/>
                <w:sz w:val="16"/>
              </w:rPr>
              <w:t>Replace blindly with mode</w:t>
            </w:r>
          </w:p>
        </w:tc>
        <w:tc>
          <w:tcPr>
            <w:tcW w:type="dxa" w:w="2520"/>
            <w:vAlign w:val="center"/>
          </w:tcPr>
          <w:p>
            <w:r/>
            <w:r>
              <w:rPr>
                <w:b w:val="0"/>
                <w:sz w:val="16"/>
              </w:rPr>
              <w:t>customer_segment</w:t>
            </w:r>
          </w:p>
        </w:tc>
      </w:tr>
      <w:tr>
        <w:tc>
          <w:tcPr>
            <w:tcW w:type="dxa" w:w="2520"/>
            <w:vAlign w:val="center"/>
          </w:tcPr>
          <w:p>
            <w:r/>
            <w:r>
              <w:rPr>
                <w:b w:val="0"/>
                <w:sz w:val="16"/>
              </w:rPr>
              <w:t>Numeric measure missing</w:t>
            </w:r>
          </w:p>
        </w:tc>
        <w:tc>
          <w:tcPr>
            <w:tcW w:type="dxa" w:w="2520"/>
            <w:vAlign w:val="center"/>
          </w:tcPr>
          <w:p>
            <w:r/>
            <w:r>
              <w:rPr>
                <w:b w:val="0"/>
                <w:sz w:val="16"/>
              </w:rPr>
              <w:t>Investigate source; impute only when justified</w:t>
            </w:r>
          </w:p>
        </w:tc>
        <w:tc>
          <w:tcPr>
            <w:tcW w:type="dxa" w:w="2520"/>
            <w:vAlign w:val="center"/>
          </w:tcPr>
          <w:p>
            <w:r/>
            <w:r>
              <w:rPr>
                <w:b w:val="0"/>
                <w:sz w:val="16"/>
              </w:rPr>
              <w:t>Use zero automatically</w:t>
            </w:r>
          </w:p>
        </w:tc>
        <w:tc>
          <w:tcPr>
            <w:tcW w:type="dxa" w:w="2520"/>
            <w:vAlign w:val="center"/>
          </w:tcPr>
          <w:p>
            <w:r/>
            <w:r>
              <w:rPr>
                <w:b w:val="0"/>
                <w:sz w:val="16"/>
              </w:rPr>
              <w:t>freight_cost</w:t>
            </w:r>
          </w:p>
        </w:tc>
      </w:tr>
      <w:tr>
        <w:tc>
          <w:tcPr>
            <w:tcW w:type="dxa" w:w="2520"/>
            <w:vAlign w:val="center"/>
          </w:tcPr>
          <w:p>
            <w:r/>
            <w:r>
              <w:rPr>
                <w:b w:val="0"/>
                <w:sz w:val="16"/>
              </w:rPr>
              <w:t>Time field missing</w:t>
            </w:r>
          </w:p>
        </w:tc>
        <w:tc>
          <w:tcPr>
            <w:tcW w:type="dxa" w:w="2520"/>
            <w:vAlign w:val="center"/>
          </w:tcPr>
          <w:p>
            <w:r/>
            <w:r>
              <w:rPr>
                <w:b w:val="0"/>
                <w:sz w:val="16"/>
              </w:rPr>
              <w:t>Derive only from a documented alternative event; otherwise flag</w:t>
            </w:r>
          </w:p>
        </w:tc>
        <w:tc>
          <w:tcPr>
            <w:tcW w:type="dxa" w:w="2520"/>
            <w:vAlign w:val="center"/>
          </w:tcPr>
          <w:p>
            <w:r/>
            <w:r>
              <w:rPr>
                <w:b w:val="0"/>
                <w:sz w:val="16"/>
              </w:rPr>
              <w:t>Use arbitrary date/time</w:t>
            </w:r>
          </w:p>
        </w:tc>
        <w:tc>
          <w:tcPr>
            <w:tcW w:type="dxa" w:w="2520"/>
            <w:vAlign w:val="center"/>
          </w:tcPr>
          <w:p>
            <w:r/>
            <w:r>
              <w:rPr>
                <w:b w:val="0"/>
                <w:sz w:val="16"/>
              </w:rPr>
              <w:t>delivery_ts</w:t>
            </w:r>
          </w:p>
        </w:tc>
      </w:tr>
      <w:tr>
        <w:tc>
          <w:tcPr>
            <w:tcW w:type="dxa" w:w="2520"/>
            <w:vAlign w:val="center"/>
          </w:tcPr>
          <w:p>
            <w:r/>
            <w:r>
              <w:rPr>
                <w:b w:val="0"/>
                <w:sz w:val="16"/>
              </w:rPr>
              <w:t>System-wide missingness spike</w:t>
            </w:r>
          </w:p>
        </w:tc>
        <w:tc>
          <w:tcPr>
            <w:tcW w:type="dxa" w:w="2520"/>
            <w:vAlign w:val="center"/>
          </w:tcPr>
          <w:p>
            <w:r/>
            <w:r>
              <w:rPr>
                <w:b w:val="0"/>
                <w:sz w:val="16"/>
              </w:rPr>
              <w:t>Treat as collection incident</w:t>
            </w:r>
          </w:p>
        </w:tc>
        <w:tc>
          <w:tcPr>
            <w:tcW w:type="dxa" w:w="2520"/>
            <w:vAlign w:val="center"/>
          </w:tcPr>
          <w:p>
            <w:r/>
            <w:r>
              <w:rPr>
                <w:b w:val="0"/>
                <w:sz w:val="16"/>
              </w:rPr>
              <w:t>Continue silently</w:t>
            </w:r>
          </w:p>
        </w:tc>
        <w:tc>
          <w:tcPr>
            <w:tcW w:type="dxa" w:w="2520"/>
            <w:vAlign w:val="center"/>
          </w:tcPr>
          <w:p>
            <w:r/>
            <w:r>
              <w:rPr>
                <w:b w:val="0"/>
                <w:sz w:val="16"/>
              </w:rPr>
              <w:t>GPS feed missing 40% records</w:t>
            </w:r>
          </w:p>
        </w:tc>
      </w:tr>
    </w:tbl>
    <w:p>
      <w:pPr>
        <w:pStyle w:val="Heading2"/>
      </w:pPr>
      <w:r>
        <w:t>6.3 Duplicate records</w:t>
      </w:r>
    </w:p>
    <w:p>
      <w:r>
        <w:t>Duplicate handling must be based on the analytical grain and business key. A repeated file row is not necessarily a duplicate event: multiple scans or status events can be legitimate. Use exact duplicates, business-key duplicates and event-level duplicates as separate checks.</w:t>
      </w:r>
    </w:p>
    <w:p>
      <w:pPr>
        <w:pStyle w:val="ListBullet"/>
        <w:spacing w:after="60"/>
      </w:pPr>
      <w:r>
        <w:t>Exact duplicate: all relevant fields identical → retain one record after audit logging.</w:t>
      </w:r>
    </w:p>
    <w:p>
      <w:pPr>
        <w:pStyle w:val="ListBullet"/>
        <w:spacing w:after="60"/>
      </w:pPr>
      <w:r>
        <w:t>Business-key duplicate: same order/shipment key appears multiple times where uniqueness is expected → investigate source update logic.</w:t>
      </w:r>
    </w:p>
    <w:p>
      <w:pPr>
        <w:pStyle w:val="ListBullet"/>
        <w:spacing w:after="60"/>
      </w:pPr>
      <w:r>
        <w:t>Event duplicate: same object + event type + timestamp + location repeated → deduplicate only if the business process confirms it is impossible/invalid.</w:t>
      </w:r>
    </w:p>
    <w:p>
      <w:pPr>
        <w:pStyle w:val="ListBullet"/>
        <w:spacing w:after="60"/>
      </w:pPr>
      <w:r>
        <w:t>Versioned update: multiple records represent changes to the same entity → preserve history or select latest record using explicit effective timestamps.</w:t>
      </w:r>
    </w:p>
    <w:p>
      <w:pPr>
        <w:pStyle w:val="Heading2"/>
      </w:pPr>
      <w:r>
        <w:t>6.4 Outlier detection</w:t>
      </w:r>
    </w:p>
    <w:p>
      <w:r>
        <w:t>Outliers in logistics can be genuine operational events, data-entry errors or system failures. The correct approach is investigation first, exclusion second.</w:t>
      </w:r>
    </w:p>
    <w:p>
      <w:pPr>
        <w:pStyle w:val="ListBullet"/>
        <w:spacing w:after="60"/>
      </w:pPr>
      <w:r>
        <w:t>Business-rule checks: negative distance, negative quantity, delivery before dispatch, impossible event sequence.</w:t>
      </w:r>
    </w:p>
    <w:p>
      <w:pPr>
        <w:pStyle w:val="ListBullet"/>
        <w:spacing w:after="60"/>
      </w:pPr>
      <w:r>
        <w:t>Robust statistical checks: IQR rule, median absolute deviation (MAD), percentile thresholds.</w:t>
      </w:r>
    </w:p>
    <w:p>
      <w:pPr>
        <w:pStyle w:val="ListBullet"/>
        <w:spacing w:after="60"/>
      </w:pPr>
      <w:r>
        <w:t>Segmented checks: compare cycle times within the same lane, carrier, facility, service level or shipment mode.</w:t>
      </w:r>
    </w:p>
    <w:p>
      <w:pPr>
        <w:pStyle w:val="ListBullet"/>
        <w:spacing w:after="60"/>
      </w:pPr>
      <w:r>
        <w:t>Operational review: inspect the underlying records for extreme but plausible shipments.</w:t>
      </w:r>
    </w:p>
    <w:p>
      <w:pPr>
        <w:pStyle w:val="ListBullet"/>
        <w:spacing w:after="60"/>
      </w:pPr>
      <w:r>
        <w:t>Treatment: correct from authoritative source, flag, cap/winsorize only when analytically justified, or exclude under a documented rule.</w:t>
      </w:r>
    </w:p>
    <w:p>
      <w:pPr>
        <w:pStyle w:val="Heading2"/>
      </w:pPr>
      <w:r>
        <w:t>6.5 Normalization and standardization</w:t>
      </w:r>
    </w:p>
    <w:p>
      <w:pPr>
        <w:pStyle w:val="ListBullet"/>
        <w:spacing w:after="60"/>
      </w:pPr>
      <w:r>
        <w:t>Units: convert weight, distance, volume and currency to documented standard units.</w:t>
      </w:r>
    </w:p>
    <w:p>
      <w:pPr>
        <w:pStyle w:val="ListBullet"/>
        <w:spacing w:after="60"/>
      </w:pPr>
      <w:r>
        <w:t>Dates/times: parse consistently and normalize timezone; retain original timestamp if auditability is required.</w:t>
      </w:r>
    </w:p>
    <w:p>
      <w:pPr>
        <w:pStyle w:val="ListBullet"/>
        <w:spacing w:after="60"/>
      </w:pPr>
      <w:r>
        <w:t>Text: trim whitespace, normalize case where appropriate and remove non-printing characters.</w:t>
      </w:r>
    </w:p>
    <w:p>
      <w:pPr>
        <w:pStyle w:val="ListBullet"/>
        <w:spacing w:after="60"/>
      </w:pPr>
      <w:r>
        <w:t>Codes: map carrier/facility/SKU/status aliases to controlled master-data identifiers.</w:t>
      </w:r>
    </w:p>
    <w:p>
      <w:pPr>
        <w:pStyle w:val="ListBullet"/>
        <w:spacing w:after="60"/>
      </w:pPr>
      <w:r>
        <w:t>Categories: use a data dictionary and avoid free-text categories in analytical dimensions.</w:t>
      </w:r>
    </w:p>
    <w:p>
      <w:pPr>
        <w:pStyle w:val="ListBullet"/>
        <w:spacing w:after="60"/>
      </w:pPr>
      <w:r>
        <w:t>Numeric scaling: for modelling, consider standardization or min-max scaling only after understanding the algorithm's requirements; scaling is not automatically required for descriptive KPI analysis.</w:t>
      </w:r>
    </w:p>
    <w:p>
      <w:pPr>
        <w:pStyle w:val="Heading1"/>
      </w:pPr>
      <w:r>
        <w:t>7. Logistics Data-Quality Issues and Contingency Plans</w:t>
      </w:r>
    </w:p>
    <w:p>
      <w:r>
        <w:drawing>
          <wp:inline xmlns:a="http://schemas.openxmlformats.org/drawingml/2006/main" xmlns:pic="http://schemas.openxmlformats.org/drawingml/2006/picture">
            <wp:extent cx="6217920" cy="3649818"/>
            <wp:docPr id="2" name="Picture 2"/>
            <wp:cNvGraphicFramePr>
              <a:graphicFrameLocks noChangeAspect="1"/>
            </wp:cNvGraphicFramePr>
            <a:graphic>
              <a:graphicData uri="http://schemas.openxmlformats.org/drawingml/2006/picture">
                <pic:pic>
                  <pic:nvPicPr>
                    <pic:cNvPr id="0" name="week2_data_quality_contingency_matrix.png"/>
                    <pic:cNvPicPr/>
                  </pic:nvPicPr>
                  <pic:blipFill>
                    <a:blip r:embed="rId11"/>
                    <a:stretch>
                      <a:fillRect/>
                    </a:stretch>
                  </pic:blipFill>
                  <pic:spPr>
                    <a:xfrm>
                      <a:off x="0" y="0"/>
                      <a:ext cx="6217920" cy="3649818"/>
                    </a:xfrm>
                    <a:prstGeom prst="rect"/>
                  </pic:spPr>
                </pic:pic>
              </a:graphicData>
            </a:graphic>
          </wp:inline>
        </w:drawing>
      </w:r>
    </w:p>
    <w:p>
      <w:pPr>
        <w:jc w:val="center"/>
      </w:pPr>
      <w:r>
        <w:rPr>
          <w:i/>
        </w:rPr>
        <w:t>Figure 2. Quality issue response and publication gate.</w:t>
      </w:r>
    </w:p>
    <w:tbl>
      <w:tblPr>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vAlign w:val="center"/>
            <w:shd w:fill="D9EAF7"/>
          </w:tcPr>
          <w:p>
            <w:r/>
            <w:r>
              <w:rPr>
                <w:b/>
                <w:sz w:val="16"/>
              </w:rPr>
              <w:t>Issue</w:t>
            </w:r>
          </w:p>
        </w:tc>
        <w:tc>
          <w:tcPr>
            <w:tcW w:type="dxa" w:w="2016"/>
            <w:vAlign w:val="center"/>
            <w:shd w:fill="D9EAF7"/>
          </w:tcPr>
          <w:p>
            <w:r/>
            <w:r>
              <w:rPr>
                <w:b/>
                <w:sz w:val="16"/>
              </w:rPr>
              <w:t>Detection</w:t>
            </w:r>
          </w:p>
        </w:tc>
        <w:tc>
          <w:tcPr>
            <w:tcW w:type="dxa" w:w="2016"/>
            <w:vAlign w:val="center"/>
            <w:shd w:fill="D9EAF7"/>
          </w:tcPr>
          <w:p>
            <w:r/>
            <w:r>
              <w:rPr>
                <w:b/>
                <w:sz w:val="16"/>
              </w:rPr>
              <w:t>Immediate action</w:t>
            </w:r>
          </w:p>
        </w:tc>
        <w:tc>
          <w:tcPr>
            <w:tcW w:type="dxa" w:w="2016"/>
            <w:vAlign w:val="center"/>
            <w:shd w:fill="D9EAF7"/>
          </w:tcPr>
          <w:p>
            <w:r/>
            <w:r>
              <w:rPr>
                <w:b/>
                <w:sz w:val="16"/>
              </w:rPr>
              <w:t>Contingency</w:t>
            </w:r>
          </w:p>
        </w:tc>
        <w:tc>
          <w:tcPr>
            <w:tcW w:type="dxa" w:w="2016"/>
            <w:vAlign w:val="center"/>
            <w:shd w:fill="D9EAF7"/>
          </w:tcPr>
          <w:p>
            <w:r/>
            <w:r>
              <w:rPr>
                <w:b/>
                <w:sz w:val="16"/>
              </w:rPr>
              <w:t>Escalation</w:t>
            </w:r>
          </w:p>
        </w:tc>
      </w:tr>
      <w:tr>
        <w:tc>
          <w:tcPr>
            <w:tcW w:type="dxa" w:w="2016"/>
            <w:vAlign w:val="center"/>
          </w:tcPr>
          <w:p>
            <w:r/>
            <w:r>
              <w:rPr>
                <w:b w:val="0"/>
                <w:sz w:val="15"/>
              </w:rPr>
              <w:t>Missing critical fields</w:t>
            </w:r>
          </w:p>
        </w:tc>
        <w:tc>
          <w:tcPr>
            <w:tcW w:type="dxa" w:w="2016"/>
            <w:vAlign w:val="center"/>
          </w:tcPr>
          <w:p>
            <w:r/>
            <w:r>
              <w:rPr>
                <w:b w:val="0"/>
                <w:sz w:val="15"/>
              </w:rPr>
              <w:t>Null-rate threshold</w:t>
            </w:r>
          </w:p>
        </w:tc>
        <w:tc>
          <w:tcPr>
            <w:tcW w:type="dxa" w:w="2016"/>
            <w:vAlign w:val="center"/>
          </w:tcPr>
          <w:p>
            <w:r/>
            <w:r>
              <w:rPr>
                <w:b w:val="0"/>
                <w:sz w:val="15"/>
              </w:rPr>
              <w:t>Quarantine affected records</w:t>
            </w:r>
          </w:p>
        </w:tc>
        <w:tc>
          <w:tcPr>
            <w:tcW w:type="dxa" w:w="2016"/>
            <w:vAlign w:val="center"/>
          </w:tcPr>
          <w:p>
            <w:r/>
            <w:r>
              <w:rPr>
                <w:b w:val="0"/>
                <w:sz w:val="15"/>
              </w:rPr>
              <w:t>Re-extract / use authoritative alternate source</w:t>
            </w:r>
          </w:p>
        </w:tc>
        <w:tc>
          <w:tcPr>
            <w:tcW w:type="dxa" w:w="2016"/>
            <w:vAlign w:val="center"/>
          </w:tcPr>
          <w:p>
            <w:r/>
            <w:r>
              <w:rPr>
                <w:b w:val="0"/>
                <w:sz w:val="15"/>
              </w:rPr>
              <w:t>Data owner</w:t>
            </w:r>
          </w:p>
        </w:tc>
      </w:tr>
      <w:tr>
        <w:tc>
          <w:tcPr>
            <w:tcW w:type="dxa" w:w="2016"/>
            <w:vAlign w:val="center"/>
          </w:tcPr>
          <w:p>
            <w:r/>
            <w:r>
              <w:rPr>
                <w:b w:val="0"/>
                <w:sz w:val="15"/>
              </w:rPr>
              <w:t>Duplicate shipments</w:t>
            </w:r>
          </w:p>
        </w:tc>
        <w:tc>
          <w:tcPr>
            <w:tcW w:type="dxa" w:w="2016"/>
            <w:vAlign w:val="center"/>
          </w:tcPr>
          <w:p>
            <w:r/>
            <w:r>
              <w:rPr>
                <w:b w:val="0"/>
                <w:sz w:val="15"/>
              </w:rPr>
              <w:t>Business-key count</w:t>
            </w:r>
          </w:p>
        </w:tc>
        <w:tc>
          <w:tcPr>
            <w:tcW w:type="dxa" w:w="2016"/>
            <w:vAlign w:val="center"/>
          </w:tcPr>
          <w:p>
            <w:r/>
            <w:r>
              <w:rPr>
                <w:b w:val="0"/>
                <w:sz w:val="15"/>
              </w:rPr>
              <w:t>Flag batch</w:t>
            </w:r>
          </w:p>
        </w:tc>
        <w:tc>
          <w:tcPr>
            <w:tcW w:type="dxa" w:w="2016"/>
            <w:vAlign w:val="center"/>
          </w:tcPr>
          <w:p>
            <w:r/>
            <w:r>
              <w:rPr>
                <w:b w:val="0"/>
                <w:sz w:val="15"/>
              </w:rPr>
              <w:t>Compare source version; retain latest valid record</w:t>
            </w:r>
          </w:p>
        </w:tc>
        <w:tc>
          <w:tcPr>
            <w:tcW w:type="dxa" w:w="2016"/>
            <w:vAlign w:val="center"/>
          </w:tcPr>
          <w:p>
            <w:r/>
            <w:r>
              <w:rPr>
                <w:b w:val="0"/>
                <w:sz w:val="15"/>
              </w:rPr>
              <w:t>System owner</w:t>
            </w:r>
          </w:p>
        </w:tc>
      </w:tr>
      <w:tr>
        <w:tc>
          <w:tcPr>
            <w:tcW w:type="dxa" w:w="2016"/>
            <w:vAlign w:val="center"/>
          </w:tcPr>
          <w:p>
            <w:r/>
            <w:r>
              <w:rPr>
                <w:b w:val="0"/>
                <w:sz w:val="15"/>
              </w:rPr>
              <w:t>Schema drift</w:t>
            </w:r>
          </w:p>
        </w:tc>
        <w:tc>
          <w:tcPr>
            <w:tcW w:type="dxa" w:w="2016"/>
            <w:vAlign w:val="center"/>
          </w:tcPr>
          <w:p>
            <w:r/>
            <w:r>
              <w:rPr>
                <w:b w:val="0"/>
                <w:sz w:val="15"/>
              </w:rPr>
              <w:t>Schema comparison</w:t>
            </w:r>
          </w:p>
        </w:tc>
        <w:tc>
          <w:tcPr>
            <w:tcW w:type="dxa" w:w="2016"/>
            <w:vAlign w:val="center"/>
          </w:tcPr>
          <w:p>
            <w:r/>
            <w:r>
              <w:rPr>
                <w:b w:val="0"/>
                <w:sz w:val="15"/>
              </w:rPr>
              <w:t>Stop or route to staging</w:t>
            </w:r>
          </w:p>
        </w:tc>
        <w:tc>
          <w:tcPr>
            <w:tcW w:type="dxa" w:w="2016"/>
            <w:vAlign w:val="center"/>
          </w:tcPr>
          <w:p>
            <w:r/>
            <w:r>
              <w:rPr>
                <w:b w:val="0"/>
                <w:sz w:val="15"/>
              </w:rPr>
              <w:t>Version mapping / manual review</w:t>
            </w:r>
          </w:p>
        </w:tc>
        <w:tc>
          <w:tcPr>
            <w:tcW w:type="dxa" w:w="2016"/>
            <w:vAlign w:val="center"/>
          </w:tcPr>
          <w:p>
            <w:r/>
            <w:r>
              <w:rPr>
                <w:b w:val="0"/>
                <w:sz w:val="15"/>
              </w:rPr>
              <w:t>Engineering + analyst</w:t>
            </w:r>
          </w:p>
        </w:tc>
      </w:tr>
      <w:tr>
        <w:tc>
          <w:tcPr>
            <w:tcW w:type="dxa" w:w="2016"/>
            <w:vAlign w:val="center"/>
          </w:tcPr>
          <w:p>
            <w:r/>
            <w:r>
              <w:rPr>
                <w:b w:val="0"/>
                <w:sz w:val="15"/>
              </w:rPr>
              <w:t>Timestamp anomalies</w:t>
            </w:r>
          </w:p>
        </w:tc>
        <w:tc>
          <w:tcPr>
            <w:tcW w:type="dxa" w:w="2016"/>
            <w:vAlign w:val="center"/>
          </w:tcPr>
          <w:p>
            <w:r/>
            <w:r>
              <w:rPr>
                <w:b w:val="0"/>
                <w:sz w:val="15"/>
              </w:rPr>
              <w:t>Event-order rules</w:t>
            </w:r>
          </w:p>
        </w:tc>
        <w:tc>
          <w:tcPr>
            <w:tcW w:type="dxa" w:w="2016"/>
            <w:vAlign w:val="center"/>
          </w:tcPr>
          <w:p>
            <w:r/>
            <w:r>
              <w:rPr>
                <w:b w:val="0"/>
                <w:sz w:val="15"/>
              </w:rPr>
              <w:t>Flag invalid events</w:t>
            </w:r>
          </w:p>
        </w:tc>
        <w:tc>
          <w:tcPr>
            <w:tcW w:type="dxa" w:w="2016"/>
            <w:vAlign w:val="center"/>
          </w:tcPr>
          <w:p>
            <w:r/>
            <w:r>
              <w:rPr>
                <w:b w:val="0"/>
                <w:sz w:val="15"/>
              </w:rPr>
              <w:t>Use authoritative event or exclude affected duration</w:t>
            </w:r>
          </w:p>
        </w:tc>
        <w:tc>
          <w:tcPr>
            <w:tcW w:type="dxa" w:w="2016"/>
            <w:vAlign w:val="center"/>
          </w:tcPr>
          <w:p>
            <w:r/>
            <w:r>
              <w:rPr>
                <w:b w:val="0"/>
                <w:sz w:val="15"/>
              </w:rPr>
              <w:t>Operations + data owner</w:t>
            </w:r>
          </w:p>
        </w:tc>
      </w:tr>
      <w:tr>
        <w:tc>
          <w:tcPr>
            <w:tcW w:type="dxa" w:w="2016"/>
            <w:vAlign w:val="center"/>
          </w:tcPr>
          <w:p>
            <w:r/>
            <w:r>
              <w:rPr>
                <w:b w:val="0"/>
                <w:sz w:val="15"/>
              </w:rPr>
              <w:t>Invalid master code</w:t>
            </w:r>
          </w:p>
        </w:tc>
        <w:tc>
          <w:tcPr>
            <w:tcW w:type="dxa" w:w="2016"/>
            <w:vAlign w:val="center"/>
          </w:tcPr>
          <w:p>
            <w:r/>
            <w:r>
              <w:rPr>
                <w:b w:val="0"/>
                <w:sz w:val="15"/>
              </w:rPr>
              <w:t>Lookup failure</w:t>
            </w:r>
          </w:p>
        </w:tc>
        <w:tc>
          <w:tcPr>
            <w:tcW w:type="dxa" w:w="2016"/>
            <w:vAlign w:val="center"/>
          </w:tcPr>
          <w:p>
            <w:r/>
            <w:r>
              <w:rPr>
                <w:b w:val="0"/>
                <w:sz w:val="15"/>
              </w:rPr>
              <w:t>Quarantine/unmapped bucket</w:t>
            </w:r>
          </w:p>
        </w:tc>
        <w:tc>
          <w:tcPr>
            <w:tcW w:type="dxa" w:w="2016"/>
            <w:vAlign w:val="center"/>
          </w:tcPr>
          <w:p>
            <w:r/>
            <w:r>
              <w:rPr>
                <w:b w:val="0"/>
                <w:sz w:val="15"/>
              </w:rPr>
              <w:t>Refresh master-data table</w:t>
            </w:r>
          </w:p>
        </w:tc>
        <w:tc>
          <w:tcPr>
            <w:tcW w:type="dxa" w:w="2016"/>
            <w:vAlign w:val="center"/>
          </w:tcPr>
          <w:p>
            <w:r/>
            <w:r>
              <w:rPr>
                <w:b w:val="0"/>
                <w:sz w:val="15"/>
              </w:rPr>
              <w:t>Master-data owner</w:t>
            </w:r>
          </w:p>
        </w:tc>
      </w:tr>
      <w:tr>
        <w:tc>
          <w:tcPr>
            <w:tcW w:type="dxa" w:w="2016"/>
            <w:vAlign w:val="center"/>
          </w:tcPr>
          <w:p>
            <w:r/>
            <w:r>
              <w:rPr>
                <w:b w:val="0"/>
                <w:sz w:val="15"/>
              </w:rPr>
              <w:t>Extreme values</w:t>
            </w:r>
          </w:p>
        </w:tc>
        <w:tc>
          <w:tcPr>
            <w:tcW w:type="dxa" w:w="2016"/>
            <w:vAlign w:val="center"/>
          </w:tcPr>
          <w:p>
            <w:r/>
            <w:r>
              <w:rPr>
                <w:b w:val="0"/>
                <w:sz w:val="15"/>
              </w:rPr>
              <w:t>Business + robust stats</w:t>
            </w:r>
          </w:p>
        </w:tc>
        <w:tc>
          <w:tcPr>
            <w:tcW w:type="dxa" w:w="2016"/>
            <w:vAlign w:val="center"/>
          </w:tcPr>
          <w:p>
            <w:r/>
            <w:r>
              <w:rPr>
                <w:b w:val="0"/>
                <w:sz w:val="15"/>
              </w:rPr>
              <w:t>Flag record</w:t>
            </w:r>
          </w:p>
        </w:tc>
        <w:tc>
          <w:tcPr>
            <w:tcW w:type="dxa" w:w="2016"/>
            <w:vAlign w:val="center"/>
          </w:tcPr>
          <w:p>
            <w:r/>
            <w:r>
              <w:rPr>
                <w:b w:val="0"/>
                <w:sz w:val="15"/>
              </w:rPr>
              <w:t>Source correction or documented treatment</w:t>
            </w:r>
          </w:p>
        </w:tc>
        <w:tc>
          <w:tcPr>
            <w:tcW w:type="dxa" w:w="2016"/>
            <w:vAlign w:val="center"/>
          </w:tcPr>
          <w:p>
            <w:r/>
            <w:r>
              <w:rPr>
                <w:b w:val="0"/>
                <w:sz w:val="15"/>
              </w:rPr>
              <w:t>Operations</w:t>
            </w:r>
          </w:p>
        </w:tc>
      </w:tr>
      <w:tr>
        <w:tc>
          <w:tcPr>
            <w:tcW w:type="dxa" w:w="2016"/>
            <w:vAlign w:val="center"/>
          </w:tcPr>
          <w:p>
            <w:r/>
            <w:r>
              <w:rPr>
                <w:b w:val="0"/>
                <w:sz w:val="15"/>
              </w:rPr>
              <w:t>Partial feed / outage</w:t>
            </w:r>
          </w:p>
        </w:tc>
        <w:tc>
          <w:tcPr>
            <w:tcW w:type="dxa" w:w="2016"/>
            <w:vAlign w:val="center"/>
          </w:tcPr>
          <w:p>
            <w:r/>
            <w:r>
              <w:rPr>
                <w:b w:val="0"/>
                <w:sz w:val="15"/>
              </w:rPr>
              <w:t>Row count/control total</w:t>
            </w:r>
          </w:p>
        </w:tc>
        <w:tc>
          <w:tcPr>
            <w:tcW w:type="dxa" w:w="2016"/>
            <w:vAlign w:val="center"/>
          </w:tcPr>
          <w:p>
            <w:r/>
            <w:r>
              <w:rPr>
                <w:b w:val="0"/>
                <w:sz w:val="15"/>
              </w:rPr>
              <w:t>Do not publish incomplete batch</w:t>
            </w:r>
          </w:p>
        </w:tc>
        <w:tc>
          <w:tcPr>
            <w:tcW w:type="dxa" w:w="2016"/>
            <w:vAlign w:val="center"/>
          </w:tcPr>
          <w:p>
            <w:r/>
            <w:r>
              <w:rPr>
                <w:b w:val="0"/>
                <w:sz w:val="15"/>
              </w:rPr>
              <w:t>Use previous validated snapshot with freshness label</w:t>
            </w:r>
          </w:p>
        </w:tc>
        <w:tc>
          <w:tcPr>
            <w:tcW w:type="dxa" w:w="2016"/>
            <w:vAlign w:val="center"/>
          </w:tcPr>
          <w:p>
            <w:r/>
            <w:r>
              <w:rPr>
                <w:b w:val="0"/>
                <w:sz w:val="15"/>
              </w:rPr>
              <w:t>System owner</w:t>
            </w:r>
          </w:p>
        </w:tc>
      </w:tr>
      <w:tr>
        <w:tc>
          <w:tcPr>
            <w:tcW w:type="dxa" w:w="2016"/>
            <w:vAlign w:val="center"/>
          </w:tcPr>
          <w:p>
            <w:r/>
            <w:r>
              <w:rPr>
                <w:b w:val="0"/>
                <w:sz w:val="15"/>
              </w:rPr>
              <w:t>Conflicting systems</w:t>
            </w:r>
          </w:p>
        </w:tc>
        <w:tc>
          <w:tcPr>
            <w:tcW w:type="dxa" w:w="2016"/>
            <w:vAlign w:val="center"/>
          </w:tcPr>
          <w:p>
            <w:r/>
            <w:r>
              <w:rPr>
                <w:b w:val="0"/>
                <w:sz w:val="15"/>
              </w:rPr>
              <w:t>Cross-source reconciliation</w:t>
            </w:r>
          </w:p>
        </w:tc>
        <w:tc>
          <w:tcPr>
            <w:tcW w:type="dxa" w:w="2016"/>
            <w:vAlign w:val="center"/>
          </w:tcPr>
          <w:p>
            <w:r/>
            <w:r>
              <w:rPr>
                <w:b w:val="0"/>
                <w:sz w:val="15"/>
              </w:rPr>
              <w:t>Do not choose silently</w:t>
            </w:r>
          </w:p>
        </w:tc>
        <w:tc>
          <w:tcPr>
            <w:tcW w:type="dxa" w:w="2016"/>
            <w:vAlign w:val="center"/>
          </w:tcPr>
          <w:p>
            <w:r/>
            <w:r>
              <w:rPr>
                <w:b w:val="0"/>
                <w:sz w:val="15"/>
              </w:rPr>
              <w:t>Apply source-of-truth hierarchy</w:t>
            </w:r>
          </w:p>
        </w:tc>
        <w:tc>
          <w:tcPr>
            <w:tcW w:type="dxa" w:w="2016"/>
            <w:vAlign w:val="center"/>
          </w:tcPr>
          <w:p>
            <w:r/>
            <w:r>
              <w:rPr>
                <w:b w:val="0"/>
                <w:sz w:val="15"/>
              </w:rPr>
              <w:t>Business owner</w:t>
            </w:r>
          </w:p>
        </w:tc>
      </w:tr>
      <w:tr>
        <w:tc>
          <w:tcPr>
            <w:tcW w:type="dxa" w:w="2016"/>
            <w:vAlign w:val="center"/>
          </w:tcPr>
          <w:p>
            <w:r/>
            <w:r>
              <w:rPr>
                <w:b w:val="0"/>
                <w:sz w:val="15"/>
              </w:rPr>
              <w:t>Late-arriving records</w:t>
            </w:r>
          </w:p>
        </w:tc>
        <w:tc>
          <w:tcPr>
            <w:tcW w:type="dxa" w:w="2016"/>
            <w:vAlign w:val="center"/>
          </w:tcPr>
          <w:p>
            <w:r/>
            <w:r>
              <w:rPr>
                <w:b w:val="0"/>
                <w:sz w:val="15"/>
              </w:rPr>
              <w:t>Load watermark</w:t>
            </w:r>
          </w:p>
        </w:tc>
        <w:tc>
          <w:tcPr>
            <w:tcW w:type="dxa" w:w="2016"/>
            <w:vAlign w:val="center"/>
          </w:tcPr>
          <w:p>
            <w:r/>
            <w:r>
              <w:rPr>
                <w:b w:val="0"/>
                <w:sz w:val="15"/>
              </w:rPr>
              <w:t>Mark provisional period</w:t>
            </w:r>
          </w:p>
        </w:tc>
        <w:tc>
          <w:tcPr>
            <w:tcW w:type="dxa" w:w="2016"/>
            <w:vAlign w:val="center"/>
          </w:tcPr>
          <w:p>
            <w:r/>
            <w:r>
              <w:rPr>
                <w:b w:val="0"/>
                <w:sz w:val="15"/>
              </w:rPr>
              <w:t>Backfill and re-run affected KPIs</w:t>
            </w:r>
          </w:p>
        </w:tc>
        <w:tc>
          <w:tcPr>
            <w:tcW w:type="dxa" w:w="2016"/>
            <w:vAlign w:val="center"/>
          </w:tcPr>
          <w:p>
            <w:r/>
            <w:r>
              <w:rPr>
                <w:b w:val="0"/>
                <w:sz w:val="15"/>
              </w:rPr>
              <w:t>Data engineering</w:t>
            </w:r>
          </w:p>
        </w:tc>
      </w:tr>
      <w:tr>
        <w:tc>
          <w:tcPr>
            <w:tcW w:type="dxa" w:w="2016"/>
            <w:vAlign w:val="center"/>
          </w:tcPr>
          <w:p>
            <w:r/>
            <w:r>
              <w:rPr>
                <w:b w:val="0"/>
                <w:sz w:val="15"/>
              </w:rPr>
              <w:t>Unit/currency mismatch</w:t>
            </w:r>
          </w:p>
        </w:tc>
        <w:tc>
          <w:tcPr>
            <w:tcW w:type="dxa" w:w="2016"/>
            <w:vAlign w:val="center"/>
          </w:tcPr>
          <w:p>
            <w:r/>
            <w:r>
              <w:rPr>
                <w:b w:val="0"/>
                <w:sz w:val="15"/>
              </w:rPr>
              <w:t>Schema + range rules</w:t>
            </w:r>
          </w:p>
        </w:tc>
        <w:tc>
          <w:tcPr>
            <w:tcW w:type="dxa" w:w="2016"/>
            <w:vAlign w:val="center"/>
          </w:tcPr>
          <w:p>
            <w:r/>
            <w:r>
              <w:rPr>
                <w:b w:val="0"/>
                <w:sz w:val="15"/>
              </w:rPr>
              <w:t>Stop transformation</w:t>
            </w:r>
          </w:p>
        </w:tc>
        <w:tc>
          <w:tcPr>
            <w:tcW w:type="dxa" w:w="2016"/>
            <w:vAlign w:val="center"/>
          </w:tcPr>
          <w:p>
            <w:r/>
            <w:r>
              <w:rPr>
                <w:b w:val="0"/>
                <w:sz w:val="15"/>
              </w:rPr>
              <w:t>Apply documented conversion table</w:t>
            </w:r>
          </w:p>
        </w:tc>
        <w:tc>
          <w:tcPr>
            <w:tcW w:type="dxa" w:w="2016"/>
            <w:vAlign w:val="center"/>
          </w:tcPr>
          <w:p>
            <w:r/>
            <w:r>
              <w:rPr>
                <w:b w:val="0"/>
                <w:sz w:val="15"/>
              </w:rPr>
              <w:t>Finance/data owner</w:t>
            </w:r>
          </w:p>
        </w:tc>
      </w:tr>
    </w:tbl>
    <w:p>
      <w:pPr>
        <w:pStyle w:val="Heading2"/>
      </w:pPr>
      <w:r>
        <w:t>7.1 Quality gates</w:t>
      </w:r>
    </w:p>
    <w:p>
      <w:pPr>
        <w:pStyle w:val="ListNumber"/>
        <w:spacing w:after="60"/>
      </w:pPr>
      <w:r>
        <w:t>Gate 1 — Completeness: critical fields meet agreed thresholds.</w:t>
      </w:r>
    </w:p>
    <w:p>
      <w:pPr>
        <w:pStyle w:val="ListNumber"/>
        <w:spacing w:after="60"/>
      </w:pPr>
      <w:r>
        <w:t>Gate 2 — Validity: types, ranges, codes and event order pass.</w:t>
      </w:r>
    </w:p>
    <w:p>
      <w:pPr>
        <w:pStyle w:val="ListNumber"/>
        <w:spacing w:after="60"/>
      </w:pPr>
      <w:r>
        <w:t>Gate 3 — Uniqueness: keys behave as expected at each grain.</w:t>
      </w:r>
    </w:p>
    <w:p>
      <w:pPr>
        <w:pStyle w:val="ListNumber"/>
        <w:spacing w:after="60"/>
      </w:pPr>
      <w:r>
        <w:t>Gate 4 — Integrity: joins and reference keys reconcile.</w:t>
      </w:r>
    </w:p>
    <w:p>
      <w:pPr>
        <w:pStyle w:val="ListNumber"/>
        <w:spacing w:after="60"/>
      </w:pPr>
      <w:r>
        <w:t>Gate 5 — Timeliness: data freshness meets reporting SLA.</w:t>
      </w:r>
    </w:p>
    <w:p>
      <w:pPr>
        <w:pStyle w:val="ListNumber"/>
        <w:spacing w:after="60"/>
      </w:pPr>
      <w:r>
        <w:t>Gate 6 — Reconciliation: counts, quantities and costs reconcile to source controls.</w:t>
      </w:r>
    </w:p>
    <w:p>
      <w:pPr>
        <w:pStyle w:val="ListNumber"/>
        <w:spacing w:after="60"/>
      </w:pPr>
      <w:r>
        <w:t>Gate 7 — Business validation: material anomalies have been reviewed or explicitly disclosed.</w:t>
      </w:r>
    </w:p>
    <w:p>
      <w:pPr>
        <w:pStyle w:val="Heading1"/>
      </w:pPr>
      <w:r>
        <w:t>8. Validation and Reconciliation Strategy</w:t>
      </w:r>
    </w:p>
    <w:p>
      <w:r>
        <w:t>A clean-looking dataset is not necessarily correct. Reconciliation checks whether preprocessing preserved the business totals and relationships that matter.</w:t>
      </w:r>
    </w:p>
    <w:tbl>
      <w:tblPr>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shd w:fill="D9EAF7"/>
          </w:tcPr>
          <w:p>
            <w:r/>
            <w:r>
              <w:rPr>
                <w:b/>
                <w:sz w:val="17"/>
              </w:rPr>
              <w:t>Check</w:t>
            </w:r>
          </w:p>
        </w:tc>
        <w:tc>
          <w:tcPr>
            <w:tcW w:type="dxa" w:w="2520"/>
            <w:vAlign w:val="center"/>
            <w:shd w:fill="D9EAF7"/>
          </w:tcPr>
          <w:p>
            <w:r/>
            <w:r>
              <w:rPr>
                <w:b/>
                <w:sz w:val="17"/>
              </w:rPr>
              <w:t>Example</w:t>
            </w:r>
          </w:p>
        </w:tc>
        <w:tc>
          <w:tcPr>
            <w:tcW w:type="dxa" w:w="2520"/>
            <w:vAlign w:val="center"/>
            <w:shd w:fill="D9EAF7"/>
          </w:tcPr>
          <w:p>
            <w:r/>
            <w:r>
              <w:rPr>
                <w:b/>
                <w:sz w:val="17"/>
              </w:rPr>
              <w:t>Expected result</w:t>
            </w:r>
          </w:p>
        </w:tc>
        <w:tc>
          <w:tcPr>
            <w:tcW w:type="dxa" w:w="2520"/>
            <w:vAlign w:val="center"/>
            <w:shd w:fill="D9EAF7"/>
          </w:tcPr>
          <w:p>
            <w:r/>
            <w:r>
              <w:rPr>
                <w:b/>
                <w:sz w:val="17"/>
              </w:rPr>
              <w:t>Failure response</w:t>
            </w:r>
          </w:p>
        </w:tc>
      </w:tr>
      <w:tr>
        <w:tc>
          <w:tcPr>
            <w:tcW w:type="dxa" w:w="2520"/>
            <w:vAlign w:val="center"/>
          </w:tcPr>
          <w:p>
            <w:r/>
            <w:r>
              <w:rPr>
                <w:b w:val="0"/>
                <w:sz w:val="16"/>
              </w:rPr>
              <w:t>Count reconciliation</w:t>
            </w:r>
          </w:p>
        </w:tc>
        <w:tc>
          <w:tcPr>
            <w:tcW w:type="dxa" w:w="2520"/>
            <w:vAlign w:val="center"/>
          </w:tcPr>
          <w:p>
            <w:r/>
            <w:r>
              <w:rPr>
                <w:b w:val="0"/>
                <w:sz w:val="16"/>
              </w:rPr>
              <w:t>Source shipments vs curated shipments</w:t>
            </w:r>
          </w:p>
        </w:tc>
        <w:tc>
          <w:tcPr>
            <w:tcW w:type="dxa" w:w="2520"/>
            <w:vAlign w:val="center"/>
          </w:tcPr>
          <w:p>
            <w:r/>
            <w:r>
              <w:rPr>
                <w:b w:val="0"/>
                <w:sz w:val="16"/>
              </w:rPr>
              <w:t>Difference within documented tolerance</w:t>
            </w:r>
          </w:p>
        </w:tc>
        <w:tc>
          <w:tcPr>
            <w:tcW w:type="dxa" w:w="2520"/>
            <w:vAlign w:val="center"/>
          </w:tcPr>
          <w:p>
            <w:r/>
            <w:r>
              <w:rPr>
                <w:b w:val="0"/>
                <w:sz w:val="16"/>
              </w:rPr>
              <w:t>Investigate dropped/duplicated records</w:t>
            </w:r>
          </w:p>
        </w:tc>
      </w:tr>
      <w:tr>
        <w:tc>
          <w:tcPr>
            <w:tcW w:type="dxa" w:w="2520"/>
            <w:vAlign w:val="center"/>
          </w:tcPr>
          <w:p>
            <w:r/>
            <w:r>
              <w:rPr>
                <w:b w:val="0"/>
                <w:sz w:val="16"/>
              </w:rPr>
              <w:t>Amount reconciliation</w:t>
            </w:r>
          </w:p>
        </w:tc>
        <w:tc>
          <w:tcPr>
            <w:tcW w:type="dxa" w:w="2520"/>
            <w:vAlign w:val="center"/>
          </w:tcPr>
          <w:p>
            <w:r/>
            <w:r>
              <w:rPr>
                <w:b w:val="0"/>
                <w:sz w:val="16"/>
              </w:rPr>
              <w:t>Source freight cost vs curated freight cost</w:t>
            </w:r>
          </w:p>
        </w:tc>
        <w:tc>
          <w:tcPr>
            <w:tcW w:type="dxa" w:w="2520"/>
            <w:vAlign w:val="center"/>
          </w:tcPr>
          <w:p>
            <w:r/>
            <w:r>
              <w:rPr>
                <w:b w:val="0"/>
                <w:sz w:val="16"/>
              </w:rPr>
              <w:t>Exact or explainable difference</w:t>
            </w:r>
          </w:p>
        </w:tc>
        <w:tc>
          <w:tcPr>
            <w:tcW w:type="dxa" w:w="2520"/>
            <w:vAlign w:val="center"/>
          </w:tcPr>
          <w:p>
            <w:r/>
            <w:r>
              <w:rPr>
                <w:b w:val="0"/>
                <w:sz w:val="16"/>
              </w:rPr>
              <w:t>Trace currency/filter/join logic</w:t>
            </w:r>
          </w:p>
        </w:tc>
      </w:tr>
      <w:tr>
        <w:tc>
          <w:tcPr>
            <w:tcW w:type="dxa" w:w="2520"/>
            <w:vAlign w:val="center"/>
          </w:tcPr>
          <w:p>
            <w:r/>
            <w:r>
              <w:rPr>
                <w:b w:val="0"/>
                <w:sz w:val="16"/>
              </w:rPr>
              <w:t>Quantity reconciliation</w:t>
            </w:r>
          </w:p>
        </w:tc>
        <w:tc>
          <w:tcPr>
            <w:tcW w:type="dxa" w:w="2520"/>
            <w:vAlign w:val="center"/>
          </w:tcPr>
          <w:p>
            <w:r/>
            <w:r>
              <w:rPr>
                <w:b w:val="0"/>
                <w:sz w:val="16"/>
              </w:rPr>
              <w:t>Ordered/shipped units</w:t>
            </w:r>
          </w:p>
        </w:tc>
        <w:tc>
          <w:tcPr>
            <w:tcW w:type="dxa" w:w="2520"/>
            <w:vAlign w:val="center"/>
          </w:tcPr>
          <w:p>
            <w:r/>
            <w:r>
              <w:rPr>
                <w:b w:val="0"/>
                <w:sz w:val="16"/>
              </w:rPr>
              <w:t>Difference explained by business rules</w:t>
            </w:r>
          </w:p>
        </w:tc>
        <w:tc>
          <w:tcPr>
            <w:tcW w:type="dxa" w:w="2520"/>
            <w:vAlign w:val="center"/>
          </w:tcPr>
          <w:p>
            <w:r/>
            <w:r>
              <w:rPr>
                <w:b w:val="0"/>
                <w:sz w:val="16"/>
              </w:rPr>
              <w:t>Check split shipments/returns</w:t>
            </w:r>
          </w:p>
        </w:tc>
      </w:tr>
      <w:tr>
        <w:tc>
          <w:tcPr>
            <w:tcW w:type="dxa" w:w="2520"/>
            <w:vAlign w:val="center"/>
          </w:tcPr>
          <w:p>
            <w:r/>
            <w:r>
              <w:rPr>
                <w:b w:val="0"/>
                <w:sz w:val="16"/>
              </w:rPr>
              <w:t>Referential integrity</w:t>
            </w:r>
          </w:p>
        </w:tc>
        <w:tc>
          <w:tcPr>
            <w:tcW w:type="dxa" w:w="2520"/>
            <w:vAlign w:val="center"/>
          </w:tcPr>
          <w:p>
            <w:r/>
            <w:r>
              <w:rPr>
                <w:b w:val="0"/>
                <w:sz w:val="16"/>
              </w:rPr>
              <w:t>Shipment → order</w:t>
            </w:r>
          </w:p>
        </w:tc>
        <w:tc>
          <w:tcPr>
            <w:tcW w:type="dxa" w:w="2520"/>
            <w:vAlign w:val="center"/>
          </w:tcPr>
          <w:p>
            <w:r/>
            <w:r>
              <w:rPr>
                <w:b w:val="0"/>
                <w:sz w:val="16"/>
              </w:rPr>
              <w:t>Near-100% valid where required</w:t>
            </w:r>
          </w:p>
        </w:tc>
        <w:tc>
          <w:tcPr>
            <w:tcW w:type="dxa" w:w="2520"/>
            <w:vAlign w:val="center"/>
          </w:tcPr>
          <w:p>
            <w:r/>
            <w:r>
              <w:rPr>
                <w:b w:val="0"/>
                <w:sz w:val="16"/>
              </w:rPr>
              <w:t>Quarantine orphan records</w:t>
            </w:r>
          </w:p>
        </w:tc>
      </w:tr>
      <w:tr>
        <w:tc>
          <w:tcPr>
            <w:tcW w:type="dxa" w:w="2520"/>
            <w:vAlign w:val="center"/>
          </w:tcPr>
          <w:p>
            <w:r/>
            <w:r>
              <w:rPr>
                <w:b w:val="0"/>
                <w:sz w:val="16"/>
              </w:rPr>
              <w:t>Temporal integrity</w:t>
            </w:r>
          </w:p>
        </w:tc>
        <w:tc>
          <w:tcPr>
            <w:tcW w:type="dxa" w:w="2520"/>
            <w:vAlign w:val="center"/>
          </w:tcPr>
          <w:p>
            <w:r/>
            <w:r>
              <w:rPr>
                <w:b w:val="0"/>
                <w:sz w:val="16"/>
              </w:rPr>
              <w:t>Order ≤ dispatch ≤ delivery</w:t>
            </w:r>
          </w:p>
        </w:tc>
        <w:tc>
          <w:tcPr>
            <w:tcW w:type="dxa" w:w="2520"/>
            <w:vAlign w:val="center"/>
          </w:tcPr>
          <w:p>
            <w:r/>
            <w:r>
              <w:rPr>
                <w:b w:val="0"/>
                <w:sz w:val="16"/>
              </w:rPr>
              <w:t>No impossible sequences</w:t>
            </w:r>
          </w:p>
        </w:tc>
        <w:tc>
          <w:tcPr>
            <w:tcW w:type="dxa" w:w="2520"/>
            <w:vAlign w:val="center"/>
          </w:tcPr>
          <w:p>
            <w:r/>
            <w:r>
              <w:rPr>
                <w:b w:val="0"/>
                <w:sz w:val="16"/>
              </w:rPr>
              <w:t>Investigate event definitions</w:t>
            </w:r>
          </w:p>
        </w:tc>
      </w:tr>
      <w:tr>
        <w:tc>
          <w:tcPr>
            <w:tcW w:type="dxa" w:w="2520"/>
            <w:vAlign w:val="center"/>
          </w:tcPr>
          <w:p>
            <w:r/>
            <w:r>
              <w:rPr>
                <w:b w:val="0"/>
                <w:sz w:val="16"/>
              </w:rPr>
              <w:t>Distribution check</w:t>
            </w:r>
          </w:p>
        </w:tc>
        <w:tc>
          <w:tcPr>
            <w:tcW w:type="dxa" w:w="2520"/>
            <w:vAlign w:val="center"/>
          </w:tcPr>
          <w:p>
            <w:r/>
            <w:r>
              <w:rPr>
                <w:b w:val="0"/>
                <w:sz w:val="16"/>
              </w:rPr>
              <w:t>Cycle time before vs after cleaning</w:t>
            </w:r>
          </w:p>
        </w:tc>
        <w:tc>
          <w:tcPr>
            <w:tcW w:type="dxa" w:w="2520"/>
            <w:vAlign w:val="center"/>
          </w:tcPr>
          <w:p>
            <w:r/>
            <w:r>
              <w:rPr>
                <w:b w:val="0"/>
                <w:sz w:val="16"/>
              </w:rPr>
              <w:t>Expected change; no unexplained distortion</w:t>
            </w:r>
          </w:p>
        </w:tc>
        <w:tc>
          <w:tcPr>
            <w:tcW w:type="dxa" w:w="2520"/>
            <w:vAlign w:val="center"/>
          </w:tcPr>
          <w:p>
            <w:r/>
            <w:r>
              <w:rPr>
                <w:b w:val="0"/>
                <w:sz w:val="16"/>
              </w:rPr>
              <w:t>Review outlier/missing-value treatment</w:t>
            </w:r>
          </w:p>
        </w:tc>
      </w:tr>
      <w:tr>
        <w:tc>
          <w:tcPr>
            <w:tcW w:type="dxa" w:w="2520"/>
            <w:vAlign w:val="center"/>
          </w:tcPr>
          <w:p>
            <w:r/>
            <w:r>
              <w:rPr>
                <w:b w:val="0"/>
                <w:sz w:val="16"/>
              </w:rPr>
              <w:t>Freshness</w:t>
            </w:r>
          </w:p>
        </w:tc>
        <w:tc>
          <w:tcPr>
            <w:tcW w:type="dxa" w:w="2520"/>
            <w:vAlign w:val="center"/>
          </w:tcPr>
          <w:p>
            <w:r/>
            <w:r>
              <w:rPr>
                <w:b w:val="0"/>
                <w:sz w:val="16"/>
              </w:rPr>
              <w:t>Latest event/extract timestamp</w:t>
            </w:r>
          </w:p>
        </w:tc>
        <w:tc>
          <w:tcPr>
            <w:tcW w:type="dxa" w:w="2520"/>
            <w:vAlign w:val="center"/>
          </w:tcPr>
          <w:p>
            <w:r/>
            <w:r>
              <w:rPr>
                <w:b w:val="0"/>
                <w:sz w:val="16"/>
              </w:rPr>
              <w:t>Within SLA</w:t>
            </w:r>
          </w:p>
        </w:tc>
        <w:tc>
          <w:tcPr>
            <w:tcW w:type="dxa" w:w="2520"/>
            <w:vAlign w:val="center"/>
          </w:tcPr>
          <w:p>
            <w:r/>
            <w:r>
              <w:rPr>
                <w:b w:val="0"/>
                <w:sz w:val="16"/>
              </w:rPr>
              <w:t>Hold publication or label stale data</w:t>
            </w:r>
          </w:p>
        </w:tc>
      </w:tr>
    </w:tbl>
    <w:p>
      <w:pPr>
        <w:pStyle w:val="Heading1"/>
      </w:pPr>
      <w:r>
        <w:t>9. Tools and Software Recommendations</w:t>
      </w:r>
    </w:p>
    <w:tbl>
      <w:tblPr>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shd w:fill="D9EAF7"/>
          </w:tcPr>
          <w:p>
            <w:r/>
            <w:r>
              <w:rPr>
                <w:b/>
                <w:sz w:val="16"/>
              </w:rPr>
              <w:t>Tool</w:t>
            </w:r>
          </w:p>
        </w:tc>
        <w:tc>
          <w:tcPr>
            <w:tcW w:type="dxa" w:w="2520"/>
            <w:vAlign w:val="center"/>
            <w:shd w:fill="D9EAF7"/>
          </w:tcPr>
          <w:p>
            <w:r/>
            <w:r>
              <w:rPr>
                <w:b/>
                <w:sz w:val="16"/>
              </w:rPr>
              <w:t>Best use</w:t>
            </w:r>
          </w:p>
        </w:tc>
        <w:tc>
          <w:tcPr>
            <w:tcW w:type="dxa" w:w="2520"/>
            <w:vAlign w:val="center"/>
            <w:shd w:fill="D9EAF7"/>
          </w:tcPr>
          <w:p>
            <w:r/>
            <w:r>
              <w:rPr>
                <w:b/>
                <w:sz w:val="16"/>
              </w:rPr>
              <w:t>Why recommended</w:t>
            </w:r>
          </w:p>
        </w:tc>
        <w:tc>
          <w:tcPr>
            <w:tcW w:type="dxa" w:w="2520"/>
            <w:vAlign w:val="center"/>
            <w:shd w:fill="D9EAF7"/>
          </w:tcPr>
          <w:p>
            <w:r/>
            <w:r>
              <w:rPr>
                <w:b/>
                <w:sz w:val="16"/>
              </w:rPr>
              <w:t>Limitation / control</w:t>
            </w:r>
          </w:p>
        </w:tc>
      </w:tr>
      <w:tr>
        <w:tc>
          <w:tcPr>
            <w:tcW w:type="dxa" w:w="2520"/>
            <w:vAlign w:val="center"/>
          </w:tcPr>
          <w:p>
            <w:r/>
            <w:r>
              <w:rPr>
                <w:b w:val="0"/>
                <w:sz w:val="15"/>
              </w:rPr>
              <w:t>SQL</w:t>
            </w:r>
          </w:p>
        </w:tc>
        <w:tc>
          <w:tcPr>
            <w:tcW w:type="dxa" w:w="2520"/>
            <w:vAlign w:val="center"/>
          </w:tcPr>
          <w:p>
            <w:r/>
            <w:r>
              <w:rPr>
                <w:b w:val="0"/>
                <w:sz w:val="15"/>
              </w:rPr>
              <w:t>Extraction, joins, profiling, reconciliation</w:t>
            </w:r>
          </w:p>
        </w:tc>
        <w:tc>
          <w:tcPr>
            <w:tcW w:type="dxa" w:w="2520"/>
            <w:vAlign w:val="center"/>
          </w:tcPr>
          <w:p>
            <w:r/>
            <w:r>
              <w:rPr>
                <w:b w:val="0"/>
                <w:sz w:val="15"/>
              </w:rPr>
              <w:t>Works close to source data; scalable and reproducible</w:t>
            </w:r>
          </w:p>
        </w:tc>
        <w:tc>
          <w:tcPr>
            <w:tcW w:type="dxa" w:w="2520"/>
            <w:vAlign w:val="center"/>
          </w:tcPr>
          <w:p>
            <w:r/>
            <w:r>
              <w:rPr>
                <w:b w:val="0"/>
                <w:sz w:val="15"/>
              </w:rPr>
              <w:t>Requires disciplined version control and testing</w:t>
            </w:r>
          </w:p>
        </w:tc>
      </w:tr>
      <w:tr>
        <w:tc>
          <w:tcPr>
            <w:tcW w:type="dxa" w:w="2520"/>
            <w:vAlign w:val="center"/>
          </w:tcPr>
          <w:p>
            <w:r/>
            <w:r>
              <w:rPr>
                <w:b w:val="0"/>
                <w:sz w:val="15"/>
              </w:rPr>
              <w:t>Python + pandas</w:t>
            </w:r>
          </w:p>
        </w:tc>
        <w:tc>
          <w:tcPr>
            <w:tcW w:type="dxa" w:w="2520"/>
            <w:vAlign w:val="center"/>
          </w:tcPr>
          <w:p>
            <w:r/>
            <w:r>
              <w:rPr>
                <w:b w:val="0"/>
                <w:sz w:val="15"/>
              </w:rPr>
              <w:t>Cleaning, profiling, statistics, automation</w:t>
            </w:r>
          </w:p>
        </w:tc>
        <w:tc>
          <w:tcPr>
            <w:tcW w:type="dxa" w:w="2520"/>
            <w:vAlign w:val="center"/>
          </w:tcPr>
          <w:p>
            <w:r/>
            <w:r>
              <w:rPr>
                <w:b w:val="0"/>
                <w:sz w:val="15"/>
              </w:rPr>
              <w:t>Flexible for complex transformations and QA reports</w:t>
            </w:r>
          </w:p>
        </w:tc>
        <w:tc>
          <w:tcPr>
            <w:tcW w:type="dxa" w:w="2520"/>
            <w:vAlign w:val="center"/>
          </w:tcPr>
          <w:p>
            <w:r/>
            <w:r>
              <w:rPr>
                <w:b w:val="0"/>
                <w:sz w:val="15"/>
              </w:rPr>
              <w:t>Large datasets may require SQL/Spark instead</w:t>
            </w:r>
          </w:p>
        </w:tc>
      </w:tr>
      <w:tr>
        <w:tc>
          <w:tcPr>
            <w:tcW w:type="dxa" w:w="2520"/>
            <w:vAlign w:val="center"/>
          </w:tcPr>
          <w:p>
            <w:r/>
            <w:r>
              <w:rPr>
                <w:b w:val="0"/>
                <w:sz w:val="15"/>
              </w:rPr>
              <w:t>Power Query</w:t>
            </w:r>
          </w:p>
        </w:tc>
        <w:tc>
          <w:tcPr>
            <w:tcW w:type="dxa" w:w="2520"/>
            <w:vAlign w:val="center"/>
          </w:tcPr>
          <w:p>
            <w:r/>
            <w:r>
              <w:rPr>
                <w:b w:val="0"/>
                <w:sz w:val="15"/>
              </w:rPr>
              <w:t>Spreadsheet/Power BI ingestion and repeatable transformations</w:t>
            </w:r>
          </w:p>
        </w:tc>
        <w:tc>
          <w:tcPr>
            <w:tcW w:type="dxa" w:w="2520"/>
            <w:vAlign w:val="center"/>
          </w:tcPr>
          <w:p>
            <w:r/>
            <w:r>
              <w:rPr>
                <w:b w:val="0"/>
                <w:sz w:val="15"/>
              </w:rPr>
              <w:t>Accessible to analysts and supports repeatable ETL</w:t>
            </w:r>
          </w:p>
        </w:tc>
        <w:tc>
          <w:tcPr>
            <w:tcW w:type="dxa" w:w="2520"/>
            <w:vAlign w:val="center"/>
          </w:tcPr>
          <w:p>
            <w:r/>
            <w:r>
              <w:rPr>
                <w:b w:val="0"/>
                <w:sz w:val="15"/>
              </w:rPr>
              <w:t>Complex pipelines need stronger engineering controls</w:t>
            </w:r>
          </w:p>
        </w:tc>
      </w:tr>
      <w:tr>
        <w:tc>
          <w:tcPr>
            <w:tcW w:type="dxa" w:w="2520"/>
            <w:vAlign w:val="center"/>
          </w:tcPr>
          <w:p>
            <w:r/>
            <w:r>
              <w:rPr>
                <w:b w:val="0"/>
                <w:sz w:val="15"/>
              </w:rPr>
              <w:t>Power BI</w:t>
            </w:r>
          </w:p>
        </w:tc>
        <w:tc>
          <w:tcPr>
            <w:tcW w:type="dxa" w:w="2520"/>
            <w:vAlign w:val="center"/>
          </w:tcPr>
          <w:p>
            <w:r/>
            <w:r>
              <w:rPr>
                <w:b w:val="0"/>
                <w:sz w:val="15"/>
              </w:rPr>
              <w:t>Data-quality dashboards and business reporting</w:t>
            </w:r>
          </w:p>
        </w:tc>
        <w:tc>
          <w:tcPr>
            <w:tcW w:type="dxa" w:w="2520"/>
            <w:vAlign w:val="center"/>
          </w:tcPr>
          <w:p>
            <w:r/>
            <w:r>
              <w:rPr>
                <w:b w:val="0"/>
                <w:sz w:val="15"/>
              </w:rPr>
              <w:t>Useful for monitoring freshness, exceptions and KPIs</w:t>
            </w:r>
          </w:p>
        </w:tc>
        <w:tc>
          <w:tcPr>
            <w:tcW w:type="dxa" w:w="2520"/>
            <w:vAlign w:val="center"/>
          </w:tcPr>
          <w:p>
            <w:r/>
            <w:r>
              <w:rPr>
                <w:b w:val="0"/>
                <w:sz w:val="15"/>
              </w:rPr>
              <w:t>Not a replacement for source-level validation</w:t>
            </w:r>
          </w:p>
        </w:tc>
      </w:tr>
      <w:tr>
        <w:tc>
          <w:tcPr>
            <w:tcW w:type="dxa" w:w="2520"/>
            <w:vAlign w:val="center"/>
          </w:tcPr>
          <w:p>
            <w:r/>
            <w:r>
              <w:rPr>
                <w:b w:val="0"/>
                <w:sz w:val="15"/>
              </w:rPr>
              <w:t>Excel</w:t>
            </w:r>
          </w:p>
        </w:tc>
        <w:tc>
          <w:tcPr>
            <w:tcW w:type="dxa" w:w="2520"/>
            <w:vAlign w:val="center"/>
          </w:tcPr>
          <w:p>
            <w:r/>
            <w:r>
              <w:rPr>
                <w:b w:val="0"/>
                <w:sz w:val="15"/>
              </w:rPr>
              <w:t>Small-scale validation/reconciliation</w:t>
            </w:r>
          </w:p>
        </w:tc>
        <w:tc>
          <w:tcPr>
            <w:tcW w:type="dxa" w:w="2520"/>
            <w:vAlign w:val="center"/>
          </w:tcPr>
          <w:p>
            <w:r/>
            <w:r>
              <w:rPr>
                <w:b w:val="0"/>
                <w:sz w:val="15"/>
              </w:rPr>
              <w:t>Fast for manual review and stakeholder checks</w:t>
            </w:r>
          </w:p>
        </w:tc>
        <w:tc>
          <w:tcPr>
            <w:tcW w:type="dxa" w:w="2520"/>
            <w:vAlign w:val="center"/>
          </w:tcPr>
          <w:p>
            <w:r/>
            <w:r>
              <w:rPr>
                <w:b w:val="0"/>
                <w:sz w:val="15"/>
              </w:rPr>
              <w:t>High risk of manual errors at scale</w:t>
            </w:r>
          </w:p>
        </w:tc>
      </w:tr>
      <w:tr>
        <w:tc>
          <w:tcPr>
            <w:tcW w:type="dxa" w:w="2520"/>
            <w:vAlign w:val="center"/>
          </w:tcPr>
          <w:p>
            <w:r/>
            <w:r>
              <w:rPr>
                <w:b w:val="0"/>
                <w:sz w:val="15"/>
              </w:rPr>
              <w:t>Git</w:t>
            </w:r>
          </w:p>
        </w:tc>
        <w:tc>
          <w:tcPr>
            <w:tcW w:type="dxa" w:w="2520"/>
            <w:vAlign w:val="center"/>
          </w:tcPr>
          <w:p>
            <w:r/>
            <w:r>
              <w:rPr>
                <w:b w:val="0"/>
                <w:sz w:val="15"/>
              </w:rPr>
              <w:t>Version control for SQL/scripts/data dictionaries</w:t>
            </w:r>
          </w:p>
        </w:tc>
        <w:tc>
          <w:tcPr>
            <w:tcW w:type="dxa" w:w="2520"/>
            <w:vAlign w:val="center"/>
          </w:tcPr>
          <w:p>
            <w:r/>
            <w:r>
              <w:rPr>
                <w:b w:val="0"/>
                <w:sz w:val="15"/>
              </w:rPr>
              <w:t>Provides change history and reproducibility</w:t>
            </w:r>
          </w:p>
        </w:tc>
        <w:tc>
          <w:tcPr>
            <w:tcW w:type="dxa" w:w="2520"/>
            <w:vAlign w:val="center"/>
          </w:tcPr>
          <w:p>
            <w:r/>
            <w:r>
              <w:rPr>
                <w:b w:val="0"/>
                <w:sz w:val="15"/>
              </w:rPr>
              <w:t>Requires process discipline</w:t>
            </w:r>
          </w:p>
        </w:tc>
      </w:tr>
      <w:tr>
        <w:tc>
          <w:tcPr>
            <w:tcW w:type="dxa" w:w="2520"/>
            <w:vAlign w:val="center"/>
          </w:tcPr>
          <w:p>
            <w:r/>
            <w:r>
              <w:rPr>
                <w:b w:val="0"/>
                <w:sz w:val="15"/>
              </w:rPr>
              <w:t>Cloud warehouse/lakehouse</w:t>
            </w:r>
          </w:p>
        </w:tc>
        <w:tc>
          <w:tcPr>
            <w:tcW w:type="dxa" w:w="2520"/>
            <w:vAlign w:val="center"/>
          </w:tcPr>
          <w:p>
            <w:r/>
            <w:r>
              <w:rPr>
                <w:b w:val="0"/>
                <w:sz w:val="15"/>
              </w:rPr>
              <w:t>Central analytical storage</w:t>
            </w:r>
          </w:p>
        </w:tc>
        <w:tc>
          <w:tcPr>
            <w:tcW w:type="dxa" w:w="2520"/>
            <w:vAlign w:val="center"/>
          </w:tcPr>
          <w:p>
            <w:r/>
            <w:r>
              <w:rPr>
                <w:b w:val="0"/>
                <w:sz w:val="15"/>
              </w:rPr>
              <w:t>Supports scalable multi-source pipelines</w:t>
            </w:r>
          </w:p>
        </w:tc>
        <w:tc>
          <w:tcPr>
            <w:tcW w:type="dxa" w:w="2520"/>
            <w:vAlign w:val="center"/>
          </w:tcPr>
          <w:p>
            <w:r/>
            <w:r>
              <w:rPr>
                <w:b w:val="0"/>
                <w:sz w:val="15"/>
              </w:rPr>
              <w:t>Requires governance and access controls</w:t>
            </w:r>
          </w:p>
        </w:tc>
      </w:tr>
    </w:tbl>
    <w:p>
      <w:r>
        <w:t>Power Query is appropriate for repeatable analyst-level ingestion and transformation in Excel/Power BI. For production-scale pipelines, it should complement rather than replace SQL/Python-based testing, source control and data engineering governance.</w:t>
      </w:r>
    </w:p>
    <w:p>
      <w:pPr>
        <w:pStyle w:val="Heading1"/>
      </w:pPr>
      <w:r>
        <w:t>10. Data Lineage, Documentation and Governance</w:t>
      </w:r>
    </w:p>
    <w:p>
      <w:pPr>
        <w:pStyle w:val="ListBullet"/>
        <w:spacing w:after="60"/>
      </w:pPr>
      <w:r>
        <w:t>Maintain a data dictionary with field name, definition, source, type, allowed values, owner and sensitivity classification.</w:t>
      </w:r>
    </w:p>
    <w:p>
      <w:pPr>
        <w:pStyle w:val="ListBullet"/>
        <w:spacing w:after="60"/>
      </w:pPr>
      <w:r>
        <w:t>Maintain a transformation log describing every material cleaning rule.</w:t>
      </w:r>
    </w:p>
    <w:p>
      <w:pPr>
        <w:pStyle w:val="ListBullet"/>
        <w:spacing w:after="60"/>
      </w:pPr>
      <w:r>
        <w:t>Record batch/extraction IDs and processing timestamps.</w:t>
      </w:r>
    </w:p>
    <w:p>
      <w:pPr>
        <w:pStyle w:val="ListBullet"/>
        <w:spacing w:after="60"/>
      </w:pPr>
      <w:r>
        <w:t>Document source-of-truth hierarchy when systems disagree.</w:t>
      </w:r>
    </w:p>
    <w:p>
      <w:pPr>
        <w:pStyle w:val="ListBullet"/>
        <w:spacing w:after="60"/>
      </w:pPr>
      <w:r>
        <w:t>Maintain a quarantine table for records rejected by quality rules.</w:t>
      </w:r>
    </w:p>
    <w:p>
      <w:pPr>
        <w:pStyle w:val="ListBullet"/>
        <w:spacing w:after="60"/>
      </w:pPr>
      <w:r>
        <w:t>Track quality metrics by batch so deterioration is visible over time.</w:t>
      </w:r>
    </w:p>
    <w:p>
      <w:pPr>
        <w:pStyle w:val="ListBullet"/>
        <w:spacing w:after="60"/>
      </w:pPr>
      <w:r>
        <w:t>Version schemas and mappings when source systems change.</w:t>
      </w:r>
    </w:p>
    <w:p>
      <w:pPr>
        <w:pStyle w:val="ListBullet"/>
        <w:spacing w:after="60"/>
      </w:pPr>
      <w:r>
        <w:t>Separate business-rule corrections from statistical transformations.</w:t>
      </w:r>
    </w:p>
    <w:tbl>
      <w:tblPr>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shd w:fill="D9EAF7"/>
          </w:tcPr>
          <w:p>
            <w:r/>
            <w:r>
              <w:rPr>
                <w:b/>
                <w:sz w:val="17"/>
              </w:rPr>
              <w:t>Artifact</w:t>
            </w:r>
          </w:p>
        </w:tc>
        <w:tc>
          <w:tcPr>
            <w:tcW w:type="dxa" w:w="2520"/>
            <w:vAlign w:val="center"/>
            <w:shd w:fill="D9EAF7"/>
          </w:tcPr>
          <w:p>
            <w:r/>
            <w:r>
              <w:rPr>
                <w:b/>
                <w:sz w:val="17"/>
              </w:rPr>
              <w:t>Owner</w:t>
            </w:r>
          </w:p>
        </w:tc>
        <w:tc>
          <w:tcPr>
            <w:tcW w:type="dxa" w:w="2520"/>
            <w:vAlign w:val="center"/>
            <w:shd w:fill="D9EAF7"/>
          </w:tcPr>
          <w:p>
            <w:r/>
            <w:r>
              <w:rPr>
                <w:b/>
                <w:sz w:val="17"/>
              </w:rPr>
              <w:t>Update trigger</w:t>
            </w:r>
          </w:p>
        </w:tc>
        <w:tc>
          <w:tcPr>
            <w:tcW w:type="dxa" w:w="2520"/>
            <w:vAlign w:val="center"/>
            <w:shd w:fill="D9EAF7"/>
          </w:tcPr>
          <w:p>
            <w:r/>
            <w:r>
              <w:rPr>
                <w:b/>
                <w:sz w:val="17"/>
              </w:rPr>
              <w:t>Purpose</w:t>
            </w:r>
          </w:p>
        </w:tc>
      </w:tr>
      <w:tr>
        <w:tc>
          <w:tcPr>
            <w:tcW w:type="dxa" w:w="2520"/>
            <w:vAlign w:val="center"/>
          </w:tcPr>
          <w:p>
            <w:r/>
            <w:r>
              <w:rPr>
                <w:b w:val="0"/>
                <w:sz w:val="16"/>
              </w:rPr>
              <w:t>Data dictionary</w:t>
            </w:r>
          </w:p>
        </w:tc>
        <w:tc>
          <w:tcPr>
            <w:tcW w:type="dxa" w:w="2520"/>
            <w:vAlign w:val="center"/>
          </w:tcPr>
          <w:p>
            <w:r/>
            <w:r>
              <w:rPr>
                <w:b w:val="0"/>
                <w:sz w:val="16"/>
              </w:rPr>
              <w:t>Analyst/data owner</w:t>
            </w:r>
          </w:p>
        </w:tc>
        <w:tc>
          <w:tcPr>
            <w:tcW w:type="dxa" w:w="2520"/>
            <w:vAlign w:val="center"/>
          </w:tcPr>
          <w:p>
            <w:r/>
            <w:r>
              <w:rPr>
                <w:b w:val="0"/>
                <w:sz w:val="16"/>
              </w:rPr>
              <w:t>New/changed field</w:t>
            </w:r>
          </w:p>
        </w:tc>
        <w:tc>
          <w:tcPr>
            <w:tcW w:type="dxa" w:w="2520"/>
            <w:vAlign w:val="center"/>
          </w:tcPr>
          <w:p>
            <w:r/>
            <w:r>
              <w:rPr>
                <w:b w:val="0"/>
                <w:sz w:val="16"/>
              </w:rPr>
              <w:t>Shared meaning</w:t>
            </w:r>
          </w:p>
        </w:tc>
      </w:tr>
      <w:tr>
        <w:tc>
          <w:tcPr>
            <w:tcW w:type="dxa" w:w="2520"/>
            <w:vAlign w:val="center"/>
          </w:tcPr>
          <w:p>
            <w:r/>
            <w:r>
              <w:rPr>
                <w:b w:val="0"/>
                <w:sz w:val="16"/>
              </w:rPr>
              <w:t>Source inventory</w:t>
            </w:r>
          </w:p>
        </w:tc>
        <w:tc>
          <w:tcPr>
            <w:tcW w:type="dxa" w:w="2520"/>
            <w:vAlign w:val="center"/>
          </w:tcPr>
          <w:p>
            <w:r/>
            <w:r>
              <w:rPr>
                <w:b w:val="0"/>
                <w:sz w:val="16"/>
              </w:rPr>
              <w:t>Analyst</w:t>
            </w:r>
          </w:p>
        </w:tc>
        <w:tc>
          <w:tcPr>
            <w:tcW w:type="dxa" w:w="2520"/>
            <w:vAlign w:val="center"/>
          </w:tcPr>
          <w:p>
            <w:r/>
            <w:r>
              <w:rPr>
                <w:b w:val="0"/>
                <w:sz w:val="16"/>
              </w:rPr>
              <w:t>New source or system change</w:t>
            </w:r>
          </w:p>
        </w:tc>
        <w:tc>
          <w:tcPr>
            <w:tcW w:type="dxa" w:w="2520"/>
            <w:vAlign w:val="center"/>
          </w:tcPr>
          <w:p>
            <w:r/>
            <w:r>
              <w:rPr>
                <w:b w:val="0"/>
                <w:sz w:val="16"/>
              </w:rPr>
              <w:t>Collection control</w:t>
            </w:r>
          </w:p>
        </w:tc>
      </w:tr>
      <w:tr>
        <w:tc>
          <w:tcPr>
            <w:tcW w:type="dxa" w:w="2520"/>
            <w:vAlign w:val="center"/>
          </w:tcPr>
          <w:p>
            <w:r/>
            <w:r>
              <w:rPr>
                <w:b w:val="0"/>
                <w:sz w:val="16"/>
              </w:rPr>
              <w:t>Transformation log</w:t>
            </w:r>
          </w:p>
        </w:tc>
        <w:tc>
          <w:tcPr>
            <w:tcW w:type="dxa" w:w="2520"/>
            <w:vAlign w:val="center"/>
          </w:tcPr>
          <w:p>
            <w:r/>
            <w:r>
              <w:rPr>
                <w:b w:val="0"/>
                <w:sz w:val="16"/>
              </w:rPr>
              <w:t>Analyst</w:t>
            </w:r>
          </w:p>
        </w:tc>
        <w:tc>
          <w:tcPr>
            <w:tcW w:type="dxa" w:w="2520"/>
            <w:vAlign w:val="center"/>
          </w:tcPr>
          <w:p>
            <w:r/>
            <w:r>
              <w:rPr>
                <w:b w:val="0"/>
                <w:sz w:val="16"/>
              </w:rPr>
              <w:t>Any rule change</w:t>
            </w:r>
          </w:p>
        </w:tc>
        <w:tc>
          <w:tcPr>
            <w:tcW w:type="dxa" w:w="2520"/>
            <w:vAlign w:val="center"/>
          </w:tcPr>
          <w:p>
            <w:r/>
            <w:r>
              <w:rPr>
                <w:b w:val="0"/>
                <w:sz w:val="16"/>
              </w:rPr>
              <w:t>Reproducibility</w:t>
            </w:r>
          </w:p>
        </w:tc>
      </w:tr>
      <w:tr>
        <w:tc>
          <w:tcPr>
            <w:tcW w:type="dxa" w:w="2520"/>
            <w:vAlign w:val="center"/>
          </w:tcPr>
          <w:p>
            <w:r/>
            <w:r>
              <w:rPr>
                <w:b w:val="0"/>
                <w:sz w:val="16"/>
              </w:rPr>
              <w:t>Quality report</w:t>
            </w:r>
          </w:p>
        </w:tc>
        <w:tc>
          <w:tcPr>
            <w:tcW w:type="dxa" w:w="2520"/>
            <w:vAlign w:val="center"/>
          </w:tcPr>
          <w:p>
            <w:r/>
            <w:r>
              <w:rPr>
                <w:b w:val="0"/>
                <w:sz w:val="16"/>
              </w:rPr>
              <w:t>Analyst</w:t>
            </w:r>
          </w:p>
        </w:tc>
        <w:tc>
          <w:tcPr>
            <w:tcW w:type="dxa" w:w="2520"/>
            <w:vAlign w:val="center"/>
          </w:tcPr>
          <w:p>
            <w:r/>
            <w:r>
              <w:rPr>
                <w:b w:val="0"/>
                <w:sz w:val="16"/>
              </w:rPr>
              <w:t>Each batch</w:t>
            </w:r>
          </w:p>
        </w:tc>
        <w:tc>
          <w:tcPr>
            <w:tcW w:type="dxa" w:w="2520"/>
            <w:vAlign w:val="center"/>
          </w:tcPr>
          <w:p>
            <w:r/>
            <w:r>
              <w:rPr>
                <w:b w:val="0"/>
                <w:sz w:val="16"/>
              </w:rPr>
              <w:t>Publication decision</w:t>
            </w:r>
          </w:p>
        </w:tc>
      </w:tr>
      <w:tr>
        <w:tc>
          <w:tcPr>
            <w:tcW w:type="dxa" w:w="2520"/>
            <w:vAlign w:val="center"/>
          </w:tcPr>
          <w:p>
            <w:r/>
            <w:r>
              <w:rPr>
                <w:b w:val="0"/>
                <w:sz w:val="16"/>
              </w:rPr>
              <w:t>Quarantine log</w:t>
            </w:r>
          </w:p>
        </w:tc>
        <w:tc>
          <w:tcPr>
            <w:tcW w:type="dxa" w:w="2520"/>
            <w:vAlign w:val="center"/>
          </w:tcPr>
          <w:p>
            <w:r/>
            <w:r>
              <w:rPr>
                <w:b w:val="0"/>
                <w:sz w:val="16"/>
              </w:rPr>
              <w:t>Analyst/system</w:t>
            </w:r>
          </w:p>
        </w:tc>
        <w:tc>
          <w:tcPr>
            <w:tcW w:type="dxa" w:w="2520"/>
            <w:vAlign w:val="center"/>
          </w:tcPr>
          <w:p>
            <w:r/>
            <w:r>
              <w:rPr>
                <w:b w:val="0"/>
                <w:sz w:val="16"/>
              </w:rPr>
              <w:t>Rejected records</w:t>
            </w:r>
          </w:p>
        </w:tc>
        <w:tc>
          <w:tcPr>
            <w:tcW w:type="dxa" w:w="2520"/>
            <w:vAlign w:val="center"/>
          </w:tcPr>
          <w:p>
            <w:r/>
            <w:r>
              <w:rPr>
                <w:b w:val="0"/>
                <w:sz w:val="16"/>
              </w:rPr>
              <w:t>Remediation tracking</w:t>
            </w:r>
          </w:p>
        </w:tc>
      </w:tr>
      <w:tr>
        <w:tc>
          <w:tcPr>
            <w:tcW w:type="dxa" w:w="2520"/>
            <w:vAlign w:val="center"/>
          </w:tcPr>
          <w:p>
            <w:r/>
            <w:r>
              <w:rPr>
                <w:b w:val="0"/>
                <w:sz w:val="16"/>
              </w:rPr>
              <w:t>Master-data mapping</w:t>
            </w:r>
          </w:p>
        </w:tc>
        <w:tc>
          <w:tcPr>
            <w:tcW w:type="dxa" w:w="2520"/>
            <w:vAlign w:val="center"/>
          </w:tcPr>
          <w:p>
            <w:r/>
            <w:r>
              <w:rPr>
                <w:b w:val="0"/>
                <w:sz w:val="16"/>
              </w:rPr>
              <w:t>Data owner</w:t>
            </w:r>
          </w:p>
        </w:tc>
        <w:tc>
          <w:tcPr>
            <w:tcW w:type="dxa" w:w="2520"/>
            <w:vAlign w:val="center"/>
          </w:tcPr>
          <w:p>
            <w:r/>
            <w:r>
              <w:rPr>
                <w:b w:val="0"/>
                <w:sz w:val="16"/>
              </w:rPr>
              <w:t>New/changed code</w:t>
            </w:r>
          </w:p>
        </w:tc>
        <w:tc>
          <w:tcPr>
            <w:tcW w:type="dxa" w:w="2520"/>
            <w:vAlign w:val="center"/>
          </w:tcPr>
          <w:p>
            <w:r/>
            <w:r>
              <w:rPr>
                <w:b w:val="0"/>
                <w:sz w:val="16"/>
              </w:rPr>
              <w:t>Cross-system consistency</w:t>
            </w:r>
          </w:p>
        </w:tc>
      </w:tr>
    </w:tbl>
    <w:p>
      <w:pPr>
        <w:pStyle w:val="Heading1"/>
      </w:pPr>
      <w:r>
        <w:t>11. 34-Hour Week 2 Work Plan</w:t>
      </w:r>
    </w:p>
    <w:tbl>
      <w:tblPr>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D9EAF7"/>
          </w:tcPr>
          <w:p>
            <w:r/>
            <w:r>
              <w:rPr>
                <w:b/>
                <w:sz w:val="17"/>
              </w:rPr>
              <w:t>Activity</w:t>
            </w:r>
          </w:p>
        </w:tc>
        <w:tc>
          <w:tcPr>
            <w:tcW w:type="dxa" w:w="3360"/>
            <w:vAlign w:val="center"/>
            <w:shd w:fill="D9EAF7"/>
          </w:tcPr>
          <w:p>
            <w:r/>
            <w:r>
              <w:rPr>
                <w:b/>
                <w:sz w:val="17"/>
              </w:rPr>
              <w:t>Hours</w:t>
            </w:r>
          </w:p>
        </w:tc>
        <w:tc>
          <w:tcPr>
            <w:tcW w:type="dxa" w:w="3360"/>
            <w:vAlign w:val="center"/>
            <w:shd w:fill="D9EAF7"/>
          </w:tcPr>
          <w:p>
            <w:r/>
            <w:r>
              <w:rPr>
                <w:b/>
                <w:sz w:val="17"/>
              </w:rPr>
              <w:t>Milestone</w:t>
            </w:r>
          </w:p>
        </w:tc>
      </w:tr>
      <w:tr>
        <w:tc>
          <w:tcPr>
            <w:tcW w:type="dxa" w:w="3360"/>
            <w:vAlign w:val="center"/>
          </w:tcPr>
          <w:p>
            <w:r/>
            <w:r>
              <w:rPr>
                <w:b w:val="0"/>
                <w:sz w:val="16"/>
              </w:rPr>
              <w:t>Research logistics data standards and collection practices</w:t>
            </w:r>
          </w:p>
        </w:tc>
        <w:tc>
          <w:tcPr>
            <w:tcW w:type="dxa" w:w="3360"/>
            <w:vAlign w:val="center"/>
          </w:tcPr>
          <w:p>
            <w:r/>
            <w:r>
              <w:rPr>
                <w:b w:val="0"/>
                <w:sz w:val="16"/>
              </w:rPr>
              <w:t>5</w:t>
            </w:r>
          </w:p>
        </w:tc>
        <w:tc>
          <w:tcPr>
            <w:tcW w:type="dxa" w:w="3360"/>
            <w:vAlign w:val="center"/>
          </w:tcPr>
          <w:p>
            <w:r/>
            <w:r>
              <w:rPr>
                <w:b w:val="0"/>
                <w:sz w:val="16"/>
              </w:rPr>
              <w:t>Research notes + source list</w:t>
            </w:r>
          </w:p>
        </w:tc>
      </w:tr>
      <w:tr>
        <w:tc>
          <w:tcPr>
            <w:tcW w:type="dxa" w:w="3360"/>
            <w:vAlign w:val="center"/>
          </w:tcPr>
          <w:p>
            <w:r/>
            <w:r>
              <w:rPr>
                <w:b w:val="0"/>
                <w:sz w:val="16"/>
              </w:rPr>
              <w:t>Define data requirements and source-to-field mapping</w:t>
            </w:r>
          </w:p>
        </w:tc>
        <w:tc>
          <w:tcPr>
            <w:tcW w:type="dxa" w:w="3360"/>
            <w:vAlign w:val="center"/>
          </w:tcPr>
          <w:p>
            <w:r/>
            <w:r>
              <w:rPr>
                <w:b w:val="0"/>
                <w:sz w:val="16"/>
              </w:rPr>
              <w:t>5</w:t>
            </w:r>
          </w:p>
        </w:tc>
        <w:tc>
          <w:tcPr>
            <w:tcW w:type="dxa" w:w="3360"/>
            <w:vAlign w:val="center"/>
          </w:tcPr>
          <w:p>
            <w:r/>
            <w:r>
              <w:rPr>
                <w:b w:val="0"/>
                <w:sz w:val="16"/>
              </w:rPr>
              <w:t>DRS and source inventory</w:t>
            </w:r>
          </w:p>
        </w:tc>
      </w:tr>
      <w:tr>
        <w:tc>
          <w:tcPr>
            <w:tcW w:type="dxa" w:w="3360"/>
            <w:vAlign w:val="center"/>
          </w:tcPr>
          <w:p>
            <w:r/>
            <w:r>
              <w:rPr>
                <w:b w:val="0"/>
                <w:sz w:val="16"/>
              </w:rPr>
              <w:t>Design raw/staging/validated/curated architecture</w:t>
            </w:r>
          </w:p>
        </w:tc>
        <w:tc>
          <w:tcPr>
            <w:tcW w:type="dxa" w:w="3360"/>
            <w:vAlign w:val="center"/>
          </w:tcPr>
          <w:p>
            <w:r/>
            <w:r>
              <w:rPr>
                <w:b w:val="0"/>
                <w:sz w:val="16"/>
              </w:rPr>
              <w:t>4</w:t>
            </w:r>
          </w:p>
        </w:tc>
        <w:tc>
          <w:tcPr>
            <w:tcW w:type="dxa" w:w="3360"/>
            <w:vAlign w:val="center"/>
          </w:tcPr>
          <w:p>
            <w:r/>
            <w:r>
              <w:rPr>
                <w:b w:val="0"/>
                <w:sz w:val="16"/>
              </w:rPr>
              <w:t>Layer design</w:t>
            </w:r>
          </w:p>
        </w:tc>
      </w:tr>
      <w:tr>
        <w:tc>
          <w:tcPr>
            <w:tcW w:type="dxa" w:w="3360"/>
            <w:vAlign w:val="center"/>
          </w:tcPr>
          <w:p>
            <w:r/>
            <w:r>
              <w:rPr>
                <w:b w:val="0"/>
                <w:sz w:val="16"/>
              </w:rPr>
              <w:t>Develop cleaning and missing-value framework</w:t>
            </w:r>
          </w:p>
        </w:tc>
        <w:tc>
          <w:tcPr>
            <w:tcW w:type="dxa" w:w="3360"/>
            <w:vAlign w:val="center"/>
          </w:tcPr>
          <w:p>
            <w:r/>
            <w:r>
              <w:rPr>
                <w:b w:val="0"/>
                <w:sz w:val="16"/>
              </w:rPr>
              <w:t>4</w:t>
            </w:r>
          </w:p>
        </w:tc>
        <w:tc>
          <w:tcPr>
            <w:tcW w:type="dxa" w:w="3360"/>
            <w:vAlign w:val="center"/>
          </w:tcPr>
          <w:p>
            <w:r/>
            <w:r>
              <w:rPr>
                <w:b w:val="0"/>
                <w:sz w:val="16"/>
              </w:rPr>
              <w:t>Cleaning decision matrix</w:t>
            </w:r>
          </w:p>
        </w:tc>
      </w:tr>
      <w:tr>
        <w:tc>
          <w:tcPr>
            <w:tcW w:type="dxa" w:w="3360"/>
            <w:vAlign w:val="center"/>
          </w:tcPr>
          <w:p>
            <w:r/>
            <w:r>
              <w:rPr>
                <w:b w:val="0"/>
                <w:sz w:val="16"/>
              </w:rPr>
              <w:t>Develop outlier, duplicate and normalization rules</w:t>
            </w:r>
          </w:p>
        </w:tc>
        <w:tc>
          <w:tcPr>
            <w:tcW w:type="dxa" w:w="3360"/>
            <w:vAlign w:val="center"/>
          </w:tcPr>
          <w:p>
            <w:r/>
            <w:r>
              <w:rPr>
                <w:b w:val="0"/>
                <w:sz w:val="16"/>
              </w:rPr>
              <w:t>4</w:t>
            </w:r>
          </w:p>
        </w:tc>
        <w:tc>
          <w:tcPr>
            <w:tcW w:type="dxa" w:w="3360"/>
            <w:vAlign w:val="center"/>
          </w:tcPr>
          <w:p>
            <w:r/>
            <w:r>
              <w:rPr>
                <w:b w:val="0"/>
                <w:sz w:val="16"/>
              </w:rPr>
              <w:t>Preprocessing rulebook</w:t>
            </w:r>
          </w:p>
        </w:tc>
      </w:tr>
      <w:tr>
        <w:tc>
          <w:tcPr>
            <w:tcW w:type="dxa" w:w="3360"/>
            <w:vAlign w:val="center"/>
          </w:tcPr>
          <w:p>
            <w:r/>
            <w:r>
              <w:rPr>
                <w:b w:val="0"/>
                <w:sz w:val="16"/>
              </w:rPr>
              <w:t>Design data-quality checks and contingencies</w:t>
            </w:r>
          </w:p>
        </w:tc>
        <w:tc>
          <w:tcPr>
            <w:tcW w:type="dxa" w:w="3360"/>
            <w:vAlign w:val="center"/>
          </w:tcPr>
          <w:p>
            <w:r/>
            <w:r>
              <w:rPr>
                <w:b w:val="0"/>
                <w:sz w:val="16"/>
              </w:rPr>
              <w:t>4</w:t>
            </w:r>
          </w:p>
        </w:tc>
        <w:tc>
          <w:tcPr>
            <w:tcW w:type="dxa" w:w="3360"/>
            <w:vAlign w:val="center"/>
          </w:tcPr>
          <w:p>
            <w:r/>
            <w:r>
              <w:rPr>
                <w:b w:val="0"/>
                <w:sz w:val="16"/>
              </w:rPr>
              <w:t>DQ control matrix</w:t>
            </w:r>
          </w:p>
        </w:tc>
      </w:tr>
      <w:tr>
        <w:tc>
          <w:tcPr>
            <w:tcW w:type="dxa" w:w="3360"/>
            <w:vAlign w:val="center"/>
          </w:tcPr>
          <w:p>
            <w:r/>
            <w:r>
              <w:rPr>
                <w:b w:val="0"/>
                <w:sz w:val="16"/>
              </w:rPr>
              <w:t>Design visuals and process documentation</w:t>
            </w:r>
          </w:p>
        </w:tc>
        <w:tc>
          <w:tcPr>
            <w:tcW w:type="dxa" w:w="3360"/>
            <w:vAlign w:val="center"/>
          </w:tcPr>
          <w:p>
            <w:r/>
            <w:r>
              <w:rPr>
                <w:b w:val="0"/>
                <w:sz w:val="16"/>
              </w:rPr>
              <w:t>3</w:t>
            </w:r>
          </w:p>
        </w:tc>
        <w:tc>
          <w:tcPr>
            <w:tcW w:type="dxa" w:w="3360"/>
            <w:vAlign w:val="center"/>
          </w:tcPr>
          <w:p>
            <w:r/>
            <w:r>
              <w:rPr>
                <w:b w:val="0"/>
                <w:sz w:val="16"/>
              </w:rPr>
              <w:t>Flowcharts + process map</w:t>
            </w:r>
          </w:p>
        </w:tc>
      </w:tr>
      <w:tr>
        <w:tc>
          <w:tcPr>
            <w:tcW w:type="dxa" w:w="3360"/>
            <w:vAlign w:val="center"/>
          </w:tcPr>
          <w:p>
            <w:r/>
            <w:r>
              <w:rPr>
                <w:b w:val="0"/>
                <w:sz w:val="16"/>
              </w:rPr>
              <w:t>Draft, review and final QA</w:t>
            </w:r>
          </w:p>
        </w:tc>
        <w:tc>
          <w:tcPr>
            <w:tcW w:type="dxa" w:w="3360"/>
            <w:vAlign w:val="center"/>
          </w:tcPr>
          <w:p>
            <w:r/>
            <w:r>
              <w:rPr>
                <w:b w:val="0"/>
                <w:sz w:val="16"/>
              </w:rPr>
              <w:t>5</w:t>
            </w:r>
          </w:p>
        </w:tc>
        <w:tc>
          <w:tcPr>
            <w:tcW w:type="dxa" w:w="3360"/>
            <w:vAlign w:val="center"/>
          </w:tcPr>
          <w:p>
            <w:r/>
            <w:r>
              <w:rPr>
                <w:b w:val="0"/>
                <w:sz w:val="16"/>
              </w:rPr>
              <w:t>Submission-ready DOC</w:t>
            </w:r>
          </w:p>
        </w:tc>
      </w:tr>
      <w:tr>
        <w:tc>
          <w:tcPr>
            <w:tcW w:type="dxa" w:w="3360"/>
            <w:vAlign w:val="center"/>
            <w:shd w:fill="E2F0D9"/>
          </w:tcPr>
          <w:p>
            <w:r/>
            <w:r>
              <w:rPr>
                <w:b/>
                <w:sz w:val="17"/>
              </w:rPr>
              <w:t>Total</w:t>
            </w:r>
          </w:p>
        </w:tc>
        <w:tc>
          <w:tcPr>
            <w:tcW w:type="dxa" w:w="3360"/>
            <w:vAlign w:val="center"/>
            <w:shd w:fill="E2F0D9"/>
          </w:tcPr>
          <w:p>
            <w:r/>
            <w:r>
              <w:rPr>
                <w:b/>
                <w:sz w:val="17"/>
              </w:rPr>
              <w:t>34</w:t>
            </w:r>
          </w:p>
        </w:tc>
        <w:tc>
          <w:tcPr>
            <w:tcW w:type="dxa" w:w="3360"/>
            <w:vAlign w:val="center"/>
            <w:shd w:fill="E2F0D9"/>
          </w:tcPr>
          <w:p>
            <w:r/>
            <w:r>
              <w:rPr>
                <w:b/>
                <w:sz w:val="17"/>
              </w:rPr>
              <w:t>Week 2 complete</w:t>
            </w:r>
          </w:p>
        </w:tc>
      </w:tr>
    </w:tbl>
    <w:p>
      <w:pPr>
        <w:pStyle w:val="Heading1"/>
      </w:pPr>
      <w:r>
        <w:t>12. Implementation Checklist</w:t>
      </w:r>
    </w:p>
    <w:p>
      <w:pPr>
        <w:pStyle w:val="ListBullet"/>
        <w:spacing w:after="60"/>
      </w:pPr>
      <w:r>
        <w:t>Data requirements document approved.</w:t>
      </w:r>
    </w:p>
    <w:p>
      <w:pPr>
        <w:pStyle w:val="ListBullet"/>
        <w:spacing w:after="60"/>
      </w:pPr>
      <w:r>
        <w:t>Source owners and access methods identified.</w:t>
      </w:r>
    </w:p>
    <w:p>
      <w:pPr>
        <w:pStyle w:val="ListBullet"/>
        <w:spacing w:after="60"/>
      </w:pPr>
      <w:r>
        <w:t>Raw data storage and naming convention established.</w:t>
      </w:r>
    </w:p>
    <w:p>
      <w:pPr>
        <w:pStyle w:val="ListBullet"/>
        <w:spacing w:after="60"/>
      </w:pPr>
      <w:r>
        <w:t>Extraction batch metadata captured.</w:t>
      </w:r>
    </w:p>
    <w:p>
      <w:pPr>
        <w:pStyle w:val="ListBullet"/>
        <w:spacing w:after="60"/>
      </w:pPr>
      <w:r>
        <w:t>Schema validation implemented.</w:t>
      </w:r>
    </w:p>
    <w:p>
      <w:pPr>
        <w:pStyle w:val="ListBullet"/>
        <w:spacing w:after="60"/>
      </w:pPr>
      <w:r>
        <w:t>Missingness profiling completed.</w:t>
      </w:r>
    </w:p>
    <w:p>
      <w:pPr>
        <w:pStyle w:val="ListBullet"/>
        <w:spacing w:after="60"/>
      </w:pPr>
      <w:r>
        <w:t>Duplicate detection implemented at the correct analytical grain.</w:t>
      </w:r>
    </w:p>
    <w:p>
      <w:pPr>
        <w:pStyle w:val="ListBullet"/>
        <w:spacing w:after="60"/>
      </w:pPr>
      <w:r>
        <w:t>Master-data mappings validated.</w:t>
      </w:r>
    </w:p>
    <w:p>
      <w:pPr>
        <w:pStyle w:val="ListBullet"/>
        <w:spacing w:after="60"/>
      </w:pPr>
      <w:r>
        <w:t>Timestamp and timezone rules documented.</w:t>
      </w:r>
    </w:p>
    <w:p>
      <w:pPr>
        <w:pStyle w:val="ListBullet"/>
        <w:spacing w:after="60"/>
      </w:pPr>
      <w:r>
        <w:t>Units and currency standardized.</w:t>
      </w:r>
    </w:p>
    <w:p>
      <w:pPr>
        <w:pStyle w:val="ListBullet"/>
        <w:spacing w:after="60"/>
      </w:pPr>
      <w:r>
        <w:t>Outlier rules documented and reviewed.</w:t>
      </w:r>
    </w:p>
    <w:p>
      <w:pPr>
        <w:pStyle w:val="ListBullet"/>
        <w:spacing w:after="60"/>
      </w:pPr>
      <w:r>
        <w:t>Referential integrity checks completed.</w:t>
      </w:r>
    </w:p>
    <w:p>
      <w:pPr>
        <w:pStyle w:val="ListBullet"/>
        <w:spacing w:after="60"/>
      </w:pPr>
      <w:r>
        <w:t>Source-to-curated reconciliation completed.</w:t>
      </w:r>
    </w:p>
    <w:p>
      <w:pPr>
        <w:pStyle w:val="ListBullet"/>
        <w:spacing w:after="60"/>
      </w:pPr>
      <w:r>
        <w:t>Quality score and publication gate produced.</w:t>
      </w:r>
    </w:p>
    <w:p>
      <w:pPr>
        <w:pStyle w:val="ListBullet"/>
        <w:spacing w:after="60"/>
      </w:pPr>
      <w:r>
        <w:t>Quarantine and remediation process established.</w:t>
      </w:r>
    </w:p>
    <w:p>
      <w:pPr>
        <w:pStyle w:val="ListBullet"/>
        <w:spacing w:after="60"/>
      </w:pPr>
      <w:r>
        <w:t>Clean dataset is versioned and reproducible.</w:t>
      </w:r>
    </w:p>
    <w:p>
      <w:pPr>
        <w:pStyle w:val="Heading1"/>
      </w:pPr>
      <w:r>
        <w:t>13. Key Risks and Mitigations</w:t>
      </w:r>
    </w:p>
    <w:tbl>
      <w:tblPr>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D9EAF7"/>
          </w:tcPr>
          <w:p>
            <w:r/>
            <w:r>
              <w:rPr>
                <w:b/>
                <w:sz w:val="17"/>
              </w:rPr>
              <w:t>Risk</w:t>
            </w:r>
          </w:p>
        </w:tc>
        <w:tc>
          <w:tcPr>
            <w:tcW w:type="dxa" w:w="3360"/>
            <w:vAlign w:val="center"/>
            <w:shd w:fill="D9EAF7"/>
          </w:tcPr>
          <w:p>
            <w:r/>
            <w:r>
              <w:rPr>
                <w:b/>
                <w:sz w:val="17"/>
              </w:rPr>
              <w:t>Impact</w:t>
            </w:r>
          </w:p>
        </w:tc>
        <w:tc>
          <w:tcPr>
            <w:tcW w:type="dxa" w:w="3360"/>
            <w:vAlign w:val="center"/>
            <w:shd w:fill="D9EAF7"/>
          </w:tcPr>
          <w:p>
            <w:r/>
            <w:r>
              <w:rPr>
                <w:b/>
                <w:sz w:val="17"/>
              </w:rPr>
              <w:t>Mitigation</w:t>
            </w:r>
          </w:p>
        </w:tc>
      </w:tr>
      <w:tr>
        <w:tc>
          <w:tcPr>
            <w:tcW w:type="dxa" w:w="3360"/>
            <w:vAlign w:val="center"/>
          </w:tcPr>
          <w:p>
            <w:r/>
            <w:r>
              <w:rPr>
                <w:b w:val="0"/>
                <w:sz w:val="16"/>
              </w:rPr>
              <w:t>Manual spreadsheet dependency</w:t>
            </w:r>
          </w:p>
        </w:tc>
        <w:tc>
          <w:tcPr>
            <w:tcW w:type="dxa" w:w="3360"/>
            <w:vAlign w:val="center"/>
          </w:tcPr>
          <w:p>
            <w:r/>
            <w:r>
              <w:rPr>
                <w:b w:val="0"/>
                <w:sz w:val="16"/>
              </w:rPr>
              <w:t>Version confusion and silent edits</w:t>
            </w:r>
          </w:p>
        </w:tc>
        <w:tc>
          <w:tcPr>
            <w:tcW w:type="dxa" w:w="3360"/>
            <w:vAlign w:val="center"/>
          </w:tcPr>
          <w:p>
            <w:r/>
            <w:r>
              <w:rPr>
                <w:b w:val="0"/>
                <w:sz w:val="16"/>
              </w:rPr>
              <w:t>Use controlled templates; prefer database/API extraction.</w:t>
            </w:r>
          </w:p>
        </w:tc>
      </w:tr>
      <w:tr>
        <w:tc>
          <w:tcPr>
            <w:tcW w:type="dxa" w:w="3360"/>
            <w:vAlign w:val="center"/>
          </w:tcPr>
          <w:p>
            <w:r/>
            <w:r>
              <w:rPr>
                <w:b w:val="0"/>
                <w:sz w:val="16"/>
              </w:rPr>
              <w:t>System outages</w:t>
            </w:r>
          </w:p>
        </w:tc>
        <w:tc>
          <w:tcPr>
            <w:tcW w:type="dxa" w:w="3360"/>
            <w:vAlign w:val="center"/>
          </w:tcPr>
          <w:p>
            <w:r/>
            <w:r>
              <w:rPr>
                <w:b w:val="0"/>
                <w:sz w:val="16"/>
              </w:rPr>
              <w:t>Incomplete reporting period</w:t>
            </w:r>
          </w:p>
        </w:tc>
        <w:tc>
          <w:tcPr>
            <w:tcW w:type="dxa" w:w="3360"/>
            <w:vAlign w:val="center"/>
          </w:tcPr>
          <w:p>
            <w:r/>
            <w:r>
              <w:rPr>
                <w:b w:val="0"/>
                <w:sz w:val="16"/>
              </w:rPr>
              <w:t>Hold publication or use last validated snapshot with freshness flag.</w:t>
            </w:r>
          </w:p>
        </w:tc>
      </w:tr>
      <w:tr>
        <w:tc>
          <w:tcPr>
            <w:tcW w:type="dxa" w:w="3360"/>
            <w:vAlign w:val="center"/>
          </w:tcPr>
          <w:p>
            <w:r/>
            <w:r>
              <w:rPr>
                <w:b w:val="0"/>
                <w:sz w:val="16"/>
              </w:rPr>
              <w:t>Schema drift</w:t>
            </w:r>
          </w:p>
        </w:tc>
        <w:tc>
          <w:tcPr>
            <w:tcW w:type="dxa" w:w="3360"/>
            <w:vAlign w:val="center"/>
          </w:tcPr>
          <w:p>
            <w:r/>
            <w:r>
              <w:rPr>
                <w:b w:val="0"/>
                <w:sz w:val="16"/>
              </w:rPr>
              <w:t>Pipeline failures or wrong joins</w:t>
            </w:r>
          </w:p>
        </w:tc>
        <w:tc>
          <w:tcPr>
            <w:tcW w:type="dxa" w:w="3360"/>
            <w:vAlign w:val="center"/>
          </w:tcPr>
          <w:p>
            <w:r/>
            <w:r>
              <w:rPr>
                <w:b w:val="0"/>
                <w:sz w:val="16"/>
              </w:rPr>
              <w:t>Schema comparison and versioned mappings.</w:t>
            </w:r>
          </w:p>
        </w:tc>
      </w:tr>
      <w:tr>
        <w:tc>
          <w:tcPr>
            <w:tcW w:type="dxa" w:w="3360"/>
            <w:vAlign w:val="center"/>
          </w:tcPr>
          <w:p>
            <w:r/>
            <w:r>
              <w:rPr>
                <w:b w:val="0"/>
                <w:sz w:val="16"/>
              </w:rPr>
              <w:t>Poor master data</w:t>
            </w:r>
          </w:p>
        </w:tc>
        <w:tc>
          <w:tcPr>
            <w:tcW w:type="dxa" w:w="3360"/>
            <w:vAlign w:val="center"/>
          </w:tcPr>
          <w:p>
            <w:r/>
            <w:r>
              <w:rPr>
                <w:b w:val="0"/>
                <w:sz w:val="16"/>
              </w:rPr>
              <w:t>Incorrect segmentation and joins</w:t>
            </w:r>
          </w:p>
        </w:tc>
        <w:tc>
          <w:tcPr>
            <w:tcW w:type="dxa" w:w="3360"/>
            <w:vAlign w:val="center"/>
          </w:tcPr>
          <w:p>
            <w:r/>
            <w:r>
              <w:rPr>
                <w:b w:val="0"/>
                <w:sz w:val="16"/>
              </w:rPr>
              <w:t>Controlled reference tables and owner escalation.</w:t>
            </w:r>
          </w:p>
        </w:tc>
      </w:tr>
      <w:tr>
        <w:tc>
          <w:tcPr>
            <w:tcW w:type="dxa" w:w="3360"/>
            <w:vAlign w:val="center"/>
          </w:tcPr>
          <w:p>
            <w:r/>
            <w:r>
              <w:rPr>
                <w:b w:val="0"/>
                <w:sz w:val="16"/>
              </w:rPr>
              <w:t>Late-arriving events</w:t>
            </w:r>
          </w:p>
        </w:tc>
        <w:tc>
          <w:tcPr>
            <w:tcW w:type="dxa" w:w="3360"/>
            <w:vAlign w:val="center"/>
          </w:tcPr>
          <w:p>
            <w:r/>
            <w:r>
              <w:rPr>
                <w:b w:val="0"/>
                <w:sz w:val="16"/>
              </w:rPr>
              <w:t>KPIs change after publication</w:t>
            </w:r>
          </w:p>
        </w:tc>
        <w:tc>
          <w:tcPr>
            <w:tcW w:type="dxa" w:w="3360"/>
            <w:vAlign w:val="center"/>
          </w:tcPr>
          <w:p>
            <w:r/>
            <w:r>
              <w:rPr>
                <w:b w:val="0"/>
                <w:sz w:val="16"/>
              </w:rPr>
              <w:t>Watermarks and backfill policy.</w:t>
            </w:r>
          </w:p>
        </w:tc>
      </w:tr>
      <w:tr>
        <w:tc>
          <w:tcPr>
            <w:tcW w:type="dxa" w:w="3360"/>
            <w:vAlign w:val="center"/>
          </w:tcPr>
          <w:p>
            <w:r/>
            <w:r>
              <w:rPr>
                <w:b w:val="0"/>
                <w:sz w:val="16"/>
              </w:rPr>
              <w:t>Over-cleaning</w:t>
            </w:r>
          </w:p>
        </w:tc>
        <w:tc>
          <w:tcPr>
            <w:tcW w:type="dxa" w:w="3360"/>
            <w:vAlign w:val="center"/>
          </w:tcPr>
          <w:p>
            <w:r/>
            <w:r>
              <w:rPr>
                <w:b w:val="0"/>
                <w:sz w:val="16"/>
              </w:rPr>
              <w:t>Removal of real operational events</w:t>
            </w:r>
          </w:p>
        </w:tc>
        <w:tc>
          <w:tcPr>
            <w:tcW w:type="dxa" w:w="3360"/>
            <w:vAlign w:val="center"/>
          </w:tcPr>
          <w:p>
            <w:r/>
            <w:r>
              <w:rPr>
                <w:b w:val="0"/>
                <w:sz w:val="16"/>
              </w:rPr>
              <w:t>Investigate outliers before exclusion; retain raw layer.</w:t>
            </w:r>
          </w:p>
        </w:tc>
      </w:tr>
      <w:tr>
        <w:tc>
          <w:tcPr>
            <w:tcW w:type="dxa" w:w="3360"/>
            <w:vAlign w:val="center"/>
          </w:tcPr>
          <w:p>
            <w:r/>
            <w:r>
              <w:rPr>
                <w:b w:val="0"/>
                <w:sz w:val="16"/>
              </w:rPr>
              <w:t>Conflicting timestamps</w:t>
            </w:r>
          </w:p>
        </w:tc>
        <w:tc>
          <w:tcPr>
            <w:tcW w:type="dxa" w:w="3360"/>
            <w:vAlign w:val="center"/>
          </w:tcPr>
          <w:p>
            <w:r/>
            <w:r>
              <w:rPr>
                <w:b w:val="0"/>
                <w:sz w:val="16"/>
              </w:rPr>
              <w:t>Wrong cycle-time metrics</w:t>
            </w:r>
          </w:p>
        </w:tc>
        <w:tc>
          <w:tcPr>
            <w:tcW w:type="dxa" w:w="3360"/>
            <w:vAlign w:val="center"/>
          </w:tcPr>
          <w:p>
            <w:r/>
            <w:r>
              <w:rPr>
                <w:b w:val="0"/>
                <w:sz w:val="16"/>
              </w:rPr>
              <w:t>Document event semantics and source-of-truth hierarchy.</w:t>
            </w:r>
          </w:p>
        </w:tc>
      </w:tr>
      <w:tr>
        <w:tc>
          <w:tcPr>
            <w:tcW w:type="dxa" w:w="3360"/>
            <w:vAlign w:val="center"/>
          </w:tcPr>
          <w:p>
            <w:r/>
            <w:r>
              <w:rPr>
                <w:b w:val="0"/>
                <w:sz w:val="16"/>
              </w:rPr>
              <w:t>Unclear business definitions</w:t>
            </w:r>
          </w:p>
        </w:tc>
        <w:tc>
          <w:tcPr>
            <w:tcW w:type="dxa" w:w="3360"/>
            <w:vAlign w:val="center"/>
          </w:tcPr>
          <w:p>
            <w:r/>
            <w:r>
              <w:rPr>
                <w:b w:val="0"/>
                <w:sz w:val="16"/>
              </w:rPr>
              <w:t>Inconsistent KPIs</w:t>
            </w:r>
          </w:p>
        </w:tc>
        <w:tc>
          <w:tcPr>
            <w:tcW w:type="dxa" w:w="3360"/>
            <w:vAlign w:val="center"/>
          </w:tcPr>
          <w:p>
            <w:r/>
            <w:r>
              <w:rPr>
                <w:b w:val="0"/>
                <w:sz w:val="16"/>
              </w:rPr>
              <w:t>KPI/data dictionary signed off before production reporting.</w:t>
            </w:r>
          </w:p>
        </w:tc>
      </w:tr>
    </w:tbl>
    <w:p>
      <w:pPr>
        <w:pStyle w:val="Heading1"/>
      </w:pPr>
      <w:r>
        <w:t>14. Research Sources and References</w:t>
      </w:r>
    </w:p>
    <w:p>
      <w:r>
        <w:rPr>
          <w:b/>
        </w:rPr>
        <w:t>GS1 — How does the GS1 System help enable supply chain visibility?</w:t>
      </w:r>
      <w:r>
        <w:br/>
        <w:t>https://support.gs1.org/support/solutions/articles/43000734428-how-does-the-gs1-system-help-enable-supply-chain-visibility/</w:t>
      </w:r>
    </w:p>
    <w:p>
      <w:r>
        <w:rPr>
          <w:b/>
        </w:rPr>
        <w:t>GS1 — What is Electronic Product Code Information Services (EPCIS)?</w:t>
      </w:r>
      <w:r>
        <w:br/>
        <w:t>https://support.gs1.org/support/solutions/articles/43000755325-what-is-electronic-product-code-information-services-epcis-</w:t>
      </w:r>
    </w:p>
    <w:p>
      <w:r>
        <w:rPr>
          <w:b/>
        </w:rPr>
        <w:t>GS1 — What is the link between EPC and EPCIS?</w:t>
      </w:r>
      <w:r>
        <w:br/>
        <w:t>https://support.gs1.org/support/solutions/articles/43000734385-what-is-the-link-between-epc-and-epcis-</w:t>
      </w:r>
    </w:p>
    <w:p>
      <w:r>
        <w:rPr>
          <w:b/>
        </w:rPr>
        <w:t>UNECE / UN/CEFACT — Supply Chain Reference Data Model BRS</w:t>
      </w:r>
      <w:r>
        <w:br/>
        <w:t>https://unece.org/trade/documents/2017/01/standards/supply-chain-reference-data-model-brs</w:t>
      </w:r>
    </w:p>
    <w:p>
      <w:r>
        <w:rPr>
          <w:b/>
        </w:rPr>
        <w:t>UNECE / UN/CEFACT — Supply Chain Management standards</w:t>
      </w:r>
      <w:r>
        <w:br/>
        <w:t>https://unece.org/trade/standards/trade-and-uncefact/uncefact/supply-chain-management</w:t>
      </w:r>
    </w:p>
    <w:p>
      <w:r>
        <w:rPr>
          <w:b/>
        </w:rPr>
        <w:t>UNECE — Package of Standards for data exchange along the supply chain</w:t>
      </w:r>
      <w:r>
        <w:br/>
        <w:t>https://unece.org/trade/documents/2024/07/informal-documents/uncefact-package-standards-data-exchange-along-supply</w:t>
      </w:r>
    </w:p>
    <w:p>
      <w:r>
        <w:rPr>
          <w:b/>
        </w:rPr>
        <w:t>World Bank — Logistics Performance Index Data Catalog</w:t>
      </w:r>
      <w:r>
        <w:br/>
        <w:t>https://datacatalog.worldbank.org/search/dataset/0038649/logistics-performance-index</w:t>
      </w:r>
    </w:p>
    <w:p>
      <w:r>
        <w:rPr>
          <w:b/>
        </w:rPr>
        <w:t>World Bank — LPI: Ability to track and trace consignments</w:t>
      </w:r>
      <w:r>
        <w:br/>
        <w:t>https://databank.worldbank.org/metadataglossary/logistics-performance-index-%28lpi%29/series/LP.LPI.TRAC.XQ</w:t>
      </w:r>
    </w:p>
    <w:tbl>
      <w:tblPr>
        <w:tblW w:type="auto" w:w="0"/>
        <w:jc w:val="center"/>
        <w:tblLook w:firstColumn="1" w:firstRow="1" w:lastColumn="0" w:lastRow="0" w:noHBand="0" w:noVBand="1" w:val="04A0"/>
      </w:tblPr>
      <w:tblGrid>
        <w:gridCol w:w="10080"/>
      </w:tblGrid>
      <w:tr>
        <w:tc>
          <w:tcPr>
            <w:tcW w:type="dxa" w:w="10080"/>
            <w:shd w:fill="EAF2F8"/>
          </w:tcPr>
          <w:p>
            <w:r>
              <w:rPr>
                <w:b/>
                <w:sz w:val="20"/>
              </w:rPr>
              <w:t>Research note</w:t>
              <w:br/>
            </w:r>
            <w:r>
              <w:rPr>
                <w:sz w:val="18"/>
              </w:rPr>
              <w:t>The framework uses international supply-chain data standards as design references, not as a claim that every logistics organization must implement them. The World Bank LPI is used as an external context source; company-level preprocessing rules should be driven by the organization's own operational definitions, system architecture and data owners. The World Bank describes the LPI as covering dimensions including logistics-service quality, tracking/tracing and timeliness. citeturn0search1turn0search16</w:t>
            </w:r>
          </w:p>
        </w:tc>
      </w:tr>
    </w:tbl>
    <w:p/>
    <w:p>
      <w:pPr>
        <w:pStyle w:val="Heading1"/>
      </w:pPr>
      <w:r>
        <w:t>Appendix A — Example Data Quality Scorecard</w:t>
      </w:r>
    </w:p>
    <w:tbl>
      <w:tblPr>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vAlign w:val="center"/>
            <w:shd w:fill="D9EAF7"/>
          </w:tcPr>
          <w:p>
            <w:r/>
            <w:r>
              <w:rPr>
                <w:b/>
                <w:sz w:val="16"/>
              </w:rPr>
              <w:t>Dimension</w:t>
            </w:r>
          </w:p>
        </w:tc>
        <w:tc>
          <w:tcPr>
            <w:tcW w:type="dxa" w:w="2016"/>
            <w:vAlign w:val="center"/>
            <w:shd w:fill="D9EAF7"/>
          </w:tcPr>
          <w:p>
            <w:r/>
            <w:r>
              <w:rPr>
                <w:b/>
                <w:sz w:val="16"/>
              </w:rPr>
              <w:t>Metric</w:t>
            </w:r>
          </w:p>
        </w:tc>
        <w:tc>
          <w:tcPr>
            <w:tcW w:type="dxa" w:w="2016"/>
            <w:vAlign w:val="center"/>
            <w:shd w:fill="D9EAF7"/>
          </w:tcPr>
          <w:p>
            <w:r/>
            <w:r>
              <w:rPr>
                <w:b/>
                <w:sz w:val="16"/>
              </w:rPr>
              <w:t>Example threshold</w:t>
            </w:r>
          </w:p>
        </w:tc>
        <w:tc>
          <w:tcPr>
            <w:tcW w:type="dxa" w:w="2016"/>
            <w:vAlign w:val="center"/>
            <w:shd w:fill="D9EAF7"/>
          </w:tcPr>
          <w:p>
            <w:r/>
            <w:r>
              <w:rPr>
                <w:b/>
                <w:sz w:val="16"/>
              </w:rPr>
              <w:t>Owner</w:t>
            </w:r>
          </w:p>
        </w:tc>
        <w:tc>
          <w:tcPr>
            <w:tcW w:type="dxa" w:w="2016"/>
            <w:vAlign w:val="center"/>
            <w:shd w:fill="D9EAF7"/>
          </w:tcPr>
          <w:p>
            <w:r/>
            <w:r>
              <w:rPr>
                <w:b/>
                <w:sz w:val="16"/>
              </w:rPr>
              <w:t>Action if failed</w:t>
            </w:r>
          </w:p>
        </w:tc>
      </w:tr>
      <w:tr>
        <w:tc>
          <w:tcPr>
            <w:tcW w:type="dxa" w:w="2016"/>
            <w:vAlign w:val="center"/>
          </w:tcPr>
          <w:p>
            <w:r/>
            <w:r>
              <w:rPr>
                <w:b w:val="0"/>
                <w:sz w:val="15"/>
              </w:rPr>
              <w:t>Completeness</w:t>
            </w:r>
          </w:p>
        </w:tc>
        <w:tc>
          <w:tcPr>
            <w:tcW w:type="dxa" w:w="2016"/>
            <w:vAlign w:val="center"/>
          </w:tcPr>
          <w:p>
            <w:r/>
            <w:r>
              <w:rPr>
                <w:b w:val="0"/>
                <w:sz w:val="15"/>
              </w:rPr>
              <w:t>% non-null critical fields</w:t>
            </w:r>
          </w:p>
        </w:tc>
        <w:tc>
          <w:tcPr>
            <w:tcW w:type="dxa" w:w="2016"/>
            <w:vAlign w:val="center"/>
          </w:tcPr>
          <w:p>
            <w:r/>
            <w:r>
              <w:rPr>
                <w:b w:val="0"/>
                <w:sz w:val="15"/>
              </w:rPr>
              <w:t>≥99% critical identifiers; business-defined for optional fields</w:t>
            </w:r>
          </w:p>
        </w:tc>
        <w:tc>
          <w:tcPr>
            <w:tcW w:type="dxa" w:w="2016"/>
            <w:vAlign w:val="center"/>
          </w:tcPr>
          <w:p>
            <w:r/>
            <w:r>
              <w:rPr>
                <w:b w:val="0"/>
                <w:sz w:val="15"/>
              </w:rPr>
              <w:t>Data owner</w:t>
            </w:r>
          </w:p>
        </w:tc>
        <w:tc>
          <w:tcPr>
            <w:tcW w:type="dxa" w:w="2016"/>
            <w:vAlign w:val="center"/>
          </w:tcPr>
          <w:p>
            <w:r/>
            <w:r>
              <w:rPr>
                <w:b w:val="0"/>
                <w:sz w:val="15"/>
              </w:rPr>
              <w:t>Quarantine or re-extract</w:t>
            </w:r>
          </w:p>
        </w:tc>
      </w:tr>
      <w:tr>
        <w:tc>
          <w:tcPr>
            <w:tcW w:type="dxa" w:w="2016"/>
            <w:vAlign w:val="center"/>
          </w:tcPr>
          <w:p>
            <w:r/>
            <w:r>
              <w:rPr>
                <w:b w:val="0"/>
                <w:sz w:val="15"/>
              </w:rPr>
              <w:t>Uniqueness</w:t>
            </w:r>
          </w:p>
        </w:tc>
        <w:tc>
          <w:tcPr>
            <w:tcW w:type="dxa" w:w="2016"/>
            <w:vAlign w:val="center"/>
          </w:tcPr>
          <w:p>
            <w:r/>
            <w:r>
              <w:rPr>
                <w:b w:val="0"/>
                <w:sz w:val="15"/>
              </w:rPr>
              <w:t>Duplicate rate on expected unique keys</w:t>
            </w:r>
          </w:p>
        </w:tc>
        <w:tc>
          <w:tcPr>
            <w:tcW w:type="dxa" w:w="2016"/>
            <w:vAlign w:val="center"/>
          </w:tcPr>
          <w:p>
            <w:r/>
            <w:r>
              <w:rPr>
                <w:b w:val="0"/>
                <w:sz w:val="15"/>
              </w:rPr>
              <w:t>0% unexplained duplicates</w:t>
            </w:r>
          </w:p>
        </w:tc>
        <w:tc>
          <w:tcPr>
            <w:tcW w:type="dxa" w:w="2016"/>
            <w:vAlign w:val="center"/>
          </w:tcPr>
          <w:p>
            <w:r/>
            <w:r>
              <w:rPr>
                <w:b w:val="0"/>
                <w:sz w:val="15"/>
              </w:rPr>
              <w:t>System owner</w:t>
            </w:r>
          </w:p>
        </w:tc>
        <w:tc>
          <w:tcPr>
            <w:tcW w:type="dxa" w:w="2016"/>
            <w:vAlign w:val="center"/>
          </w:tcPr>
          <w:p>
            <w:r/>
            <w:r>
              <w:rPr>
                <w:b w:val="0"/>
                <w:sz w:val="15"/>
              </w:rPr>
              <w:t>Investigate source/batch</w:t>
            </w:r>
          </w:p>
        </w:tc>
      </w:tr>
      <w:tr>
        <w:tc>
          <w:tcPr>
            <w:tcW w:type="dxa" w:w="2016"/>
            <w:vAlign w:val="center"/>
          </w:tcPr>
          <w:p>
            <w:r/>
            <w:r>
              <w:rPr>
                <w:b w:val="0"/>
                <w:sz w:val="15"/>
              </w:rPr>
              <w:t>Validity</w:t>
            </w:r>
          </w:p>
        </w:tc>
        <w:tc>
          <w:tcPr>
            <w:tcW w:type="dxa" w:w="2016"/>
            <w:vAlign w:val="center"/>
          </w:tcPr>
          <w:p>
            <w:r/>
            <w:r>
              <w:rPr>
                <w:b w:val="0"/>
                <w:sz w:val="15"/>
              </w:rPr>
              <w:t>% values passing rules</w:t>
            </w:r>
          </w:p>
        </w:tc>
        <w:tc>
          <w:tcPr>
            <w:tcW w:type="dxa" w:w="2016"/>
            <w:vAlign w:val="center"/>
          </w:tcPr>
          <w:p>
            <w:r/>
            <w:r>
              <w:rPr>
                <w:b w:val="0"/>
                <w:sz w:val="15"/>
              </w:rPr>
              <w:t>≥99%</w:t>
            </w:r>
          </w:p>
        </w:tc>
        <w:tc>
          <w:tcPr>
            <w:tcW w:type="dxa" w:w="2016"/>
            <w:vAlign w:val="center"/>
          </w:tcPr>
          <w:p>
            <w:r/>
            <w:r>
              <w:rPr>
                <w:b w:val="0"/>
                <w:sz w:val="15"/>
              </w:rPr>
              <w:t>Data owner</w:t>
            </w:r>
          </w:p>
        </w:tc>
        <w:tc>
          <w:tcPr>
            <w:tcW w:type="dxa" w:w="2016"/>
            <w:vAlign w:val="center"/>
          </w:tcPr>
          <w:p>
            <w:r/>
            <w:r>
              <w:rPr>
                <w:b w:val="0"/>
                <w:sz w:val="15"/>
              </w:rPr>
              <w:t>Correct or quarantine</w:t>
            </w:r>
          </w:p>
        </w:tc>
      </w:tr>
      <w:tr>
        <w:tc>
          <w:tcPr>
            <w:tcW w:type="dxa" w:w="2016"/>
            <w:vAlign w:val="center"/>
          </w:tcPr>
          <w:p>
            <w:r/>
            <w:r>
              <w:rPr>
                <w:b w:val="0"/>
                <w:sz w:val="15"/>
              </w:rPr>
              <w:t>Integrity</w:t>
            </w:r>
          </w:p>
        </w:tc>
        <w:tc>
          <w:tcPr>
            <w:tcW w:type="dxa" w:w="2016"/>
            <w:vAlign w:val="center"/>
          </w:tcPr>
          <w:p>
            <w:r/>
            <w:r>
              <w:rPr>
                <w:b w:val="0"/>
                <w:sz w:val="15"/>
              </w:rPr>
              <w:t>% valid reference joins</w:t>
            </w:r>
          </w:p>
        </w:tc>
        <w:tc>
          <w:tcPr>
            <w:tcW w:type="dxa" w:w="2016"/>
            <w:vAlign w:val="center"/>
          </w:tcPr>
          <w:p>
            <w:r/>
            <w:r>
              <w:rPr>
                <w:b w:val="0"/>
                <w:sz w:val="15"/>
              </w:rPr>
              <w:t>≥99%</w:t>
            </w:r>
          </w:p>
        </w:tc>
        <w:tc>
          <w:tcPr>
            <w:tcW w:type="dxa" w:w="2016"/>
            <w:vAlign w:val="center"/>
          </w:tcPr>
          <w:p>
            <w:r/>
            <w:r>
              <w:rPr>
                <w:b w:val="0"/>
                <w:sz w:val="15"/>
              </w:rPr>
              <w:t>Master-data owner</w:t>
            </w:r>
          </w:p>
        </w:tc>
        <w:tc>
          <w:tcPr>
            <w:tcW w:type="dxa" w:w="2016"/>
            <w:vAlign w:val="center"/>
          </w:tcPr>
          <w:p>
            <w:r/>
            <w:r>
              <w:rPr>
                <w:b w:val="0"/>
                <w:sz w:val="15"/>
              </w:rPr>
              <w:t>Refresh mapping</w:t>
            </w:r>
          </w:p>
        </w:tc>
      </w:tr>
      <w:tr>
        <w:tc>
          <w:tcPr>
            <w:tcW w:type="dxa" w:w="2016"/>
            <w:vAlign w:val="center"/>
          </w:tcPr>
          <w:p>
            <w:r/>
            <w:r>
              <w:rPr>
                <w:b w:val="0"/>
                <w:sz w:val="15"/>
              </w:rPr>
              <w:t>Timeliness</w:t>
            </w:r>
          </w:p>
        </w:tc>
        <w:tc>
          <w:tcPr>
            <w:tcW w:type="dxa" w:w="2016"/>
            <w:vAlign w:val="center"/>
          </w:tcPr>
          <w:p>
            <w:r/>
            <w:r>
              <w:rPr>
                <w:b w:val="0"/>
                <w:sz w:val="15"/>
              </w:rPr>
              <w:t>Freshness lag</w:t>
            </w:r>
          </w:p>
        </w:tc>
        <w:tc>
          <w:tcPr>
            <w:tcW w:type="dxa" w:w="2016"/>
            <w:vAlign w:val="center"/>
          </w:tcPr>
          <w:p>
            <w:r/>
            <w:r>
              <w:rPr>
                <w:b w:val="0"/>
                <w:sz w:val="15"/>
              </w:rPr>
              <w:t>Within agreed SLA</w:t>
            </w:r>
          </w:p>
        </w:tc>
        <w:tc>
          <w:tcPr>
            <w:tcW w:type="dxa" w:w="2016"/>
            <w:vAlign w:val="center"/>
          </w:tcPr>
          <w:p>
            <w:r/>
            <w:r>
              <w:rPr>
                <w:b w:val="0"/>
                <w:sz w:val="15"/>
              </w:rPr>
              <w:t>System owner</w:t>
            </w:r>
          </w:p>
        </w:tc>
        <w:tc>
          <w:tcPr>
            <w:tcW w:type="dxa" w:w="2016"/>
            <w:vAlign w:val="center"/>
          </w:tcPr>
          <w:p>
            <w:r/>
            <w:r>
              <w:rPr>
                <w:b w:val="0"/>
                <w:sz w:val="15"/>
              </w:rPr>
              <w:t>Hold/label stale data</w:t>
            </w:r>
          </w:p>
        </w:tc>
      </w:tr>
      <w:tr>
        <w:tc>
          <w:tcPr>
            <w:tcW w:type="dxa" w:w="2016"/>
            <w:vAlign w:val="center"/>
          </w:tcPr>
          <w:p>
            <w:r/>
            <w:r>
              <w:rPr>
                <w:b w:val="0"/>
                <w:sz w:val="15"/>
              </w:rPr>
              <w:t>Reconciliation</w:t>
            </w:r>
          </w:p>
        </w:tc>
        <w:tc>
          <w:tcPr>
            <w:tcW w:type="dxa" w:w="2016"/>
            <w:vAlign w:val="center"/>
          </w:tcPr>
          <w:p>
            <w:r/>
            <w:r>
              <w:rPr>
                <w:b w:val="0"/>
                <w:sz w:val="15"/>
              </w:rPr>
              <w:t>Difference vs source control totals</w:t>
            </w:r>
          </w:p>
        </w:tc>
        <w:tc>
          <w:tcPr>
            <w:tcW w:type="dxa" w:w="2016"/>
            <w:vAlign w:val="center"/>
          </w:tcPr>
          <w:p>
            <w:r/>
            <w:r>
              <w:rPr>
                <w:b w:val="0"/>
                <w:sz w:val="15"/>
              </w:rPr>
              <w:t>0% or documented tolerance</w:t>
            </w:r>
          </w:p>
        </w:tc>
        <w:tc>
          <w:tcPr>
            <w:tcW w:type="dxa" w:w="2016"/>
            <w:vAlign w:val="center"/>
          </w:tcPr>
          <w:p>
            <w:r/>
            <w:r>
              <w:rPr>
                <w:b w:val="0"/>
                <w:sz w:val="15"/>
              </w:rPr>
              <w:t>Analyst</w:t>
            </w:r>
          </w:p>
        </w:tc>
        <w:tc>
          <w:tcPr>
            <w:tcW w:type="dxa" w:w="2016"/>
            <w:vAlign w:val="center"/>
          </w:tcPr>
          <w:p>
            <w:r/>
            <w:r>
              <w:rPr>
                <w:b w:val="0"/>
                <w:sz w:val="15"/>
              </w:rPr>
              <w:t>Trace transformation</w:t>
            </w:r>
          </w:p>
        </w:tc>
      </w:tr>
      <w:tr>
        <w:tc>
          <w:tcPr>
            <w:tcW w:type="dxa" w:w="2016"/>
            <w:vAlign w:val="center"/>
          </w:tcPr>
          <w:p>
            <w:r/>
            <w:r>
              <w:rPr>
                <w:b w:val="0"/>
                <w:sz w:val="15"/>
              </w:rPr>
              <w:t>Consistency</w:t>
            </w:r>
          </w:p>
        </w:tc>
        <w:tc>
          <w:tcPr>
            <w:tcW w:type="dxa" w:w="2016"/>
            <w:vAlign w:val="center"/>
          </w:tcPr>
          <w:p>
            <w:r/>
            <w:r>
              <w:rPr>
                <w:b w:val="0"/>
                <w:sz w:val="15"/>
              </w:rPr>
              <w:t>% records using approved codes/units</w:t>
            </w:r>
          </w:p>
        </w:tc>
        <w:tc>
          <w:tcPr>
            <w:tcW w:type="dxa" w:w="2016"/>
            <w:vAlign w:val="center"/>
          </w:tcPr>
          <w:p>
            <w:r/>
            <w:r>
              <w:rPr>
                <w:b w:val="0"/>
                <w:sz w:val="15"/>
              </w:rPr>
              <w:t>≥99%</w:t>
            </w:r>
          </w:p>
        </w:tc>
        <w:tc>
          <w:tcPr>
            <w:tcW w:type="dxa" w:w="2016"/>
            <w:vAlign w:val="center"/>
          </w:tcPr>
          <w:p>
            <w:r/>
            <w:r>
              <w:rPr>
                <w:b w:val="0"/>
                <w:sz w:val="15"/>
              </w:rPr>
              <w:t>Data owner</w:t>
            </w:r>
          </w:p>
        </w:tc>
        <w:tc>
          <w:tcPr>
            <w:tcW w:type="dxa" w:w="2016"/>
            <w:vAlign w:val="center"/>
          </w:tcPr>
          <w:p>
            <w:r/>
            <w:r>
              <w:rPr>
                <w:b w:val="0"/>
                <w:sz w:val="15"/>
              </w:rPr>
              <w:t>Map/remediate</w:t>
            </w:r>
          </w:p>
        </w:tc>
      </w:tr>
    </w:tbl>
    <w:p>
      <w:r>
        <w:t>Thresholds are examples for governance design, not universal logistics standards. They should be calibrated after observing baseline data quality and business criticality.</w:t>
      </w:r>
    </w:p>
    <w:p>
      <w:pPr>
        <w:pStyle w:val="Heading1"/>
      </w:pPr>
      <w:r>
        <w:t>Appendix B — Definition of Done</w:t>
      </w:r>
    </w:p>
    <w:p>
      <w:pPr>
        <w:pStyle w:val="ListBullet"/>
        <w:spacing w:after="60"/>
      </w:pPr>
      <w:r>
        <w:t>Raw source data is preserved and traceable.</w:t>
      </w:r>
    </w:p>
    <w:p>
      <w:pPr>
        <w:pStyle w:val="ListBullet"/>
        <w:spacing w:after="60"/>
      </w:pPr>
      <w:r>
        <w:t>All collection sources, owners and refresh methods are documented.</w:t>
      </w:r>
    </w:p>
    <w:p>
      <w:pPr>
        <w:pStyle w:val="ListBullet"/>
        <w:spacing w:after="60"/>
      </w:pPr>
      <w:r>
        <w:t>Critical fields have explicit quality rules.</w:t>
      </w:r>
    </w:p>
    <w:p>
      <w:pPr>
        <w:pStyle w:val="ListBullet"/>
        <w:spacing w:after="60"/>
      </w:pPr>
      <w:r>
        <w:t>Missing, duplicate, invalid and anomalous records have documented treatments.</w:t>
      </w:r>
    </w:p>
    <w:p>
      <w:pPr>
        <w:pStyle w:val="ListBullet"/>
        <w:spacing w:after="60"/>
      </w:pPr>
      <w:r>
        <w:t>Units, timestamps, identifiers and codes are standardized.</w:t>
      </w:r>
    </w:p>
    <w:p>
      <w:pPr>
        <w:pStyle w:val="ListBullet"/>
        <w:spacing w:after="60"/>
      </w:pPr>
      <w:r>
        <w:t>Source-to-curated reconciliation is complete.</w:t>
      </w:r>
    </w:p>
    <w:p>
      <w:pPr>
        <w:pStyle w:val="ListBullet"/>
        <w:spacing w:after="60"/>
      </w:pPr>
      <w:r>
        <w:t>Quality failures are quarantined rather than silently discarded.</w:t>
      </w:r>
    </w:p>
    <w:p>
      <w:pPr>
        <w:pStyle w:val="ListBullet"/>
        <w:spacing w:after="60"/>
      </w:pPr>
      <w:r>
        <w:t>Dataset is reproducible from documented transformations.</w:t>
      </w:r>
    </w:p>
    <w:p>
      <w:pPr>
        <w:pStyle w:val="ListBullet"/>
        <w:spacing w:after="60"/>
      </w:pPr>
      <w:r>
        <w:t>Quality scorecard and publication decision are available.</w:t>
      </w:r>
    </w:p>
    <w:p>
      <w:pPr>
        <w:pStyle w:val="ListBullet"/>
        <w:spacing w:after="60"/>
      </w:pPr>
      <w:r>
        <w:t>Clean dataset is ready for Week 3 exploratory/descriptive analysis.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2 — Logistics Data Collection &amp; Preprocessing Framework |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5B9BD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