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14AA5">
      <w:pPr>
        <w:spacing w:before="20" w:after="20"/>
      </w:pPr>
    </w:p>
    <w:p w14:paraId="02D5FBB0">
      <w:pPr>
        <w:spacing w:before="20" w:after="20"/>
      </w:pPr>
    </w:p>
    <w:p w14:paraId="045ACF3B">
      <w:pPr>
        <w:spacing w:before="20" w:after="20"/>
      </w:pPr>
    </w:p>
    <w:p w14:paraId="112E1F45">
      <w:pPr>
        <w:spacing w:before="0" w:after="40"/>
        <w:jc w:val="center"/>
      </w:pPr>
      <w:r>
        <w:rPr>
          <w:rFonts w:ascii="Arial" w:hAnsi="Arial" w:eastAsia="Arial" w:cs="Arial"/>
          <w:b/>
          <w:bCs/>
          <w:color w:val="1F3864"/>
          <w:sz w:val="72"/>
          <w:szCs w:val="72"/>
        </w:rPr>
        <w:t>EXCEL DASHBOARD</w:t>
      </w:r>
    </w:p>
    <w:p w14:paraId="2DFED1AA">
      <w:pPr>
        <w:spacing w:before="0" w:after="180"/>
        <w:jc w:val="center"/>
      </w:pPr>
      <w:r>
        <w:rPr>
          <w:rFonts w:ascii="Arial" w:hAnsi="Arial" w:eastAsia="Arial" w:cs="Arial"/>
          <w:b/>
          <w:bCs/>
          <w:color w:val="2E75B6"/>
          <w:sz w:val="72"/>
          <w:szCs w:val="72"/>
        </w:rPr>
        <w:t>PROJECT REPORT</w:t>
      </w:r>
    </w:p>
    <w:p w14:paraId="19099A0D">
      <w:pPr>
        <w:pBdr>
          <w:bottom w:val="single" w:color="2E75B6" w:sz="6" w:space="1"/>
        </w:pBdr>
        <w:spacing w:before="80" w:after="80"/>
      </w:pPr>
    </w:p>
    <w:p w14:paraId="4FBDFA58">
      <w:pPr>
        <w:spacing w:before="140" w:after="60"/>
        <w:jc w:val="center"/>
      </w:pPr>
      <w:r>
        <w:rPr>
          <w:rFonts w:ascii="Arial" w:hAnsi="Arial" w:eastAsia="Arial" w:cs="Arial"/>
          <w:i/>
          <w:iCs/>
          <w:color w:val="595959"/>
          <w:sz w:val="26"/>
          <w:szCs w:val="26"/>
        </w:rPr>
        <w:t>Retail Sales &amp; Customer Behaviour Analysis  |  2013–2016</w:t>
      </w:r>
    </w:p>
    <w:tbl>
      <w:tblPr>
        <w:tblStyle w:val="9"/>
        <w:tblpPr w:leftFromText="180" w:rightFromText="180" w:vertAnchor="text" w:horzAnchor="page" w:tblpXSpec="center" w:tblpY="436"/>
        <w:tblOverlap w:val="never"/>
        <w:tblW w:w="74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80"/>
        <w:gridCol w:w="2480"/>
        <w:gridCol w:w="2480"/>
      </w:tblGrid>
      <w:tr w14:paraId="2DBF9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jc w:val="center"/>
        </w:trPr>
        <w:tc>
          <w:tcPr>
            <w:tcW w:w="248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1002F595">
            <w:pPr>
              <w:spacing w:before="55" w:after="55"/>
              <w:jc w:val="center"/>
            </w:pPr>
            <w:r>
              <w:rPr>
                <w:rFonts w:ascii="Arial" w:hAnsi="Arial" w:eastAsia="Arial" w:cs="Arial"/>
                <w:b/>
                <w:bCs/>
                <w:i w:val="0"/>
                <w:iCs w:val="0"/>
                <w:color w:val="FFFFFF"/>
                <w:sz w:val="17"/>
                <w:szCs w:val="17"/>
              </w:rPr>
              <w:t>Sheets</w:t>
            </w:r>
          </w:p>
        </w:tc>
        <w:tc>
          <w:tcPr>
            <w:tcW w:w="248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08894CBC">
            <w:pPr>
              <w:spacing w:before="55" w:after="55"/>
              <w:jc w:val="center"/>
            </w:pPr>
            <w:r>
              <w:rPr>
                <w:rFonts w:ascii="Arial" w:hAnsi="Arial" w:eastAsia="Arial" w:cs="Arial"/>
                <w:b/>
                <w:bCs/>
                <w:i w:val="0"/>
                <w:iCs w:val="0"/>
                <w:color w:val="FFFFFF"/>
                <w:sz w:val="17"/>
                <w:szCs w:val="17"/>
              </w:rPr>
              <w:t>Records</w:t>
            </w:r>
          </w:p>
        </w:tc>
        <w:tc>
          <w:tcPr>
            <w:tcW w:w="248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280DB1DF">
            <w:pPr>
              <w:spacing w:before="55" w:after="55"/>
              <w:jc w:val="center"/>
            </w:pPr>
            <w:r>
              <w:rPr>
                <w:rFonts w:ascii="Arial" w:hAnsi="Arial" w:eastAsia="Arial" w:cs="Arial"/>
                <w:b/>
                <w:bCs/>
                <w:i w:val="0"/>
                <w:iCs w:val="0"/>
                <w:color w:val="FFFFFF"/>
                <w:sz w:val="17"/>
                <w:szCs w:val="17"/>
              </w:rPr>
              <w:t>Tool</w:t>
            </w:r>
          </w:p>
        </w:tc>
      </w:tr>
      <w:tr w14:paraId="2CFE3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80" w:type="dxa"/>
            <w:tcBorders>
              <w:top w:val="single" w:color="CCCCCC" w:sz="4" w:space="0"/>
              <w:left w:val="single" w:color="CCCCCC" w:sz="4" w:space="0"/>
              <w:bottom w:val="single" w:color="CCCCCC" w:sz="4" w:space="0"/>
              <w:right w:val="single" w:color="CCCCCC" w:sz="4" w:space="0"/>
            </w:tcBorders>
            <w:shd w:val="clear" w:color="auto" w:fill="DEEAF1"/>
            <w:tcMar>
              <w:top w:w="75" w:type="dxa"/>
              <w:left w:w="120" w:type="dxa"/>
              <w:bottom w:w="75" w:type="dxa"/>
              <w:right w:w="120" w:type="dxa"/>
            </w:tcMar>
            <w:vAlign w:val="center"/>
          </w:tcPr>
          <w:p w14:paraId="340686BC">
            <w:pPr>
              <w:spacing w:before="55" w:after="55"/>
              <w:jc w:val="center"/>
            </w:pPr>
            <w:r>
              <w:rPr>
                <w:rFonts w:ascii="Arial" w:hAnsi="Arial" w:eastAsia="Arial" w:cs="Arial"/>
                <w:b/>
                <w:bCs/>
                <w:i w:val="0"/>
                <w:iCs w:val="0"/>
                <w:color w:val="1F3864"/>
                <w:sz w:val="17"/>
                <w:szCs w:val="17"/>
              </w:rPr>
              <w:t>10 Sheets</w:t>
            </w:r>
          </w:p>
        </w:tc>
        <w:tc>
          <w:tcPr>
            <w:tcW w:w="2480" w:type="dxa"/>
            <w:tcBorders>
              <w:top w:val="single" w:color="CCCCCC" w:sz="4" w:space="0"/>
              <w:left w:val="single" w:color="CCCCCC" w:sz="4" w:space="0"/>
              <w:bottom w:val="single" w:color="CCCCCC" w:sz="4" w:space="0"/>
              <w:right w:val="single" w:color="CCCCCC" w:sz="4" w:space="0"/>
            </w:tcBorders>
            <w:shd w:val="clear" w:color="auto" w:fill="DEEAF1"/>
            <w:tcMar>
              <w:top w:w="75" w:type="dxa"/>
              <w:left w:w="120" w:type="dxa"/>
              <w:bottom w:w="75" w:type="dxa"/>
              <w:right w:w="120" w:type="dxa"/>
            </w:tcMar>
            <w:vAlign w:val="center"/>
          </w:tcPr>
          <w:p w14:paraId="483CC10E">
            <w:pPr>
              <w:spacing w:before="55" w:after="55"/>
              <w:jc w:val="center"/>
              <w:rPr>
                <w:rFonts w:ascii="Arial" w:hAnsi="Arial" w:eastAsia="Arial" w:cs="Arial"/>
                <w:b w:val="0"/>
                <w:bCs w:val="0"/>
                <w:i w:val="0"/>
                <w:iCs w:val="0"/>
                <w:color w:val="1F1F1F"/>
                <w:sz w:val="17"/>
                <w:szCs w:val="17"/>
              </w:rPr>
            </w:pPr>
            <w:r>
              <w:rPr>
                <w:rFonts w:ascii="Arial" w:hAnsi="Arial" w:eastAsia="Arial" w:cs="Arial"/>
                <w:b w:val="0"/>
                <w:bCs w:val="0"/>
                <w:i w:val="0"/>
                <w:iCs w:val="0"/>
                <w:color w:val="1F1F1F"/>
                <w:sz w:val="17"/>
                <w:szCs w:val="17"/>
              </w:rPr>
              <w:t xml:space="preserve">67,375 Orders  </w:t>
            </w:r>
          </w:p>
          <w:p w14:paraId="7BD4DA01">
            <w:pPr>
              <w:spacing w:before="55" w:after="55"/>
              <w:jc w:val="center"/>
            </w:pPr>
            <w:r>
              <w:rPr>
                <w:rFonts w:ascii="Arial" w:hAnsi="Arial" w:eastAsia="Arial" w:cs="Arial"/>
                <w:b w:val="0"/>
                <w:bCs w:val="0"/>
                <w:i w:val="0"/>
                <w:iCs w:val="0"/>
                <w:color w:val="1F1F1F"/>
                <w:sz w:val="17"/>
                <w:szCs w:val="17"/>
              </w:rPr>
              <w:t xml:space="preserve">  18,479 Customers</w:t>
            </w:r>
          </w:p>
        </w:tc>
        <w:tc>
          <w:tcPr>
            <w:tcW w:w="2480" w:type="dxa"/>
            <w:tcBorders>
              <w:top w:val="single" w:color="CCCCCC" w:sz="4" w:space="0"/>
              <w:left w:val="single" w:color="CCCCCC" w:sz="4" w:space="0"/>
              <w:bottom w:val="single" w:color="CCCCCC" w:sz="4" w:space="0"/>
              <w:right w:val="single" w:color="CCCCCC" w:sz="4" w:space="0"/>
            </w:tcBorders>
            <w:shd w:val="clear" w:color="auto" w:fill="DEEAF1"/>
            <w:tcMar>
              <w:top w:w="75" w:type="dxa"/>
              <w:left w:w="120" w:type="dxa"/>
              <w:bottom w:w="75" w:type="dxa"/>
              <w:right w:w="120" w:type="dxa"/>
            </w:tcMar>
            <w:vAlign w:val="center"/>
          </w:tcPr>
          <w:p w14:paraId="3E613B99">
            <w:pPr>
              <w:spacing w:before="55" w:after="55"/>
              <w:jc w:val="center"/>
            </w:pPr>
            <w:r>
              <w:rPr>
                <w:rFonts w:ascii="Arial" w:hAnsi="Arial" w:eastAsia="Arial" w:cs="Arial"/>
                <w:b w:val="0"/>
                <w:bCs w:val="0"/>
                <w:i w:val="0"/>
                <w:iCs w:val="0"/>
                <w:color w:val="1F1F1F"/>
                <w:sz w:val="17"/>
                <w:szCs w:val="17"/>
              </w:rPr>
              <w:t>Microsoft Excel</w:t>
            </w:r>
          </w:p>
        </w:tc>
      </w:tr>
    </w:tbl>
    <w:p w14:paraId="0331AE70">
      <w:pPr>
        <w:spacing w:before="20" w:after="20"/>
      </w:pPr>
    </w:p>
    <w:p w14:paraId="470FDE60">
      <w:pPr>
        <w:spacing w:before="20" w:after="20"/>
      </w:pPr>
    </w:p>
    <w:p w14:paraId="0A67DF64">
      <w:pPr>
        <w:spacing w:before="20" w:after="20"/>
      </w:pPr>
    </w:p>
    <w:p w14:paraId="7F7B3426">
      <w:pPr>
        <w:spacing w:before="20" w:after="20"/>
      </w:pPr>
    </w:p>
    <w:p w14:paraId="67C8CAD8">
      <w:pPr>
        <w:spacing w:before="20" w:after="20"/>
      </w:pPr>
    </w:p>
    <w:p w14:paraId="304BE794">
      <w:pPr>
        <w:spacing w:before="20" w:after="20"/>
      </w:pPr>
    </w:p>
    <w:p w14:paraId="0682302D">
      <w:pPr>
        <w:pBdr>
          <w:bottom w:val="single" w:color="1F3864" w:sz="6" w:space="1"/>
        </w:pBdr>
        <w:spacing w:before="80" w:after="80"/>
      </w:pPr>
    </w:p>
    <w:p w14:paraId="31B790B7">
      <w:pPr>
        <w:pBdr>
          <w:bottom w:val="single" w:color="1F3864" w:sz="6" w:space="1"/>
        </w:pBdr>
        <w:spacing w:before="80" w:after="80"/>
        <w:jc w:val="center"/>
      </w:pPr>
    </w:p>
    <w:p w14:paraId="40E2C54A">
      <w:pPr>
        <w:spacing w:before="80" w:after="0"/>
        <w:jc w:val="center"/>
      </w:pPr>
      <w:r>
        <w:rPr>
          <w:rFonts w:ascii="Arial" w:hAnsi="Arial" w:eastAsia="Arial" w:cs="Arial"/>
          <w:b w:val="0"/>
          <w:bCs w:val="0"/>
          <w:i/>
          <w:iCs/>
          <w:color w:val="595959"/>
          <w:sz w:val="16"/>
          <w:szCs w:val="16"/>
        </w:rPr>
        <w:t xml:space="preserve">Prepared by: </w:t>
      </w:r>
      <w:r>
        <w:rPr>
          <w:rFonts w:hint="default" w:cs="Arial"/>
          <w:b w:val="0"/>
          <w:bCs w:val="0"/>
          <w:i/>
          <w:iCs/>
          <w:color w:val="595959"/>
          <w:sz w:val="16"/>
          <w:szCs w:val="16"/>
          <w:lang w:val="en-IN"/>
        </w:rPr>
        <w:t>Himanshu Kumar</w:t>
      </w:r>
      <w:r>
        <w:rPr>
          <w:rFonts w:ascii="Arial" w:hAnsi="Arial" w:eastAsia="Arial" w:cs="Arial"/>
          <w:b w:val="0"/>
          <w:bCs w:val="0"/>
          <w:i/>
          <w:iCs/>
          <w:color w:val="595959"/>
          <w:sz w:val="16"/>
          <w:szCs w:val="16"/>
        </w:rPr>
        <w:t xml:space="preserve">  |  Tool: Microsoft Excel</w:t>
      </w:r>
    </w:p>
    <w:p w14:paraId="46180D2D">
      <w:r>
        <w:br w:type="page"/>
      </w:r>
      <w:bookmarkStart w:id="0" w:name="_GoBack"/>
      <w:bookmarkEnd w:id="0"/>
    </w:p>
    <w:p w14:paraId="2B8EBE2C">
      <w:pPr>
        <w:pStyle w:val="2"/>
        <w:shd w:val="clear" w:fill="1F3864"/>
        <w:spacing w:before="260" w:after="140"/>
        <w:ind w:left="160"/>
      </w:pPr>
      <w:r>
        <w:rPr>
          <w:rFonts w:ascii="Arial" w:hAnsi="Arial" w:eastAsia="Arial" w:cs="Arial"/>
          <w:b/>
          <w:bCs/>
          <w:color w:val="FFFFFF"/>
          <w:sz w:val="40"/>
          <w:szCs w:val="40"/>
        </w:rPr>
        <w:t>1.  Project Overview</w:t>
      </w:r>
    </w:p>
    <w:p w14:paraId="411496C8">
      <w:pPr>
        <w:spacing w:before="20" w:after="20"/>
      </w:pPr>
    </w:p>
    <w:p w14:paraId="094CD1E2">
      <w:pPr>
        <w:pStyle w:val="3"/>
        <w:pBdr>
          <w:bottom w:val="single" w:color="2E75B6" w:sz="4" w:space="2"/>
        </w:pBdr>
        <w:spacing w:before="200" w:after="80"/>
      </w:pPr>
      <w:r>
        <w:rPr>
          <w:rFonts w:ascii="Arial" w:hAnsi="Arial" w:eastAsia="Arial" w:cs="Arial"/>
          <w:b/>
          <w:bCs/>
          <w:color w:val="1F3864"/>
          <w:sz w:val="26"/>
          <w:szCs w:val="26"/>
        </w:rPr>
        <w:t>1.1  Business Objective</w:t>
      </w:r>
    </w:p>
    <w:p w14:paraId="172DB1E6">
      <w:pPr>
        <w:spacing w:before="55" w:after="55" w:line="296" w:lineRule="auto"/>
      </w:pPr>
      <w:r>
        <w:rPr>
          <w:rFonts w:ascii="Arial" w:hAnsi="Arial" w:eastAsia="Arial" w:cs="Arial"/>
          <w:b w:val="0"/>
          <w:bCs w:val="0"/>
          <w:i w:val="0"/>
          <w:iCs w:val="0"/>
          <w:color w:val="1F1F1F"/>
          <w:sz w:val="20"/>
          <w:szCs w:val="20"/>
        </w:rPr>
        <w:t xml:space="preserve">This project analyses four years of retail transactional data (2013–2016) to surface revenue opportunities, profitability trends, and customer behaviour patterns across five US states. The workbook was built using Microsoft Excel with 826 live formulas — no </w:t>
      </w:r>
      <w:r>
        <w:rPr>
          <w:rFonts w:cs="Arial"/>
          <w:b w:val="0"/>
          <w:bCs w:val="0"/>
          <w:i w:val="0"/>
          <w:iCs w:val="0"/>
          <w:color w:val="1F1F1F"/>
          <w:sz w:val="20"/>
          <w:szCs w:val="20"/>
          <w:lang w:val="en-IN"/>
        </w:rPr>
        <w:t>hard coded</w:t>
      </w:r>
      <w:r>
        <w:rPr>
          <w:rFonts w:ascii="Arial" w:hAnsi="Arial" w:eastAsia="Arial" w:cs="Arial"/>
          <w:b w:val="0"/>
          <w:bCs w:val="0"/>
          <w:i w:val="0"/>
          <w:iCs w:val="0"/>
          <w:color w:val="1F1F1F"/>
          <w:sz w:val="20"/>
          <w:szCs w:val="20"/>
        </w:rPr>
        <w:t xml:space="preserve"> values — so every number updates automatically when source data changes.</w:t>
      </w:r>
    </w:p>
    <w:p w14:paraId="31D519F2">
      <w:pPr>
        <w:spacing w:before="20" w:after="20"/>
      </w:pPr>
    </w:p>
    <w:p w14:paraId="5C4167C0">
      <w:pPr>
        <w:spacing w:before="55" w:after="55" w:line="296" w:lineRule="auto"/>
      </w:pPr>
      <w:r>
        <w:rPr>
          <w:rFonts w:ascii="Arial" w:hAnsi="Arial" w:eastAsia="Arial" w:cs="Arial"/>
          <w:b w:val="0"/>
          <w:bCs w:val="0"/>
          <w:i w:val="0"/>
          <w:iCs w:val="0"/>
          <w:color w:val="1F1F1F"/>
          <w:sz w:val="20"/>
          <w:szCs w:val="20"/>
        </w:rPr>
        <w:t>The analysis answers five core business questions:</w:t>
      </w:r>
    </w:p>
    <w:p w14:paraId="5A205B22">
      <w:pPr>
        <w:spacing w:before="20" w:after="20"/>
      </w:pPr>
    </w:p>
    <w:p w14:paraId="38300888">
      <w:pPr>
        <w:pStyle w:val="16"/>
        <w:numPr>
          <w:ilvl w:val="0"/>
          <w:numId w:val="1"/>
        </w:numPr>
        <w:spacing w:before="36" w:after="36" w:line="276" w:lineRule="auto"/>
      </w:pPr>
      <w:r>
        <w:rPr>
          <w:rFonts w:ascii="Arial" w:hAnsi="Arial" w:eastAsia="Arial" w:cs="Arial"/>
          <w:b w:val="0"/>
          <w:bCs w:val="0"/>
          <w:i w:val="0"/>
          <w:iCs w:val="0"/>
          <w:color w:val="1F1F1F"/>
          <w:sz w:val="20"/>
          <w:szCs w:val="20"/>
        </w:rPr>
        <w:t>Which states and product categories generate the most revenue and profit?</w:t>
      </w:r>
    </w:p>
    <w:p w14:paraId="5EA4F0F6">
      <w:pPr>
        <w:pStyle w:val="16"/>
        <w:numPr>
          <w:ilvl w:val="0"/>
          <w:numId w:val="1"/>
        </w:numPr>
        <w:spacing w:before="36" w:after="36" w:line="276" w:lineRule="auto"/>
      </w:pPr>
      <w:r>
        <w:rPr>
          <w:rFonts w:ascii="Arial" w:hAnsi="Arial" w:eastAsia="Arial" w:cs="Arial"/>
          <w:b w:val="0"/>
          <w:bCs w:val="0"/>
          <w:i w:val="0"/>
          <w:iCs w:val="0"/>
          <w:color w:val="1F1F1F"/>
          <w:sz w:val="20"/>
          <w:szCs w:val="20"/>
        </w:rPr>
        <w:t>What are the monthly and year-over-year revenue and margin trends?</w:t>
      </w:r>
    </w:p>
    <w:p w14:paraId="517CB7D5">
      <w:pPr>
        <w:pStyle w:val="16"/>
        <w:numPr>
          <w:ilvl w:val="0"/>
          <w:numId w:val="1"/>
        </w:numPr>
        <w:spacing w:before="36" w:after="36" w:line="276" w:lineRule="auto"/>
      </w:pPr>
      <w:r>
        <w:rPr>
          <w:rFonts w:ascii="Arial" w:hAnsi="Arial" w:eastAsia="Arial" w:cs="Arial"/>
          <w:b w:val="0"/>
          <w:bCs w:val="0"/>
          <w:i w:val="0"/>
          <w:iCs w:val="0"/>
          <w:color w:val="1F1F1F"/>
          <w:sz w:val="20"/>
          <w:szCs w:val="20"/>
        </w:rPr>
        <w:t>How do customer demographics — age, gender, education, marital status, pets — drive revenue?</w:t>
      </w:r>
    </w:p>
    <w:p w14:paraId="19E0A422">
      <w:pPr>
        <w:pStyle w:val="16"/>
        <w:numPr>
          <w:ilvl w:val="0"/>
          <w:numId w:val="1"/>
        </w:numPr>
        <w:spacing w:before="36" w:after="36" w:line="276" w:lineRule="auto"/>
      </w:pPr>
      <w:r>
        <w:rPr>
          <w:rFonts w:ascii="Arial" w:hAnsi="Arial" w:eastAsia="Arial" w:cs="Arial"/>
          <w:b w:val="0"/>
          <w:bCs w:val="0"/>
          <w:i w:val="0"/>
          <w:iCs w:val="0"/>
          <w:color w:val="1F1F1F"/>
          <w:sz w:val="20"/>
          <w:szCs w:val="20"/>
        </w:rPr>
        <w:t>What do customer review scores reveal about satisfaction and loyalty?</w:t>
      </w:r>
    </w:p>
    <w:p w14:paraId="400E95D7">
      <w:pPr>
        <w:pStyle w:val="16"/>
        <w:numPr>
          <w:ilvl w:val="0"/>
          <w:numId w:val="1"/>
        </w:numPr>
        <w:spacing w:before="36" w:after="36" w:line="276" w:lineRule="auto"/>
      </w:pPr>
      <w:r>
        <w:rPr>
          <w:rFonts w:ascii="Arial" w:hAnsi="Arial" w:eastAsia="Arial" w:cs="Arial"/>
          <w:b w:val="0"/>
          <w:bCs w:val="0"/>
          <w:i w:val="0"/>
          <w:iCs w:val="0"/>
          <w:color w:val="1F1F1F"/>
          <w:sz w:val="20"/>
          <w:szCs w:val="20"/>
        </w:rPr>
        <w:t xml:space="preserve">Where should the business invest to </w:t>
      </w:r>
      <w:r>
        <w:rPr>
          <w:rFonts w:cs="Arial"/>
          <w:b w:val="0"/>
          <w:bCs w:val="0"/>
          <w:i w:val="0"/>
          <w:iCs w:val="0"/>
          <w:color w:val="1F1F1F"/>
          <w:sz w:val="20"/>
          <w:szCs w:val="20"/>
          <w:lang w:val="en-IN"/>
        </w:rPr>
        <w:t>maximize</w:t>
      </w:r>
      <w:r>
        <w:rPr>
          <w:rFonts w:ascii="Arial" w:hAnsi="Arial" w:eastAsia="Arial" w:cs="Arial"/>
          <w:b w:val="0"/>
          <w:bCs w:val="0"/>
          <w:i w:val="0"/>
          <w:iCs w:val="0"/>
          <w:color w:val="1F1F1F"/>
          <w:sz w:val="20"/>
          <w:szCs w:val="20"/>
        </w:rPr>
        <w:t xml:space="preserve"> growth?</w:t>
      </w:r>
    </w:p>
    <w:p w14:paraId="05447598">
      <w:pPr>
        <w:spacing w:before="20" w:after="20"/>
      </w:pPr>
    </w:p>
    <w:p w14:paraId="6354D06C">
      <w:pPr>
        <w:pStyle w:val="3"/>
        <w:pBdr>
          <w:bottom w:val="single" w:color="2E75B6" w:sz="4" w:space="2"/>
        </w:pBdr>
        <w:spacing w:before="200" w:after="80"/>
      </w:pPr>
      <w:r>
        <w:rPr>
          <w:rFonts w:ascii="Arial" w:hAnsi="Arial" w:eastAsia="Arial" w:cs="Arial"/>
          <w:b/>
          <w:bCs/>
          <w:color w:val="1F3864"/>
          <w:sz w:val="26"/>
          <w:szCs w:val="26"/>
        </w:rPr>
        <w:t>1.2  Workbook Structure</w:t>
      </w:r>
    </w:p>
    <w:tbl>
      <w:tblPr>
        <w:tblStyle w:val="9"/>
        <w:tblW w:w="99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800"/>
        <w:gridCol w:w="5990"/>
      </w:tblGrid>
      <w:tr w14:paraId="1E30C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4C438C2D">
            <w:pPr>
              <w:spacing w:before="55" w:after="55"/>
              <w:jc w:val="center"/>
            </w:pPr>
            <w:r>
              <w:rPr>
                <w:rFonts w:ascii="Arial" w:hAnsi="Arial" w:eastAsia="Arial" w:cs="Arial"/>
                <w:b/>
                <w:bCs/>
                <w:i w:val="0"/>
                <w:iCs w:val="0"/>
                <w:color w:val="FFFFFF"/>
                <w:sz w:val="17"/>
                <w:szCs w:val="17"/>
              </w:rPr>
              <w:t>#</w:t>
            </w:r>
          </w:p>
        </w:tc>
        <w:tc>
          <w:tcPr>
            <w:tcW w:w="280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29328C42">
            <w:pPr>
              <w:spacing w:before="55" w:after="55"/>
              <w:jc w:val="center"/>
            </w:pPr>
            <w:r>
              <w:rPr>
                <w:rFonts w:ascii="Arial" w:hAnsi="Arial" w:eastAsia="Arial" w:cs="Arial"/>
                <w:b/>
                <w:bCs/>
                <w:i w:val="0"/>
                <w:iCs w:val="0"/>
                <w:color w:val="FFFFFF"/>
                <w:sz w:val="17"/>
                <w:szCs w:val="17"/>
              </w:rPr>
              <w:t>Sheet</w:t>
            </w:r>
          </w:p>
        </w:tc>
        <w:tc>
          <w:tcPr>
            <w:tcW w:w="599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74984044">
            <w:pPr>
              <w:spacing w:before="55" w:after="55"/>
              <w:jc w:val="center"/>
            </w:pPr>
            <w:r>
              <w:rPr>
                <w:rFonts w:ascii="Arial" w:hAnsi="Arial" w:eastAsia="Arial" w:cs="Arial"/>
                <w:b/>
                <w:bCs/>
                <w:i w:val="0"/>
                <w:iCs w:val="0"/>
                <w:color w:val="FFFFFF"/>
                <w:sz w:val="17"/>
                <w:szCs w:val="17"/>
              </w:rPr>
              <w:t>Purpose &amp; Key Formulas</w:t>
            </w:r>
          </w:p>
        </w:tc>
      </w:tr>
      <w:tr w14:paraId="7A5D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37B8E15">
            <w:pPr>
              <w:spacing w:before="55" w:after="55"/>
              <w:jc w:val="center"/>
            </w:pPr>
            <w:r>
              <w:rPr>
                <w:rFonts w:ascii="Arial" w:hAnsi="Arial" w:eastAsia="Arial" w:cs="Arial"/>
                <w:b/>
                <w:bCs/>
                <w:i w:val="0"/>
                <w:iCs w:val="0"/>
                <w:color w:val="1F3864"/>
                <w:sz w:val="17"/>
                <w:szCs w:val="17"/>
              </w:rPr>
              <w:t>1</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2AF81317">
            <w:pPr>
              <w:spacing w:before="55" w:after="55"/>
              <w:jc w:val="left"/>
            </w:pPr>
            <w:r>
              <w:rPr>
                <w:rFonts w:ascii="Arial" w:hAnsi="Arial" w:eastAsia="Arial" w:cs="Arial"/>
                <w:b/>
                <w:bCs/>
                <w:i w:val="0"/>
                <w:iCs w:val="0"/>
                <w:color w:val="1F1F1F"/>
                <w:sz w:val="17"/>
                <w:szCs w:val="17"/>
              </w:rPr>
              <w:t>Orders_Data</w:t>
            </w:r>
          </w:p>
        </w:tc>
        <w:tc>
          <w:tcPr>
            <w:tcW w:w="599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3FA5423D">
            <w:pPr>
              <w:spacing w:before="55" w:after="55"/>
              <w:jc w:val="left"/>
            </w:pPr>
            <w:r>
              <w:rPr>
                <w:rFonts w:ascii="Arial" w:hAnsi="Arial" w:eastAsia="Arial" w:cs="Arial"/>
                <w:b w:val="0"/>
                <w:bCs w:val="0"/>
                <w:i w:val="0"/>
                <w:iCs w:val="0"/>
                <w:color w:val="1F1F1F"/>
                <w:sz w:val="17"/>
                <w:szCs w:val="17"/>
              </w:rPr>
              <w:t>Source table — 67,375 rows, 17 columns incl. helper columns R(education), S(marital_status), T(pets) pre-joined from Customers_Data using VLOOKUP</w:t>
            </w:r>
          </w:p>
        </w:tc>
      </w:tr>
      <w:tr w14:paraId="49EEF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680D0DBF">
            <w:pPr>
              <w:spacing w:before="55" w:after="55"/>
              <w:jc w:val="center"/>
            </w:pPr>
            <w:r>
              <w:rPr>
                <w:rFonts w:ascii="Arial" w:hAnsi="Arial" w:eastAsia="Arial" w:cs="Arial"/>
                <w:b/>
                <w:bCs/>
                <w:i w:val="0"/>
                <w:iCs w:val="0"/>
                <w:color w:val="1F3864"/>
                <w:sz w:val="17"/>
                <w:szCs w:val="17"/>
              </w:rPr>
              <w:t>2</w:t>
            </w:r>
          </w:p>
        </w:tc>
        <w:tc>
          <w:tcPr>
            <w:tcW w:w="28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50B7C65E">
            <w:pPr>
              <w:spacing w:before="55" w:after="55"/>
              <w:jc w:val="left"/>
            </w:pPr>
            <w:r>
              <w:rPr>
                <w:rFonts w:ascii="Arial" w:hAnsi="Arial" w:eastAsia="Arial" w:cs="Arial"/>
                <w:b/>
                <w:bCs/>
                <w:i w:val="0"/>
                <w:iCs w:val="0"/>
                <w:color w:val="1F1F1F"/>
                <w:sz w:val="17"/>
                <w:szCs w:val="17"/>
              </w:rPr>
              <w:t>Customers_Data</w:t>
            </w:r>
          </w:p>
        </w:tc>
        <w:tc>
          <w:tcPr>
            <w:tcW w:w="599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38EA2A4D">
            <w:pPr>
              <w:spacing w:before="55" w:after="55"/>
              <w:jc w:val="left"/>
            </w:pPr>
            <w:r>
              <w:rPr>
                <w:rFonts w:ascii="Arial" w:hAnsi="Arial" w:eastAsia="Arial" w:cs="Arial"/>
                <w:b w:val="0"/>
                <w:bCs w:val="0"/>
                <w:i w:val="0"/>
                <w:iCs w:val="0"/>
                <w:color w:val="1F1F1F"/>
                <w:sz w:val="17"/>
                <w:szCs w:val="17"/>
              </w:rPr>
              <w:t>Source table — 18,479 customer records with demographics</w:t>
            </w:r>
          </w:p>
        </w:tc>
      </w:tr>
      <w:tr w14:paraId="528B4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E67CB07">
            <w:pPr>
              <w:spacing w:before="55" w:after="55"/>
              <w:jc w:val="center"/>
            </w:pPr>
            <w:r>
              <w:rPr>
                <w:rFonts w:ascii="Arial" w:hAnsi="Arial" w:eastAsia="Arial" w:cs="Arial"/>
                <w:b/>
                <w:bCs/>
                <w:i w:val="0"/>
                <w:iCs w:val="0"/>
                <w:color w:val="1F3864"/>
                <w:sz w:val="17"/>
                <w:szCs w:val="17"/>
              </w:rPr>
              <w:t>3</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12361246">
            <w:pPr>
              <w:spacing w:before="55" w:after="55"/>
              <w:jc w:val="left"/>
            </w:pPr>
            <w:r>
              <w:rPr>
                <w:rFonts w:ascii="Arial" w:hAnsi="Arial" w:eastAsia="Arial" w:cs="Arial"/>
                <w:b/>
                <w:bCs/>
                <w:i w:val="0"/>
                <w:iCs w:val="0"/>
                <w:color w:val="1F1F1F"/>
                <w:sz w:val="17"/>
                <w:szCs w:val="17"/>
              </w:rPr>
              <w:t>KPI_Calc (hidden)</w:t>
            </w:r>
          </w:p>
        </w:tc>
        <w:tc>
          <w:tcPr>
            <w:tcW w:w="599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FBF7EC9">
            <w:pPr>
              <w:spacing w:before="55" w:after="55"/>
              <w:jc w:val="left"/>
            </w:pPr>
            <w:r>
              <w:rPr>
                <w:rFonts w:ascii="Arial" w:hAnsi="Arial" w:eastAsia="Arial" w:cs="Arial"/>
                <w:b w:val="0"/>
                <w:bCs w:val="0"/>
                <w:i w:val="0"/>
                <w:iCs w:val="0"/>
                <w:color w:val="1F1F1F"/>
                <w:sz w:val="17"/>
                <w:szCs w:val="17"/>
              </w:rPr>
              <w:t>Central formula engine — SUM, SUMIF, COUNTIF, COUNTA, AVERAGE, SUMPRODUCT used here; all other sheets reference this</w:t>
            </w:r>
          </w:p>
        </w:tc>
      </w:tr>
      <w:tr w14:paraId="4259A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0B5B21BF">
            <w:pPr>
              <w:spacing w:before="55" w:after="55"/>
              <w:jc w:val="center"/>
            </w:pPr>
            <w:r>
              <w:rPr>
                <w:rFonts w:ascii="Arial" w:hAnsi="Arial" w:eastAsia="Arial" w:cs="Arial"/>
                <w:b/>
                <w:bCs/>
                <w:i w:val="0"/>
                <w:iCs w:val="0"/>
                <w:color w:val="1F3864"/>
                <w:sz w:val="17"/>
                <w:szCs w:val="17"/>
              </w:rPr>
              <w:t>4</w:t>
            </w:r>
          </w:p>
        </w:tc>
        <w:tc>
          <w:tcPr>
            <w:tcW w:w="28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1389E65E">
            <w:pPr>
              <w:spacing w:before="55" w:after="55"/>
              <w:jc w:val="left"/>
            </w:pPr>
            <w:r>
              <w:rPr>
                <w:rFonts w:ascii="Arial" w:hAnsi="Arial" w:eastAsia="Arial" w:cs="Arial"/>
                <w:b/>
                <w:bCs/>
                <w:i w:val="0"/>
                <w:iCs w:val="0"/>
                <w:color w:val="1F1F1F"/>
                <w:sz w:val="17"/>
                <w:szCs w:val="17"/>
              </w:rPr>
              <w:t xml:space="preserve"> KPI Dashboard</w:t>
            </w:r>
          </w:p>
        </w:tc>
        <w:tc>
          <w:tcPr>
            <w:tcW w:w="599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623C12A5">
            <w:pPr>
              <w:spacing w:before="55" w:after="55"/>
              <w:jc w:val="left"/>
            </w:pPr>
            <w:r>
              <w:rPr>
                <w:rFonts w:ascii="Arial" w:hAnsi="Arial" w:eastAsia="Arial" w:cs="Arial"/>
                <w:b w:val="0"/>
                <w:bCs w:val="0"/>
                <w:i w:val="0"/>
                <w:iCs w:val="0"/>
                <w:color w:val="1F1F1F"/>
                <w:sz w:val="17"/>
                <w:szCs w:val="17"/>
              </w:rPr>
              <w:t>6 KPI cards + Revenue by Year (YoY growth), Revenue by State (% share), Revenue by Category (margin)</w:t>
            </w:r>
          </w:p>
        </w:tc>
      </w:tr>
      <w:tr w14:paraId="0D8CA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6BA6BA83">
            <w:pPr>
              <w:spacing w:before="55" w:after="55"/>
              <w:jc w:val="center"/>
            </w:pPr>
            <w:r>
              <w:rPr>
                <w:rFonts w:ascii="Arial" w:hAnsi="Arial" w:eastAsia="Arial" w:cs="Arial"/>
                <w:b/>
                <w:bCs/>
                <w:i w:val="0"/>
                <w:iCs w:val="0"/>
                <w:color w:val="1F3864"/>
                <w:sz w:val="17"/>
                <w:szCs w:val="17"/>
              </w:rPr>
              <w:t>5</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78844A48">
            <w:pPr>
              <w:spacing w:before="55" w:after="55"/>
              <w:jc w:val="left"/>
            </w:pPr>
            <w:r>
              <w:rPr>
                <w:rFonts w:ascii="Arial" w:hAnsi="Arial" w:eastAsia="Arial" w:cs="Arial"/>
                <w:b/>
                <w:bCs/>
                <w:i w:val="0"/>
                <w:iCs w:val="0"/>
                <w:color w:val="1F1F1F"/>
                <w:sz w:val="17"/>
                <w:szCs w:val="17"/>
              </w:rPr>
              <w:t xml:space="preserve"> Orders Analysis</w:t>
            </w:r>
          </w:p>
        </w:tc>
        <w:tc>
          <w:tcPr>
            <w:tcW w:w="599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3FE7D33F">
            <w:pPr>
              <w:spacing w:before="55" w:after="55"/>
              <w:jc w:val="left"/>
            </w:pPr>
            <w:r>
              <w:rPr>
                <w:rFonts w:ascii="Arial" w:hAnsi="Arial" w:eastAsia="Arial" w:cs="Arial"/>
                <w:b w:val="0"/>
                <w:bCs w:val="0"/>
                <w:i w:val="0"/>
                <w:iCs w:val="0"/>
                <w:color w:val="1F1F1F"/>
                <w:sz w:val="17"/>
                <w:szCs w:val="17"/>
              </w:rPr>
              <w:t>Annual summary + 48-row monthly table using SUMIFS, COUNTIFS, AVERAGEIFS, IFERROR</w:t>
            </w:r>
          </w:p>
        </w:tc>
      </w:tr>
      <w:tr w14:paraId="08F47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07A8C825">
            <w:pPr>
              <w:spacing w:before="55" w:after="55"/>
              <w:jc w:val="center"/>
            </w:pPr>
            <w:r>
              <w:rPr>
                <w:rFonts w:ascii="Arial" w:hAnsi="Arial" w:eastAsia="Arial" w:cs="Arial"/>
                <w:b/>
                <w:bCs/>
                <w:i w:val="0"/>
                <w:iCs w:val="0"/>
                <w:color w:val="1F3864"/>
                <w:sz w:val="17"/>
                <w:szCs w:val="17"/>
              </w:rPr>
              <w:t>6</w:t>
            </w:r>
          </w:p>
        </w:tc>
        <w:tc>
          <w:tcPr>
            <w:tcW w:w="28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53653D12">
            <w:pPr>
              <w:spacing w:before="55" w:after="55"/>
              <w:jc w:val="left"/>
            </w:pPr>
            <w:r>
              <w:rPr>
                <w:rFonts w:ascii="Arial" w:hAnsi="Arial" w:eastAsia="Arial" w:cs="Arial"/>
                <w:b/>
                <w:bCs/>
                <w:i w:val="0"/>
                <w:iCs w:val="0"/>
                <w:color w:val="1F1F1F"/>
                <w:sz w:val="17"/>
                <w:szCs w:val="17"/>
              </w:rPr>
              <w:t xml:space="preserve"> Product Analysis</w:t>
            </w:r>
          </w:p>
        </w:tc>
        <w:tc>
          <w:tcPr>
            <w:tcW w:w="599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6F580F79">
            <w:pPr>
              <w:spacing w:before="55" w:after="55"/>
              <w:jc w:val="left"/>
            </w:pPr>
            <w:r>
              <w:rPr>
                <w:rFonts w:ascii="Arial" w:hAnsi="Arial" w:eastAsia="Arial" w:cs="Arial"/>
                <w:b w:val="0"/>
                <w:bCs w:val="0"/>
                <w:i w:val="0"/>
                <w:iCs w:val="0"/>
                <w:color w:val="1F1F1F"/>
                <w:sz w:val="17"/>
                <w:szCs w:val="17"/>
              </w:rPr>
              <w:t>3 categories + 15 sub-categories: SUMIF, COUNTIF, margin = Profit/Revenue, share = Rev/Total</w:t>
            </w:r>
          </w:p>
        </w:tc>
      </w:tr>
      <w:tr w14:paraId="79E41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490FF92">
            <w:pPr>
              <w:spacing w:before="55" w:after="55"/>
              <w:jc w:val="center"/>
            </w:pPr>
            <w:r>
              <w:rPr>
                <w:rFonts w:ascii="Arial" w:hAnsi="Arial" w:eastAsia="Arial" w:cs="Arial"/>
                <w:b/>
                <w:bCs/>
                <w:i w:val="0"/>
                <w:iCs w:val="0"/>
                <w:color w:val="1F3864"/>
                <w:sz w:val="17"/>
                <w:szCs w:val="17"/>
              </w:rPr>
              <w:t>7</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1D9CF935">
            <w:pPr>
              <w:spacing w:before="55" w:after="55"/>
              <w:jc w:val="left"/>
            </w:pPr>
            <w:r>
              <w:rPr>
                <w:rFonts w:ascii="Arial" w:hAnsi="Arial" w:eastAsia="Arial" w:cs="Arial"/>
                <w:b/>
                <w:bCs/>
                <w:i w:val="0"/>
                <w:iCs w:val="0"/>
                <w:color w:val="1F1F1F"/>
                <w:sz w:val="17"/>
                <w:szCs w:val="17"/>
              </w:rPr>
              <w:t xml:space="preserve"> Regional Analysis</w:t>
            </w:r>
          </w:p>
        </w:tc>
        <w:tc>
          <w:tcPr>
            <w:tcW w:w="599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23EA0849">
            <w:pPr>
              <w:spacing w:before="55" w:after="55"/>
              <w:jc w:val="left"/>
            </w:pPr>
            <w:r>
              <w:rPr>
                <w:rFonts w:ascii="Arial" w:hAnsi="Arial" w:eastAsia="Arial" w:cs="Arial"/>
                <w:b w:val="0"/>
                <w:bCs w:val="0"/>
                <w:i w:val="0"/>
                <w:iCs w:val="0"/>
                <w:color w:val="1F1F1F"/>
                <w:sz w:val="17"/>
                <w:szCs w:val="17"/>
              </w:rPr>
              <w:t>State performance table + State×Year pivot using SUMIF, SUMIFS, AVERAGEIF, SUM</w:t>
            </w:r>
          </w:p>
        </w:tc>
      </w:tr>
      <w:tr w14:paraId="1CE46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5695D897">
            <w:pPr>
              <w:spacing w:before="55" w:after="55"/>
              <w:jc w:val="center"/>
            </w:pPr>
            <w:r>
              <w:rPr>
                <w:rFonts w:ascii="Arial" w:hAnsi="Arial" w:eastAsia="Arial" w:cs="Arial"/>
                <w:b/>
                <w:bCs/>
                <w:i w:val="0"/>
                <w:iCs w:val="0"/>
                <w:color w:val="1F3864"/>
                <w:sz w:val="17"/>
                <w:szCs w:val="17"/>
              </w:rPr>
              <w:t>8</w:t>
            </w:r>
          </w:p>
        </w:tc>
        <w:tc>
          <w:tcPr>
            <w:tcW w:w="28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01D1826F">
            <w:pPr>
              <w:spacing w:before="55" w:after="55"/>
              <w:jc w:val="left"/>
            </w:pPr>
            <w:r>
              <w:rPr>
                <w:rFonts w:ascii="Arial" w:hAnsi="Arial" w:eastAsia="Arial" w:cs="Arial"/>
                <w:b/>
                <w:bCs/>
                <w:i w:val="0"/>
                <w:iCs w:val="0"/>
                <w:color w:val="1F1F1F"/>
                <w:sz w:val="17"/>
                <w:szCs w:val="17"/>
              </w:rPr>
              <w:t xml:space="preserve"> Customer Analysis</w:t>
            </w:r>
          </w:p>
        </w:tc>
        <w:tc>
          <w:tcPr>
            <w:tcW w:w="599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02986C6F">
            <w:pPr>
              <w:spacing w:before="55" w:after="55"/>
              <w:jc w:val="left"/>
            </w:pPr>
            <w:r>
              <w:rPr>
                <w:rFonts w:ascii="Arial" w:hAnsi="Arial" w:eastAsia="Arial" w:cs="Arial"/>
                <w:b w:val="0"/>
                <w:bCs w:val="0"/>
                <w:i w:val="0"/>
                <w:iCs w:val="0"/>
                <w:color w:val="1F1F1F"/>
                <w:sz w:val="17"/>
                <w:szCs w:val="17"/>
              </w:rPr>
              <w:t>Gender (SUMIF), Age groups (SUMPRODUCT), Education/Marital/Pets (SUMIF on joined columns R,S,T)</w:t>
            </w:r>
          </w:p>
        </w:tc>
      </w:tr>
      <w:tr w14:paraId="5F29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96" w:hRule="atLeast"/>
        </w:trPr>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69E91E69">
            <w:pPr>
              <w:spacing w:before="55" w:after="55"/>
              <w:jc w:val="center"/>
            </w:pPr>
            <w:r>
              <w:rPr>
                <w:rFonts w:ascii="Arial" w:hAnsi="Arial" w:eastAsia="Arial" w:cs="Arial"/>
                <w:b/>
                <w:bCs/>
                <w:i w:val="0"/>
                <w:iCs w:val="0"/>
                <w:color w:val="1F3864"/>
                <w:sz w:val="17"/>
                <w:szCs w:val="17"/>
              </w:rPr>
              <w:t>9</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D83AFB4">
            <w:pPr>
              <w:spacing w:before="55" w:after="55"/>
              <w:jc w:val="left"/>
            </w:pPr>
            <w:r>
              <w:rPr>
                <w:rFonts w:ascii="Arial" w:hAnsi="Arial" w:eastAsia="Arial" w:cs="Arial"/>
                <w:b/>
                <w:bCs/>
                <w:i w:val="0"/>
                <w:iCs w:val="0"/>
                <w:color w:val="1F1F1F"/>
                <w:sz w:val="17"/>
                <w:szCs w:val="17"/>
              </w:rPr>
              <w:t xml:space="preserve"> Review Analysis</w:t>
            </w:r>
          </w:p>
        </w:tc>
        <w:tc>
          <w:tcPr>
            <w:tcW w:w="599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6023A490">
            <w:pPr>
              <w:spacing w:before="55" w:after="55"/>
              <w:jc w:val="left"/>
            </w:pPr>
            <w:r>
              <w:rPr>
                <w:rFonts w:ascii="Arial" w:hAnsi="Arial" w:eastAsia="Arial" w:cs="Arial"/>
                <w:b w:val="0"/>
                <w:bCs w:val="0"/>
                <w:i w:val="0"/>
                <w:iCs w:val="0"/>
                <w:color w:val="1F1F1F"/>
                <w:sz w:val="17"/>
                <w:szCs w:val="17"/>
              </w:rPr>
              <w:t>COUNTIF + SUMIF per review score (1–5), AVERAGEIF by category</w:t>
            </w:r>
          </w:p>
        </w:tc>
      </w:tr>
      <w:tr w14:paraId="3D86E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17C52BA2">
            <w:pPr>
              <w:spacing w:before="55" w:after="55"/>
              <w:jc w:val="center"/>
            </w:pPr>
            <w:r>
              <w:rPr>
                <w:rFonts w:ascii="Arial" w:hAnsi="Arial" w:eastAsia="Arial" w:cs="Arial"/>
                <w:b/>
                <w:bCs/>
                <w:i w:val="0"/>
                <w:iCs w:val="0"/>
                <w:color w:val="1F3864"/>
                <w:sz w:val="17"/>
                <w:szCs w:val="17"/>
              </w:rPr>
              <w:t>10</w:t>
            </w:r>
          </w:p>
        </w:tc>
        <w:tc>
          <w:tcPr>
            <w:tcW w:w="28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62E19AFE">
            <w:pPr>
              <w:spacing w:before="55" w:after="55"/>
              <w:jc w:val="left"/>
            </w:pPr>
            <w:r>
              <w:rPr>
                <w:rFonts w:ascii="Arial" w:hAnsi="Arial" w:eastAsia="Arial" w:cs="Arial"/>
                <w:b/>
                <w:bCs/>
                <w:i w:val="0"/>
                <w:iCs w:val="0"/>
                <w:color w:val="1F1F1F"/>
                <w:sz w:val="17"/>
                <w:szCs w:val="17"/>
              </w:rPr>
              <w:t>Formula Index</w:t>
            </w:r>
          </w:p>
        </w:tc>
        <w:tc>
          <w:tcPr>
            <w:tcW w:w="599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799C7692">
            <w:pPr>
              <w:spacing w:before="55" w:after="55"/>
              <w:jc w:val="left"/>
            </w:pPr>
            <w:r>
              <w:rPr>
                <w:rFonts w:ascii="Arial" w:hAnsi="Arial" w:eastAsia="Arial" w:cs="Arial"/>
                <w:b w:val="0"/>
                <w:bCs w:val="0"/>
                <w:i w:val="0"/>
                <w:iCs w:val="0"/>
                <w:color w:val="1F1F1F"/>
                <w:sz w:val="17"/>
                <w:szCs w:val="17"/>
              </w:rPr>
              <w:t>Reference guide — all 17 formula types documented with purpose and complexity level</w:t>
            </w:r>
          </w:p>
        </w:tc>
      </w:tr>
    </w:tbl>
    <w:p w14:paraId="216CADA2">
      <w:pPr>
        <w:pStyle w:val="2"/>
        <w:shd w:val="clear" w:fill="1F3864"/>
        <w:spacing w:before="260" w:after="140"/>
      </w:pPr>
      <w:r>
        <w:rPr>
          <w:rFonts w:ascii="Arial" w:hAnsi="Arial" w:eastAsia="Arial" w:cs="Arial"/>
          <w:b/>
          <w:bCs/>
          <w:color w:val="FFFFFF"/>
          <w:sz w:val="40"/>
          <w:szCs w:val="40"/>
        </w:rPr>
        <w:t>2.  Dataset</w:t>
      </w:r>
    </w:p>
    <w:p w14:paraId="0BE2E8DB">
      <w:pPr>
        <w:spacing w:before="20" w:after="20"/>
      </w:pPr>
    </w:p>
    <w:p w14:paraId="2A246E4C">
      <w:pPr>
        <w:spacing w:before="55" w:after="55" w:line="296" w:lineRule="auto"/>
      </w:pPr>
      <w:r>
        <w:rPr>
          <w:rFonts w:ascii="Arial" w:hAnsi="Arial" w:eastAsia="Arial" w:cs="Arial"/>
          <w:b w:val="0"/>
          <w:bCs w:val="0"/>
          <w:i w:val="0"/>
          <w:iCs w:val="0"/>
          <w:color w:val="1F1F1F"/>
          <w:sz w:val="20"/>
          <w:szCs w:val="20"/>
        </w:rPr>
        <w:t>Two source tables live in the workbook. All formula sheets reference them directly — no external file dependencies.</w:t>
      </w:r>
    </w:p>
    <w:p w14:paraId="4C8E197B">
      <w:pPr>
        <w:spacing w:before="20" w:after="20"/>
      </w:pPr>
    </w:p>
    <w:p w14:paraId="7B63E260">
      <w:pPr>
        <w:pStyle w:val="3"/>
        <w:pBdr>
          <w:bottom w:val="single" w:color="2E75B6" w:sz="4" w:space="2"/>
        </w:pBdr>
        <w:spacing w:before="200" w:after="80"/>
      </w:pPr>
      <w:r>
        <w:rPr>
          <w:rFonts w:ascii="Arial" w:hAnsi="Arial" w:eastAsia="Arial" w:cs="Arial"/>
          <w:b/>
          <w:bCs/>
          <w:color w:val="1F3864"/>
          <w:sz w:val="26"/>
          <w:szCs w:val="26"/>
        </w:rPr>
        <w:t>2.1  Orders_Data  —  67,375 rows, 17 columns (incl. 3 helper columns)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1400"/>
        <w:gridCol w:w="4360"/>
      </w:tblGrid>
      <w:tr w14:paraId="1406E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3DF6F962">
            <w:pPr>
              <w:spacing w:before="55" w:after="55"/>
              <w:jc w:val="center"/>
            </w:pPr>
            <w:r>
              <w:rPr>
                <w:rFonts w:ascii="Arial" w:hAnsi="Arial" w:eastAsia="Arial" w:cs="Arial"/>
                <w:b/>
                <w:bCs/>
                <w:i w:val="0"/>
                <w:iCs w:val="0"/>
                <w:color w:val="FFFFFF"/>
                <w:sz w:val="17"/>
                <w:szCs w:val="17"/>
              </w:rPr>
              <w:t>Col</w:t>
            </w:r>
          </w:p>
        </w:tc>
        <w:tc>
          <w:tcPr>
            <w:tcW w:w="240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41D32858">
            <w:pPr>
              <w:spacing w:before="55" w:after="55"/>
              <w:jc w:val="center"/>
            </w:pPr>
            <w:r>
              <w:rPr>
                <w:rFonts w:ascii="Arial" w:hAnsi="Arial" w:eastAsia="Arial" w:cs="Arial"/>
                <w:b/>
                <w:bCs/>
                <w:i w:val="0"/>
                <w:iCs w:val="0"/>
                <w:color w:val="FFFFFF"/>
                <w:sz w:val="17"/>
                <w:szCs w:val="17"/>
              </w:rPr>
              <w:t>Field Name</w:t>
            </w:r>
          </w:p>
        </w:tc>
        <w:tc>
          <w:tcPr>
            <w:tcW w:w="140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63BAD142">
            <w:pPr>
              <w:spacing w:before="55" w:after="55"/>
              <w:jc w:val="center"/>
            </w:pPr>
            <w:r>
              <w:rPr>
                <w:rFonts w:ascii="Arial" w:hAnsi="Arial" w:eastAsia="Arial" w:cs="Arial"/>
                <w:b/>
                <w:bCs/>
                <w:i w:val="0"/>
                <w:iCs w:val="0"/>
                <w:color w:val="FFFFFF"/>
                <w:sz w:val="17"/>
                <w:szCs w:val="17"/>
              </w:rPr>
              <w:t>Type</w:t>
            </w:r>
          </w:p>
        </w:tc>
        <w:tc>
          <w:tcPr>
            <w:tcW w:w="436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6636A5F0">
            <w:pPr>
              <w:spacing w:before="55" w:after="55"/>
              <w:jc w:val="center"/>
            </w:pPr>
            <w:r>
              <w:rPr>
                <w:rFonts w:ascii="Arial" w:hAnsi="Arial" w:eastAsia="Arial" w:cs="Arial"/>
                <w:b/>
                <w:bCs/>
                <w:i w:val="0"/>
                <w:iCs w:val="0"/>
                <w:color w:val="FFFFFF"/>
                <w:sz w:val="17"/>
                <w:szCs w:val="17"/>
              </w:rPr>
              <w:t>Description / Formula</w:t>
            </w:r>
          </w:p>
        </w:tc>
      </w:tr>
      <w:tr w14:paraId="41C8B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49B065A0">
            <w:pPr>
              <w:spacing w:before="55" w:after="55"/>
              <w:jc w:val="center"/>
            </w:pPr>
            <w:r>
              <w:rPr>
                <w:rFonts w:ascii="Arial" w:hAnsi="Arial" w:eastAsia="Arial" w:cs="Arial"/>
                <w:b/>
                <w:bCs/>
                <w:i w:val="0"/>
                <w:iCs w:val="0"/>
                <w:color w:val="1F3864"/>
                <w:sz w:val="17"/>
                <w:szCs w:val="17"/>
              </w:rPr>
              <w:t>A</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641B9CB2">
            <w:pPr>
              <w:spacing w:before="55" w:after="55"/>
              <w:jc w:val="left"/>
            </w:pPr>
            <w:r>
              <w:rPr>
                <w:rFonts w:ascii="Arial" w:hAnsi="Arial" w:eastAsia="Arial" w:cs="Arial"/>
                <w:b w:val="0"/>
                <w:bCs w:val="0"/>
                <w:i w:val="0"/>
                <w:iCs w:val="0"/>
                <w:color w:val="1F1F1F"/>
                <w:sz w:val="17"/>
                <w:szCs w:val="17"/>
              </w:rPr>
              <w:t>order_id</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1DF3DF74">
            <w:pPr>
              <w:spacing w:before="55" w:after="55"/>
              <w:jc w:val="center"/>
            </w:pPr>
            <w:r>
              <w:rPr>
                <w:rFonts w:ascii="Arial" w:hAnsi="Arial" w:eastAsia="Arial" w:cs="Arial"/>
                <w:b/>
                <w:bCs/>
                <w:i w:val="0"/>
                <w:iCs w:val="0"/>
                <w:color w:val="2E75B6"/>
                <w:sz w:val="16"/>
                <w:szCs w:val="16"/>
              </w:rPr>
              <w:t>Integer</w:t>
            </w:r>
          </w:p>
        </w:tc>
        <w:tc>
          <w:tcPr>
            <w:tcW w:w="43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B655007">
            <w:pPr>
              <w:spacing w:before="55" w:after="55"/>
              <w:jc w:val="left"/>
            </w:pPr>
            <w:r>
              <w:rPr>
                <w:rFonts w:ascii="Arial" w:hAnsi="Arial" w:eastAsia="Arial" w:cs="Arial"/>
                <w:b w:val="0"/>
                <w:bCs w:val="0"/>
                <w:i w:val="0"/>
                <w:iCs w:val="0"/>
                <w:color w:val="1F1F1F"/>
                <w:sz w:val="17"/>
                <w:szCs w:val="17"/>
              </w:rPr>
              <w:t>Unique order identifier</w:t>
            </w:r>
          </w:p>
        </w:tc>
      </w:tr>
      <w:tr w14:paraId="2B082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01A60BF5">
            <w:pPr>
              <w:spacing w:before="55" w:after="55"/>
              <w:jc w:val="center"/>
            </w:pPr>
            <w:r>
              <w:rPr>
                <w:rFonts w:ascii="Arial" w:hAnsi="Arial" w:eastAsia="Arial" w:cs="Arial"/>
                <w:b/>
                <w:bCs/>
                <w:i w:val="0"/>
                <w:iCs w:val="0"/>
                <w:color w:val="1F3864"/>
                <w:sz w:val="17"/>
                <w:szCs w:val="17"/>
              </w:rPr>
              <w:t>B</w:t>
            </w:r>
          </w:p>
        </w:tc>
        <w:tc>
          <w:tcPr>
            <w:tcW w:w="2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674AE23A">
            <w:pPr>
              <w:spacing w:before="55" w:after="55"/>
              <w:jc w:val="left"/>
            </w:pPr>
            <w:r>
              <w:rPr>
                <w:rFonts w:ascii="Arial" w:hAnsi="Arial" w:eastAsia="Arial" w:cs="Arial"/>
                <w:b w:val="0"/>
                <w:bCs w:val="0"/>
                <w:i w:val="0"/>
                <w:iCs w:val="0"/>
                <w:color w:val="1F1F1F"/>
                <w:sz w:val="17"/>
                <w:szCs w:val="17"/>
              </w:rPr>
              <w:t>order_date</w:t>
            </w:r>
          </w:p>
        </w:tc>
        <w:tc>
          <w:tcPr>
            <w:tcW w:w="1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4954B92C">
            <w:pPr>
              <w:spacing w:before="55" w:after="55"/>
              <w:jc w:val="center"/>
            </w:pPr>
            <w:r>
              <w:rPr>
                <w:rFonts w:ascii="Arial" w:hAnsi="Arial" w:eastAsia="Arial" w:cs="Arial"/>
                <w:b/>
                <w:bCs/>
                <w:i w:val="0"/>
                <w:iCs w:val="0"/>
                <w:color w:val="2E75B6"/>
                <w:sz w:val="16"/>
                <w:szCs w:val="16"/>
              </w:rPr>
              <w:t>Date</w:t>
            </w:r>
          </w:p>
        </w:tc>
        <w:tc>
          <w:tcPr>
            <w:tcW w:w="436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6D892015">
            <w:pPr>
              <w:spacing w:before="55" w:after="55"/>
              <w:jc w:val="left"/>
            </w:pPr>
            <w:r>
              <w:rPr>
                <w:rFonts w:ascii="Arial" w:hAnsi="Arial" w:eastAsia="Arial" w:cs="Arial"/>
                <w:b w:val="0"/>
                <w:bCs w:val="0"/>
                <w:i w:val="0"/>
                <w:iCs w:val="0"/>
                <w:color w:val="1F1F1F"/>
                <w:sz w:val="17"/>
                <w:szCs w:val="17"/>
              </w:rPr>
              <w:t>Transaction date — 2013-01-01 to 2016-12-31</w:t>
            </w:r>
          </w:p>
        </w:tc>
      </w:tr>
      <w:tr w14:paraId="15EC1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6D27927B">
            <w:pPr>
              <w:spacing w:before="55" w:after="55"/>
              <w:jc w:val="center"/>
            </w:pPr>
            <w:r>
              <w:rPr>
                <w:rFonts w:ascii="Arial" w:hAnsi="Arial" w:eastAsia="Arial" w:cs="Arial"/>
                <w:b/>
                <w:bCs/>
                <w:i w:val="0"/>
                <w:iCs w:val="0"/>
                <w:color w:val="1F3864"/>
                <w:sz w:val="17"/>
                <w:szCs w:val="17"/>
              </w:rPr>
              <w:t>C</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248520E3">
            <w:pPr>
              <w:spacing w:before="55" w:after="55"/>
              <w:jc w:val="left"/>
            </w:pPr>
            <w:r>
              <w:rPr>
                <w:rFonts w:ascii="Arial" w:hAnsi="Arial" w:eastAsia="Arial" w:cs="Arial"/>
                <w:b w:val="0"/>
                <w:bCs w:val="0"/>
                <w:i w:val="0"/>
                <w:iCs w:val="0"/>
                <w:color w:val="1F1F1F"/>
                <w:sz w:val="17"/>
                <w:szCs w:val="17"/>
              </w:rPr>
              <w:t>customer_id</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1701B674">
            <w:pPr>
              <w:spacing w:before="55" w:after="55"/>
              <w:jc w:val="center"/>
            </w:pPr>
            <w:r>
              <w:rPr>
                <w:rFonts w:ascii="Arial" w:hAnsi="Arial" w:eastAsia="Arial" w:cs="Arial"/>
                <w:b/>
                <w:bCs/>
                <w:i w:val="0"/>
                <w:iCs w:val="0"/>
                <w:color w:val="2E75B6"/>
                <w:sz w:val="16"/>
                <w:szCs w:val="16"/>
              </w:rPr>
              <w:t>String</w:t>
            </w:r>
          </w:p>
        </w:tc>
        <w:tc>
          <w:tcPr>
            <w:tcW w:w="43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7B44A2B2">
            <w:pPr>
              <w:spacing w:before="55" w:after="55"/>
              <w:jc w:val="left"/>
            </w:pPr>
            <w:r>
              <w:rPr>
                <w:rFonts w:ascii="Arial" w:hAnsi="Arial" w:eastAsia="Arial" w:cs="Arial"/>
                <w:b w:val="0"/>
                <w:bCs w:val="0"/>
                <w:i w:val="0"/>
                <w:iCs w:val="0"/>
                <w:color w:val="1F1F1F"/>
                <w:sz w:val="17"/>
                <w:szCs w:val="17"/>
              </w:rPr>
              <w:t>Prefix-encoded ID (CL / FB / HA + numeric)</w:t>
            </w:r>
          </w:p>
        </w:tc>
      </w:tr>
      <w:tr w14:paraId="3060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198CC2BC">
            <w:pPr>
              <w:spacing w:before="55" w:after="55"/>
              <w:jc w:val="center"/>
            </w:pPr>
            <w:r>
              <w:rPr>
                <w:rFonts w:ascii="Arial" w:hAnsi="Arial" w:eastAsia="Arial" w:cs="Arial"/>
                <w:b/>
                <w:bCs/>
                <w:i w:val="0"/>
                <w:iCs w:val="0"/>
                <w:color w:val="1F3864"/>
                <w:sz w:val="17"/>
                <w:szCs w:val="17"/>
              </w:rPr>
              <w:t>D</w:t>
            </w:r>
          </w:p>
        </w:tc>
        <w:tc>
          <w:tcPr>
            <w:tcW w:w="2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49109DA3">
            <w:pPr>
              <w:spacing w:before="55" w:after="55"/>
              <w:jc w:val="left"/>
            </w:pPr>
            <w:r>
              <w:rPr>
                <w:rFonts w:ascii="Arial" w:hAnsi="Arial" w:eastAsia="Arial" w:cs="Arial"/>
                <w:b w:val="0"/>
                <w:bCs w:val="0"/>
                <w:i w:val="0"/>
                <w:iCs w:val="0"/>
                <w:color w:val="1F1F1F"/>
                <w:sz w:val="17"/>
                <w:szCs w:val="17"/>
              </w:rPr>
              <w:t>customer_id_num</w:t>
            </w:r>
          </w:p>
        </w:tc>
        <w:tc>
          <w:tcPr>
            <w:tcW w:w="1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2DC2E19A">
            <w:pPr>
              <w:spacing w:before="55" w:after="55"/>
              <w:jc w:val="center"/>
            </w:pPr>
            <w:r>
              <w:rPr>
                <w:rFonts w:ascii="Arial" w:hAnsi="Arial" w:eastAsia="Arial" w:cs="Arial"/>
                <w:b/>
                <w:bCs/>
                <w:i w:val="0"/>
                <w:iCs w:val="0"/>
                <w:color w:val="2E75B6"/>
                <w:sz w:val="16"/>
                <w:szCs w:val="16"/>
              </w:rPr>
              <w:t>Integer</w:t>
            </w:r>
          </w:p>
        </w:tc>
        <w:tc>
          <w:tcPr>
            <w:tcW w:w="436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38FD6CD9">
            <w:pPr>
              <w:spacing w:before="55" w:after="55"/>
              <w:jc w:val="left"/>
            </w:pPr>
            <w:r>
              <w:rPr>
                <w:rFonts w:ascii="Arial" w:hAnsi="Arial" w:eastAsia="Arial" w:cs="Arial"/>
                <w:b w:val="0"/>
                <w:bCs w:val="0"/>
                <w:i w:val="0"/>
                <w:iCs w:val="0"/>
                <w:color w:val="1F1F1F"/>
                <w:sz w:val="17"/>
                <w:szCs w:val="17"/>
              </w:rPr>
              <w:t>Numeric part of customer_id — used as join key to Customers_Data</w:t>
            </w:r>
          </w:p>
        </w:tc>
      </w:tr>
      <w:tr w14:paraId="2C210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6F52EA7F">
            <w:pPr>
              <w:spacing w:before="55" w:after="55"/>
              <w:jc w:val="center"/>
            </w:pPr>
            <w:r>
              <w:rPr>
                <w:rFonts w:ascii="Arial" w:hAnsi="Arial" w:eastAsia="Arial" w:cs="Arial"/>
                <w:b/>
                <w:bCs/>
                <w:i w:val="0"/>
                <w:iCs w:val="0"/>
                <w:color w:val="1F3864"/>
                <w:sz w:val="17"/>
                <w:szCs w:val="17"/>
              </w:rPr>
              <w:t>E</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8CFE405">
            <w:pPr>
              <w:spacing w:before="55" w:after="55"/>
              <w:jc w:val="left"/>
            </w:pPr>
            <w:r>
              <w:rPr>
                <w:rFonts w:ascii="Arial" w:hAnsi="Arial" w:eastAsia="Arial" w:cs="Arial"/>
                <w:b w:val="0"/>
                <w:bCs w:val="0"/>
                <w:i w:val="0"/>
                <w:iCs w:val="0"/>
                <w:color w:val="1F1F1F"/>
                <w:sz w:val="17"/>
                <w:szCs w:val="17"/>
              </w:rPr>
              <w:t>customer_age</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4B8E8241">
            <w:pPr>
              <w:spacing w:before="55" w:after="55"/>
              <w:jc w:val="center"/>
            </w:pPr>
            <w:r>
              <w:rPr>
                <w:rFonts w:ascii="Arial" w:hAnsi="Arial" w:eastAsia="Arial" w:cs="Arial"/>
                <w:b/>
                <w:bCs/>
                <w:i w:val="0"/>
                <w:iCs w:val="0"/>
                <w:color w:val="2E75B6"/>
                <w:sz w:val="16"/>
                <w:szCs w:val="16"/>
              </w:rPr>
              <w:t>Integer</w:t>
            </w:r>
          </w:p>
        </w:tc>
        <w:tc>
          <w:tcPr>
            <w:tcW w:w="43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4E19B03D">
            <w:pPr>
              <w:spacing w:before="55" w:after="55"/>
              <w:jc w:val="left"/>
            </w:pPr>
            <w:r>
              <w:rPr>
                <w:rFonts w:ascii="Arial" w:hAnsi="Arial" w:eastAsia="Arial" w:cs="Arial"/>
                <w:b w:val="0"/>
                <w:bCs w:val="0"/>
                <w:i w:val="0"/>
                <w:iCs w:val="0"/>
                <w:color w:val="1F1F1F"/>
                <w:sz w:val="17"/>
                <w:szCs w:val="17"/>
              </w:rPr>
              <w:t>Customer age at time of order</w:t>
            </w:r>
          </w:p>
        </w:tc>
      </w:tr>
      <w:tr w14:paraId="576FA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56206EB5">
            <w:pPr>
              <w:spacing w:before="55" w:after="55"/>
              <w:jc w:val="center"/>
            </w:pPr>
            <w:r>
              <w:rPr>
                <w:rFonts w:ascii="Arial" w:hAnsi="Arial" w:eastAsia="Arial" w:cs="Arial"/>
                <w:b/>
                <w:bCs/>
                <w:i w:val="0"/>
                <w:iCs w:val="0"/>
                <w:color w:val="1F3864"/>
                <w:sz w:val="17"/>
                <w:szCs w:val="17"/>
              </w:rPr>
              <w:t>F</w:t>
            </w:r>
          </w:p>
        </w:tc>
        <w:tc>
          <w:tcPr>
            <w:tcW w:w="2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3443AAC8">
            <w:pPr>
              <w:spacing w:before="55" w:after="55"/>
              <w:jc w:val="left"/>
            </w:pPr>
            <w:r>
              <w:rPr>
                <w:rFonts w:ascii="Arial" w:hAnsi="Arial" w:eastAsia="Arial" w:cs="Arial"/>
                <w:b w:val="0"/>
                <w:bCs w:val="0"/>
                <w:i w:val="0"/>
                <w:iCs w:val="0"/>
                <w:color w:val="1F1F1F"/>
                <w:sz w:val="17"/>
                <w:szCs w:val="17"/>
              </w:rPr>
              <w:t>customer_gender</w:t>
            </w:r>
          </w:p>
        </w:tc>
        <w:tc>
          <w:tcPr>
            <w:tcW w:w="1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31388DCA">
            <w:pPr>
              <w:spacing w:before="55" w:after="55"/>
              <w:jc w:val="center"/>
            </w:pPr>
            <w:r>
              <w:rPr>
                <w:rFonts w:ascii="Arial" w:hAnsi="Arial" w:eastAsia="Arial" w:cs="Arial"/>
                <w:b/>
                <w:bCs/>
                <w:i w:val="0"/>
                <w:iCs w:val="0"/>
                <w:color w:val="2E75B6"/>
                <w:sz w:val="16"/>
                <w:szCs w:val="16"/>
              </w:rPr>
              <w:t>String</w:t>
            </w:r>
          </w:p>
        </w:tc>
        <w:tc>
          <w:tcPr>
            <w:tcW w:w="436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7709F961">
            <w:pPr>
              <w:spacing w:before="55" w:after="55"/>
              <w:jc w:val="left"/>
            </w:pPr>
            <w:r>
              <w:rPr>
                <w:rFonts w:ascii="Arial" w:hAnsi="Arial" w:eastAsia="Arial" w:cs="Arial"/>
                <w:b w:val="0"/>
                <w:bCs w:val="0"/>
                <w:i w:val="0"/>
                <w:iCs w:val="0"/>
                <w:color w:val="1F1F1F"/>
                <w:sz w:val="17"/>
                <w:szCs w:val="17"/>
              </w:rPr>
              <w:t>M or F</w:t>
            </w:r>
          </w:p>
        </w:tc>
      </w:tr>
      <w:tr w14:paraId="4D9EC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D8CB1EB">
            <w:pPr>
              <w:spacing w:before="55" w:after="55"/>
              <w:jc w:val="center"/>
            </w:pPr>
            <w:r>
              <w:rPr>
                <w:rFonts w:ascii="Arial" w:hAnsi="Arial" w:eastAsia="Arial" w:cs="Arial"/>
                <w:b/>
                <w:bCs/>
                <w:i w:val="0"/>
                <w:iCs w:val="0"/>
                <w:color w:val="1F3864"/>
                <w:sz w:val="17"/>
                <w:szCs w:val="17"/>
              </w:rPr>
              <w:t>G</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CB3FA96">
            <w:pPr>
              <w:spacing w:before="55" w:after="55"/>
              <w:jc w:val="left"/>
            </w:pPr>
            <w:r>
              <w:rPr>
                <w:rFonts w:ascii="Arial" w:hAnsi="Arial" w:eastAsia="Arial" w:cs="Arial"/>
                <w:b w:val="0"/>
                <w:bCs w:val="0"/>
                <w:i w:val="0"/>
                <w:iCs w:val="0"/>
                <w:color w:val="1F1F1F"/>
                <w:sz w:val="17"/>
                <w:szCs w:val="17"/>
              </w:rPr>
              <w:t>review</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7626BBD4">
            <w:pPr>
              <w:spacing w:before="55" w:after="55"/>
              <w:jc w:val="center"/>
            </w:pPr>
            <w:r>
              <w:rPr>
                <w:rFonts w:ascii="Arial" w:hAnsi="Arial" w:eastAsia="Arial" w:cs="Arial"/>
                <w:b/>
                <w:bCs/>
                <w:i w:val="0"/>
                <w:iCs w:val="0"/>
                <w:color w:val="2E75B6"/>
                <w:sz w:val="16"/>
                <w:szCs w:val="16"/>
              </w:rPr>
              <w:t>Integer</w:t>
            </w:r>
          </w:p>
        </w:tc>
        <w:tc>
          <w:tcPr>
            <w:tcW w:w="43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4B05F42">
            <w:pPr>
              <w:spacing w:before="55" w:after="55"/>
              <w:jc w:val="left"/>
            </w:pPr>
            <w:r>
              <w:rPr>
                <w:rFonts w:ascii="Arial" w:hAnsi="Arial" w:eastAsia="Arial" w:cs="Arial"/>
                <w:b w:val="0"/>
                <w:bCs w:val="0"/>
                <w:i w:val="0"/>
                <w:iCs w:val="0"/>
                <w:color w:val="1F1F1F"/>
                <w:sz w:val="17"/>
                <w:szCs w:val="17"/>
              </w:rPr>
              <w:t>Customer satisfaction score: 1 (Very Bad) to 5 (Excellent)</w:t>
            </w:r>
          </w:p>
        </w:tc>
      </w:tr>
      <w:tr w14:paraId="24B1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1FE86FA7">
            <w:pPr>
              <w:spacing w:before="55" w:after="55"/>
              <w:jc w:val="center"/>
            </w:pPr>
            <w:r>
              <w:rPr>
                <w:rFonts w:ascii="Arial" w:hAnsi="Arial" w:eastAsia="Arial" w:cs="Arial"/>
                <w:b/>
                <w:bCs/>
                <w:i w:val="0"/>
                <w:iCs w:val="0"/>
                <w:color w:val="1F3864"/>
                <w:sz w:val="17"/>
                <w:szCs w:val="17"/>
              </w:rPr>
              <w:t>H</w:t>
            </w:r>
          </w:p>
        </w:tc>
        <w:tc>
          <w:tcPr>
            <w:tcW w:w="2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7E52A2D8">
            <w:pPr>
              <w:spacing w:before="55" w:after="55"/>
              <w:jc w:val="left"/>
            </w:pPr>
            <w:r>
              <w:rPr>
                <w:rFonts w:ascii="Arial" w:hAnsi="Arial" w:eastAsia="Arial" w:cs="Arial"/>
                <w:b w:val="0"/>
                <w:bCs w:val="0"/>
                <w:i w:val="0"/>
                <w:iCs w:val="0"/>
                <w:color w:val="1F1F1F"/>
                <w:sz w:val="17"/>
                <w:szCs w:val="17"/>
              </w:rPr>
              <w:t>state</w:t>
            </w:r>
          </w:p>
        </w:tc>
        <w:tc>
          <w:tcPr>
            <w:tcW w:w="1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71F5A221">
            <w:pPr>
              <w:spacing w:before="55" w:after="55"/>
              <w:jc w:val="center"/>
            </w:pPr>
            <w:r>
              <w:rPr>
                <w:rFonts w:ascii="Arial" w:hAnsi="Arial" w:eastAsia="Arial" w:cs="Arial"/>
                <w:b/>
                <w:bCs/>
                <w:i w:val="0"/>
                <w:iCs w:val="0"/>
                <w:color w:val="2E75B6"/>
                <w:sz w:val="16"/>
                <w:szCs w:val="16"/>
              </w:rPr>
              <w:t>String</w:t>
            </w:r>
          </w:p>
        </w:tc>
        <w:tc>
          <w:tcPr>
            <w:tcW w:w="436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717DE63A">
            <w:pPr>
              <w:spacing w:before="55" w:after="55"/>
              <w:jc w:val="left"/>
            </w:pPr>
            <w:r>
              <w:rPr>
                <w:rFonts w:ascii="Arial" w:hAnsi="Arial" w:eastAsia="Arial" w:cs="Arial"/>
                <w:b w:val="0"/>
                <w:bCs w:val="0"/>
                <w:i w:val="0"/>
                <w:iCs w:val="0"/>
                <w:color w:val="1F1F1F"/>
                <w:sz w:val="17"/>
                <w:szCs w:val="17"/>
              </w:rPr>
              <w:t>California, Washington, Oregon, Arizona, Nevada</w:t>
            </w:r>
          </w:p>
        </w:tc>
      </w:tr>
      <w:tr w14:paraId="2751A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1ADC12BA">
            <w:pPr>
              <w:spacing w:before="55" w:after="55"/>
              <w:jc w:val="center"/>
            </w:pPr>
            <w:r>
              <w:rPr>
                <w:rFonts w:ascii="Arial" w:hAnsi="Arial" w:eastAsia="Arial" w:cs="Arial"/>
                <w:b/>
                <w:bCs/>
                <w:i w:val="0"/>
                <w:iCs w:val="0"/>
                <w:color w:val="1F3864"/>
                <w:sz w:val="17"/>
                <w:szCs w:val="17"/>
              </w:rPr>
              <w:t>I</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77CD941E">
            <w:pPr>
              <w:spacing w:before="55" w:after="55"/>
              <w:jc w:val="left"/>
            </w:pPr>
            <w:r>
              <w:rPr>
                <w:rFonts w:ascii="Arial" w:hAnsi="Arial" w:eastAsia="Arial" w:cs="Arial"/>
                <w:b w:val="0"/>
                <w:bCs w:val="0"/>
                <w:i w:val="0"/>
                <w:iCs w:val="0"/>
                <w:color w:val="1F1F1F"/>
                <w:sz w:val="17"/>
                <w:szCs w:val="17"/>
              </w:rPr>
              <w:t>branch</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BACFDCF">
            <w:pPr>
              <w:spacing w:before="55" w:after="55"/>
              <w:jc w:val="center"/>
            </w:pPr>
            <w:r>
              <w:rPr>
                <w:rFonts w:ascii="Arial" w:hAnsi="Arial" w:eastAsia="Arial" w:cs="Arial"/>
                <w:b/>
                <w:bCs/>
                <w:i w:val="0"/>
                <w:iCs w:val="0"/>
                <w:color w:val="2E75B6"/>
                <w:sz w:val="16"/>
                <w:szCs w:val="16"/>
              </w:rPr>
              <w:t>String</w:t>
            </w:r>
          </w:p>
        </w:tc>
        <w:tc>
          <w:tcPr>
            <w:tcW w:w="43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43A2B407">
            <w:pPr>
              <w:spacing w:before="55" w:after="55"/>
              <w:jc w:val="left"/>
            </w:pPr>
            <w:r>
              <w:rPr>
                <w:rFonts w:ascii="Arial" w:hAnsi="Arial" w:eastAsia="Arial" w:cs="Arial"/>
                <w:b w:val="0"/>
                <w:bCs w:val="0"/>
                <w:i w:val="0"/>
                <w:iCs w:val="0"/>
                <w:color w:val="1F1F1F"/>
                <w:sz w:val="17"/>
                <w:szCs w:val="17"/>
              </w:rPr>
              <w:t>Call Center 1 through Call Center 15</w:t>
            </w:r>
          </w:p>
        </w:tc>
      </w:tr>
      <w:tr w14:paraId="1E0E7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3BF2BF1E">
            <w:pPr>
              <w:spacing w:before="55" w:after="55"/>
              <w:jc w:val="center"/>
            </w:pPr>
            <w:r>
              <w:rPr>
                <w:rFonts w:ascii="Arial" w:hAnsi="Arial" w:eastAsia="Arial" w:cs="Arial"/>
                <w:b/>
                <w:bCs/>
                <w:i w:val="0"/>
                <w:iCs w:val="0"/>
                <w:color w:val="1F3864"/>
                <w:sz w:val="17"/>
                <w:szCs w:val="17"/>
              </w:rPr>
              <w:t>J</w:t>
            </w:r>
          </w:p>
        </w:tc>
        <w:tc>
          <w:tcPr>
            <w:tcW w:w="2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50F6DE0A">
            <w:pPr>
              <w:spacing w:before="55" w:after="55"/>
              <w:jc w:val="left"/>
            </w:pPr>
            <w:r>
              <w:rPr>
                <w:rFonts w:ascii="Arial" w:hAnsi="Arial" w:eastAsia="Arial" w:cs="Arial"/>
                <w:b w:val="0"/>
                <w:bCs w:val="0"/>
                <w:i w:val="0"/>
                <w:iCs w:val="0"/>
                <w:color w:val="1F1F1F"/>
                <w:sz w:val="17"/>
                <w:szCs w:val="17"/>
              </w:rPr>
              <w:t>product_category</w:t>
            </w:r>
          </w:p>
        </w:tc>
        <w:tc>
          <w:tcPr>
            <w:tcW w:w="1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30B344CE">
            <w:pPr>
              <w:spacing w:before="55" w:after="55"/>
              <w:jc w:val="center"/>
            </w:pPr>
            <w:r>
              <w:rPr>
                <w:rFonts w:ascii="Arial" w:hAnsi="Arial" w:eastAsia="Arial" w:cs="Arial"/>
                <w:b/>
                <w:bCs/>
                <w:i w:val="0"/>
                <w:iCs w:val="0"/>
                <w:color w:val="2E75B6"/>
                <w:sz w:val="16"/>
                <w:szCs w:val="16"/>
              </w:rPr>
              <w:t>String</w:t>
            </w:r>
          </w:p>
        </w:tc>
        <w:tc>
          <w:tcPr>
            <w:tcW w:w="436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6578DED9">
            <w:pPr>
              <w:spacing w:before="55" w:after="55"/>
              <w:jc w:val="left"/>
            </w:pPr>
            <w:r>
              <w:rPr>
                <w:rFonts w:ascii="Arial" w:hAnsi="Arial" w:eastAsia="Arial" w:cs="Arial"/>
                <w:b w:val="0"/>
                <w:bCs w:val="0"/>
                <w:i w:val="0"/>
                <w:iCs w:val="0"/>
                <w:color w:val="1F1F1F"/>
                <w:sz w:val="17"/>
                <w:szCs w:val="17"/>
              </w:rPr>
              <w:t>Household appliances, Food and beverage, Clothing</w:t>
            </w:r>
          </w:p>
        </w:tc>
      </w:tr>
      <w:tr w14:paraId="569A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748BD2D5">
            <w:pPr>
              <w:spacing w:before="55" w:after="55"/>
              <w:jc w:val="center"/>
            </w:pPr>
            <w:r>
              <w:rPr>
                <w:rFonts w:ascii="Arial" w:hAnsi="Arial" w:eastAsia="Arial" w:cs="Arial"/>
                <w:b/>
                <w:bCs/>
                <w:i w:val="0"/>
                <w:iCs w:val="0"/>
                <w:color w:val="1F3864"/>
                <w:sz w:val="17"/>
                <w:szCs w:val="17"/>
              </w:rPr>
              <w:t>K</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4BF42BAB">
            <w:pPr>
              <w:spacing w:before="55" w:after="55"/>
              <w:jc w:val="left"/>
            </w:pPr>
            <w:r>
              <w:rPr>
                <w:rFonts w:ascii="Arial" w:hAnsi="Arial" w:eastAsia="Arial" w:cs="Arial"/>
                <w:b w:val="0"/>
                <w:bCs w:val="0"/>
                <w:i w:val="0"/>
                <w:iCs w:val="0"/>
                <w:color w:val="1F1F1F"/>
                <w:sz w:val="17"/>
                <w:szCs w:val="17"/>
              </w:rPr>
              <w:t>sub_category</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B71F90F">
            <w:pPr>
              <w:spacing w:before="55" w:after="55"/>
              <w:jc w:val="center"/>
            </w:pPr>
            <w:r>
              <w:rPr>
                <w:rFonts w:ascii="Arial" w:hAnsi="Arial" w:eastAsia="Arial" w:cs="Arial"/>
                <w:b/>
                <w:bCs/>
                <w:i w:val="0"/>
                <w:iCs w:val="0"/>
                <w:color w:val="2E75B6"/>
                <w:sz w:val="16"/>
                <w:szCs w:val="16"/>
              </w:rPr>
              <w:t>String</w:t>
            </w:r>
          </w:p>
        </w:tc>
        <w:tc>
          <w:tcPr>
            <w:tcW w:w="43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28B4D6EC">
            <w:pPr>
              <w:spacing w:before="55" w:after="55"/>
              <w:jc w:val="left"/>
            </w:pPr>
            <w:r>
              <w:rPr>
                <w:rFonts w:ascii="Arial" w:hAnsi="Arial" w:eastAsia="Arial" w:cs="Arial"/>
                <w:b w:val="0"/>
                <w:bCs w:val="0"/>
                <w:i w:val="0"/>
                <w:iCs w:val="0"/>
                <w:color w:val="1F1F1F"/>
                <w:sz w:val="17"/>
                <w:szCs w:val="17"/>
              </w:rPr>
              <w:t>15 sub-categories (TV, Beverages, Pants, etc.)</w:t>
            </w:r>
          </w:p>
        </w:tc>
      </w:tr>
      <w:tr w14:paraId="62B3C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17491D87">
            <w:pPr>
              <w:spacing w:before="55" w:after="55"/>
              <w:jc w:val="center"/>
            </w:pPr>
            <w:r>
              <w:rPr>
                <w:rFonts w:ascii="Arial" w:hAnsi="Arial" w:eastAsia="Arial" w:cs="Arial"/>
                <w:b/>
                <w:bCs/>
                <w:i w:val="0"/>
                <w:iCs w:val="0"/>
                <w:color w:val="1F3864"/>
                <w:sz w:val="17"/>
                <w:szCs w:val="17"/>
              </w:rPr>
              <w:t>L</w:t>
            </w:r>
          </w:p>
        </w:tc>
        <w:tc>
          <w:tcPr>
            <w:tcW w:w="2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2B1D93B0">
            <w:pPr>
              <w:spacing w:before="55" w:after="55"/>
              <w:jc w:val="left"/>
            </w:pPr>
            <w:r>
              <w:rPr>
                <w:rFonts w:ascii="Arial" w:hAnsi="Arial" w:eastAsia="Arial" w:cs="Arial"/>
                <w:b w:val="0"/>
                <w:bCs w:val="0"/>
                <w:i w:val="0"/>
                <w:iCs w:val="0"/>
                <w:color w:val="1F1F1F"/>
                <w:sz w:val="17"/>
                <w:szCs w:val="17"/>
              </w:rPr>
              <w:t>cost_of_product</w:t>
            </w:r>
          </w:p>
        </w:tc>
        <w:tc>
          <w:tcPr>
            <w:tcW w:w="1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64D2F633">
            <w:pPr>
              <w:spacing w:before="55" w:after="55"/>
              <w:jc w:val="center"/>
            </w:pPr>
            <w:r>
              <w:rPr>
                <w:rFonts w:ascii="Arial" w:hAnsi="Arial" w:eastAsia="Arial" w:cs="Arial"/>
                <w:b/>
                <w:bCs/>
                <w:i w:val="0"/>
                <w:iCs w:val="0"/>
                <w:color w:val="2E75B6"/>
                <w:sz w:val="16"/>
                <w:szCs w:val="16"/>
              </w:rPr>
              <w:t>Integer</w:t>
            </w:r>
          </w:p>
        </w:tc>
        <w:tc>
          <w:tcPr>
            <w:tcW w:w="436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7C4AE21C">
            <w:pPr>
              <w:spacing w:before="55" w:after="55"/>
              <w:jc w:val="left"/>
            </w:pPr>
            <w:r>
              <w:rPr>
                <w:rFonts w:ascii="Arial" w:hAnsi="Arial" w:eastAsia="Arial" w:cs="Arial"/>
                <w:b w:val="0"/>
                <w:bCs w:val="0"/>
                <w:i w:val="0"/>
                <w:iCs w:val="0"/>
                <w:color w:val="1F1F1F"/>
                <w:sz w:val="17"/>
                <w:szCs w:val="17"/>
              </w:rPr>
              <w:t>Supplier cost index — not USD, excluded from profit calc</w:t>
            </w:r>
          </w:p>
        </w:tc>
      </w:tr>
      <w:tr w14:paraId="69AFF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24F2DC1">
            <w:pPr>
              <w:spacing w:before="55" w:after="55"/>
              <w:jc w:val="center"/>
            </w:pPr>
            <w:r>
              <w:rPr>
                <w:rFonts w:ascii="Arial" w:hAnsi="Arial" w:eastAsia="Arial" w:cs="Arial"/>
                <w:b/>
                <w:bCs/>
                <w:i w:val="0"/>
                <w:iCs w:val="0"/>
                <w:color w:val="1F3864"/>
                <w:sz w:val="17"/>
                <w:szCs w:val="17"/>
              </w:rPr>
              <w:t>M</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10882EB1">
            <w:pPr>
              <w:spacing w:before="55" w:after="55"/>
              <w:jc w:val="left"/>
            </w:pPr>
            <w:r>
              <w:rPr>
                <w:rFonts w:ascii="Arial" w:hAnsi="Arial" w:eastAsia="Arial" w:cs="Arial"/>
                <w:b w:val="0"/>
                <w:bCs w:val="0"/>
                <w:i w:val="0"/>
                <w:iCs w:val="0"/>
                <w:color w:val="1F1F1F"/>
                <w:sz w:val="17"/>
                <w:szCs w:val="17"/>
              </w:rPr>
              <w:t>delivery_fee</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E2AA38A">
            <w:pPr>
              <w:spacing w:before="55" w:after="55"/>
              <w:jc w:val="center"/>
            </w:pPr>
            <w:r>
              <w:rPr>
                <w:rFonts w:ascii="Arial" w:hAnsi="Arial" w:eastAsia="Arial" w:cs="Arial"/>
                <w:b/>
                <w:bCs/>
                <w:i w:val="0"/>
                <w:iCs w:val="0"/>
                <w:color w:val="2E75B6"/>
                <w:sz w:val="16"/>
                <w:szCs w:val="16"/>
              </w:rPr>
              <w:t>Decimal</w:t>
            </w:r>
          </w:p>
        </w:tc>
        <w:tc>
          <w:tcPr>
            <w:tcW w:w="43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44EBBC4">
            <w:pPr>
              <w:spacing w:before="55" w:after="55"/>
              <w:jc w:val="left"/>
            </w:pPr>
            <w:r>
              <w:rPr>
                <w:rFonts w:ascii="Arial" w:hAnsi="Arial" w:eastAsia="Arial" w:cs="Arial"/>
                <w:b w:val="0"/>
                <w:bCs w:val="0"/>
                <w:i w:val="0"/>
                <w:iCs w:val="0"/>
                <w:color w:val="1F1F1F"/>
                <w:sz w:val="17"/>
                <w:szCs w:val="17"/>
              </w:rPr>
              <w:t>Delivery as proportion of revenue (e.g. 0.06 = 6%)</w:t>
            </w:r>
          </w:p>
        </w:tc>
      </w:tr>
      <w:tr w14:paraId="56CB2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3BDB307E">
            <w:pPr>
              <w:spacing w:before="55" w:after="55"/>
              <w:jc w:val="center"/>
            </w:pPr>
            <w:r>
              <w:rPr>
                <w:rFonts w:ascii="Arial" w:hAnsi="Arial" w:eastAsia="Arial" w:cs="Arial"/>
                <w:b/>
                <w:bCs/>
                <w:i w:val="0"/>
                <w:iCs w:val="0"/>
                <w:color w:val="1F3864"/>
                <w:sz w:val="17"/>
                <w:szCs w:val="17"/>
              </w:rPr>
              <w:t>N</w:t>
            </w:r>
          </w:p>
        </w:tc>
        <w:tc>
          <w:tcPr>
            <w:tcW w:w="2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2194F654">
            <w:pPr>
              <w:spacing w:before="55" w:after="55"/>
              <w:jc w:val="left"/>
            </w:pPr>
            <w:r>
              <w:rPr>
                <w:rFonts w:ascii="Arial" w:hAnsi="Arial" w:eastAsia="Arial" w:cs="Arial"/>
                <w:b w:val="0"/>
                <w:bCs w:val="0"/>
                <w:i w:val="0"/>
                <w:iCs w:val="0"/>
                <w:color w:val="1F1F1F"/>
                <w:sz w:val="17"/>
                <w:szCs w:val="17"/>
              </w:rPr>
              <w:t>revenue</w:t>
            </w:r>
          </w:p>
        </w:tc>
        <w:tc>
          <w:tcPr>
            <w:tcW w:w="1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2743788D">
            <w:pPr>
              <w:spacing w:before="55" w:after="55"/>
              <w:jc w:val="center"/>
            </w:pPr>
            <w:r>
              <w:rPr>
                <w:rFonts w:ascii="Arial" w:hAnsi="Arial" w:eastAsia="Arial" w:cs="Arial"/>
                <w:b/>
                <w:bCs/>
                <w:i w:val="0"/>
                <w:iCs w:val="0"/>
                <w:color w:val="2E75B6"/>
                <w:sz w:val="16"/>
                <w:szCs w:val="16"/>
              </w:rPr>
              <w:t>Decimal</w:t>
            </w:r>
          </w:p>
        </w:tc>
        <w:tc>
          <w:tcPr>
            <w:tcW w:w="436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4E6F75A8">
            <w:pPr>
              <w:spacing w:before="55" w:after="55"/>
              <w:jc w:val="left"/>
            </w:pPr>
            <w:r>
              <w:rPr>
                <w:rFonts w:ascii="Arial" w:hAnsi="Arial" w:eastAsia="Arial" w:cs="Arial"/>
                <w:b w:val="0"/>
                <w:bCs w:val="0"/>
                <w:i w:val="0"/>
                <w:iCs w:val="0"/>
                <w:color w:val="1F1F1F"/>
                <w:sz w:val="17"/>
                <w:szCs w:val="17"/>
              </w:rPr>
              <w:t>Order revenue in USD — primary measure in all formulas</w:t>
            </w:r>
          </w:p>
        </w:tc>
      </w:tr>
      <w:tr w14:paraId="05A83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38414B7">
            <w:pPr>
              <w:spacing w:before="55" w:after="55"/>
              <w:jc w:val="center"/>
            </w:pPr>
            <w:r>
              <w:rPr>
                <w:rFonts w:ascii="Arial" w:hAnsi="Arial" w:eastAsia="Arial" w:cs="Arial"/>
                <w:b/>
                <w:bCs/>
                <w:i w:val="0"/>
                <w:iCs w:val="0"/>
                <w:color w:val="1F3864"/>
                <w:sz w:val="17"/>
                <w:szCs w:val="17"/>
              </w:rPr>
              <w:t>O</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636B6405">
            <w:pPr>
              <w:spacing w:before="55" w:after="55"/>
              <w:jc w:val="left"/>
            </w:pPr>
            <w:r>
              <w:rPr>
                <w:rFonts w:ascii="Arial" w:hAnsi="Arial" w:eastAsia="Arial" w:cs="Arial"/>
                <w:b w:val="0"/>
                <w:bCs w:val="0"/>
                <w:i w:val="0"/>
                <w:iCs w:val="0"/>
                <w:color w:val="1F1F1F"/>
                <w:sz w:val="17"/>
                <w:szCs w:val="17"/>
              </w:rPr>
              <w:t>opex</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A316F74">
            <w:pPr>
              <w:spacing w:before="55" w:after="55"/>
              <w:jc w:val="center"/>
            </w:pPr>
            <w:r>
              <w:rPr>
                <w:rFonts w:ascii="Arial" w:hAnsi="Arial" w:eastAsia="Arial" w:cs="Arial"/>
                <w:b/>
                <w:bCs/>
                <w:i w:val="0"/>
                <w:iCs w:val="0"/>
                <w:color w:val="2E75B6"/>
                <w:sz w:val="16"/>
                <w:szCs w:val="16"/>
              </w:rPr>
              <w:t>Integer</w:t>
            </w:r>
          </w:p>
        </w:tc>
        <w:tc>
          <w:tcPr>
            <w:tcW w:w="43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4337F04">
            <w:pPr>
              <w:spacing w:before="55" w:after="55"/>
              <w:jc w:val="left"/>
            </w:pPr>
            <w:r>
              <w:rPr>
                <w:rFonts w:ascii="Arial" w:hAnsi="Arial" w:eastAsia="Arial" w:cs="Arial"/>
                <w:b w:val="0"/>
                <w:bCs w:val="0"/>
                <w:i w:val="0"/>
                <w:iCs w:val="0"/>
                <w:color w:val="1F1F1F"/>
                <w:sz w:val="17"/>
                <w:szCs w:val="17"/>
              </w:rPr>
              <w:t>Operational expenditure per order in USD</w:t>
            </w:r>
          </w:p>
        </w:tc>
      </w:tr>
      <w:tr w14:paraId="6FE70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5C4101E9">
            <w:pPr>
              <w:spacing w:before="55" w:after="55"/>
              <w:jc w:val="center"/>
            </w:pPr>
            <w:r>
              <w:rPr>
                <w:rFonts w:ascii="Arial" w:hAnsi="Arial" w:eastAsia="Arial" w:cs="Arial"/>
                <w:b/>
                <w:bCs/>
                <w:i w:val="0"/>
                <w:iCs w:val="0"/>
                <w:color w:val="1F3864"/>
                <w:sz w:val="17"/>
                <w:szCs w:val="17"/>
              </w:rPr>
              <w:t>P</w:t>
            </w:r>
          </w:p>
        </w:tc>
        <w:tc>
          <w:tcPr>
            <w:tcW w:w="2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5B1C4DE6">
            <w:pPr>
              <w:spacing w:before="55" w:after="55"/>
              <w:jc w:val="left"/>
            </w:pPr>
            <w:r>
              <w:rPr>
                <w:rFonts w:ascii="Arial" w:hAnsi="Arial" w:eastAsia="Arial" w:cs="Arial"/>
                <w:b w:val="0"/>
                <w:bCs w:val="0"/>
                <w:i w:val="0"/>
                <w:iCs w:val="0"/>
                <w:color w:val="1F1F1F"/>
                <w:sz w:val="17"/>
                <w:szCs w:val="17"/>
              </w:rPr>
              <w:t>year</w:t>
            </w:r>
          </w:p>
        </w:tc>
        <w:tc>
          <w:tcPr>
            <w:tcW w:w="1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0AD51E38">
            <w:pPr>
              <w:spacing w:before="55" w:after="55"/>
              <w:jc w:val="center"/>
            </w:pPr>
            <w:r>
              <w:rPr>
                <w:rFonts w:ascii="Arial" w:hAnsi="Arial" w:eastAsia="Arial" w:cs="Arial"/>
                <w:b/>
                <w:bCs/>
                <w:i w:val="0"/>
                <w:iCs w:val="0"/>
                <w:color w:val="2E75B6"/>
                <w:sz w:val="16"/>
                <w:szCs w:val="16"/>
              </w:rPr>
              <w:t>Integer</w:t>
            </w:r>
          </w:p>
        </w:tc>
        <w:tc>
          <w:tcPr>
            <w:tcW w:w="436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76E1D689">
            <w:pPr>
              <w:spacing w:before="55" w:after="55"/>
              <w:jc w:val="left"/>
            </w:pPr>
            <w:r>
              <w:rPr>
                <w:rFonts w:ascii="Arial" w:hAnsi="Arial" w:eastAsia="Arial" w:cs="Arial"/>
                <w:b w:val="0"/>
                <w:bCs w:val="0"/>
                <w:i w:val="0"/>
                <w:iCs w:val="0"/>
                <w:color w:val="1F1F1F"/>
                <w:sz w:val="17"/>
                <w:szCs w:val="17"/>
              </w:rPr>
              <w:t>Derived from order_date — used in SUMIFS/COUNTIFS</w:t>
            </w:r>
          </w:p>
        </w:tc>
      </w:tr>
      <w:tr w14:paraId="625A3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226156AC">
            <w:pPr>
              <w:spacing w:before="55" w:after="55"/>
              <w:jc w:val="center"/>
            </w:pPr>
            <w:r>
              <w:rPr>
                <w:rFonts w:ascii="Arial" w:hAnsi="Arial" w:eastAsia="Arial" w:cs="Arial"/>
                <w:b/>
                <w:bCs/>
                <w:i w:val="0"/>
                <w:iCs w:val="0"/>
                <w:color w:val="1F3864"/>
                <w:sz w:val="17"/>
                <w:szCs w:val="17"/>
              </w:rPr>
              <w:t>Q</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221B1D67">
            <w:pPr>
              <w:spacing w:before="55" w:after="55"/>
              <w:jc w:val="left"/>
            </w:pPr>
            <w:r>
              <w:rPr>
                <w:rFonts w:ascii="Arial" w:hAnsi="Arial" w:eastAsia="Arial" w:cs="Arial"/>
                <w:b w:val="0"/>
                <w:bCs w:val="0"/>
                <w:i w:val="0"/>
                <w:iCs w:val="0"/>
                <w:color w:val="1F1F1F"/>
                <w:sz w:val="17"/>
                <w:szCs w:val="17"/>
              </w:rPr>
              <w:t>month</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ECC7264">
            <w:pPr>
              <w:spacing w:before="55" w:after="55"/>
              <w:jc w:val="center"/>
            </w:pPr>
            <w:r>
              <w:rPr>
                <w:rFonts w:ascii="Arial" w:hAnsi="Arial" w:eastAsia="Arial" w:cs="Arial"/>
                <w:b/>
                <w:bCs/>
                <w:i w:val="0"/>
                <w:iCs w:val="0"/>
                <w:color w:val="2E75B6"/>
                <w:sz w:val="16"/>
                <w:szCs w:val="16"/>
              </w:rPr>
              <w:t>Integer</w:t>
            </w:r>
          </w:p>
        </w:tc>
        <w:tc>
          <w:tcPr>
            <w:tcW w:w="43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6231A72A">
            <w:pPr>
              <w:spacing w:before="55" w:after="55"/>
              <w:jc w:val="left"/>
            </w:pPr>
            <w:r>
              <w:rPr>
                <w:rFonts w:ascii="Arial" w:hAnsi="Arial" w:eastAsia="Arial" w:cs="Arial"/>
                <w:b w:val="0"/>
                <w:bCs w:val="0"/>
                <w:i w:val="0"/>
                <w:iCs w:val="0"/>
                <w:color w:val="1F1F1F"/>
                <w:sz w:val="17"/>
                <w:szCs w:val="17"/>
              </w:rPr>
              <w:t>Derived from order_date — used in SUMIFS/COUNTIFS</w:t>
            </w:r>
          </w:p>
        </w:tc>
      </w:tr>
      <w:tr w14:paraId="3BDF7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E2EFDA"/>
            <w:tcMar>
              <w:top w:w="75" w:type="dxa"/>
              <w:left w:w="120" w:type="dxa"/>
              <w:bottom w:w="75" w:type="dxa"/>
              <w:right w:w="120" w:type="dxa"/>
            </w:tcMar>
            <w:vAlign w:val="center"/>
          </w:tcPr>
          <w:p w14:paraId="308E5228">
            <w:pPr>
              <w:spacing w:before="55" w:after="55"/>
              <w:jc w:val="center"/>
            </w:pPr>
            <w:r>
              <w:rPr>
                <w:rFonts w:ascii="Arial" w:hAnsi="Arial" w:eastAsia="Arial" w:cs="Arial"/>
                <w:b/>
                <w:bCs/>
                <w:i w:val="0"/>
                <w:iCs w:val="0"/>
                <w:color w:val="217346"/>
                <w:sz w:val="17"/>
                <w:szCs w:val="17"/>
              </w:rPr>
              <w:t>R</w:t>
            </w:r>
          </w:p>
        </w:tc>
        <w:tc>
          <w:tcPr>
            <w:tcW w:w="2400" w:type="dxa"/>
            <w:tcBorders>
              <w:top w:val="single" w:color="CCCCCC" w:sz="4" w:space="0"/>
              <w:left w:val="single" w:color="CCCCCC" w:sz="4" w:space="0"/>
              <w:bottom w:val="single" w:color="CCCCCC" w:sz="4" w:space="0"/>
              <w:right w:val="single" w:color="CCCCCC" w:sz="4" w:space="0"/>
            </w:tcBorders>
            <w:shd w:val="clear" w:color="auto" w:fill="E2EFDA"/>
            <w:tcMar>
              <w:top w:w="75" w:type="dxa"/>
              <w:left w:w="120" w:type="dxa"/>
              <w:bottom w:w="75" w:type="dxa"/>
              <w:right w:w="120" w:type="dxa"/>
            </w:tcMar>
            <w:vAlign w:val="center"/>
          </w:tcPr>
          <w:p w14:paraId="497B6F24">
            <w:pPr>
              <w:spacing w:before="55" w:after="55"/>
              <w:jc w:val="left"/>
            </w:pPr>
            <w:r>
              <w:rPr>
                <w:rFonts w:ascii="Arial" w:hAnsi="Arial" w:eastAsia="Arial" w:cs="Arial"/>
                <w:b/>
                <w:bCs/>
                <w:i w:val="0"/>
                <w:iCs w:val="0"/>
                <w:color w:val="1F1F1F"/>
                <w:sz w:val="17"/>
                <w:szCs w:val="17"/>
              </w:rPr>
              <w:t>education</w:t>
            </w:r>
          </w:p>
        </w:tc>
        <w:tc>
          <w:tcPr>
            <w:tcW w:w="1400" w:type="dxa"/>
            <w:tcBorders>
              <w:top w:val="single" w:color="CCCCCC" w:sz="4" w:space="0"/>
              <w:left w:val="single" w:color="CCCCCC" w:sz="4" w:space="0"/>
              <w:bottom w:val="single" w:color="CCCCCC" w:sz="4" w:space="0"/>
              <w:right w:val="single" w:color="CCCCCC" w:sz="4" w:space="0"/>
            </w:tcBorders>
            <w:shd w:val="clear" w:color="auto" w:fill="E2EFDA"/>
            <w:tcMar>
              <w:top w:w="75" w:type="dxa"/>
              <w:left w:w="120" w:type="dxa"/>
              <w:bottom w:w="75" w:type="dxa"/>
              <w:right w:w="120" w:type="dxa"/>
            </w:tcMar>
            <w:vAlign w:val="center"/>
          </w:tcPr>
          <w:p w14:paraId="2BED8FA3">
            <w:pPr>
              <w:spacing w:before="55" w:after="55"/>
              <w:jc w:val="center"/>
            </w:pPr>
            <w:r>
              <w:rPr>
                <w:rFonts w:ascii="Arial" w:hAnsi="Arial" w:eastAsia="Arial" w:cs="Arial"/>
                <w:b/>
                <w:bCs/>
                <w:i w:val="0"/>
                <w:iCs w:val="0"/>
                <w:color w:val="2E75B6"/>
                <w:sz w:val="16"/>
                <w:szCs w:val="16"/>
              </w:rPr>
              <w:t>String</w:t>
            </w:r>
          </w:p>
        </w:tc>
        <w:tc>
          <w:tcPr>
            <w:tcW w:w="4360" w:type="dxa"/>
            <w:tcBorders>
              <w:top w:val="single" w:color="CCCCCC" w:sz="4" w:space="0"/>
              <w:left w:val="single" w:color="CCCCCC" w:sz="4" w:space="0"/>
              <w:bottom w:val="single" w:color="CCCCCC" w:sz="4" w:space="0"/>
              <w:right w:val="single" w:color="CCCCCC" w:sz="4" w:space="0"/>
            </w:tcBorders>
            <w:shd w:val="clear" w:color="auto" w:fill="E2EFDA"/>
            <w:tcMar>
              <w:top w:w="75" w:type="dxa"/>
              <w:left w:w="120" w:type="dxa"/>
              <w:bottom w:w="75" w:type="dxa"/>
              <w:right w:w="120" w:type="dxa"/>
            </w:tcMar>
            <w:vAlign w:val="center"/>
          </w:tcPr>
          <w:p w14:paraId="4339576E">
            <w:pPr>
              <w:spacing w:before="55" w:after="55"/>
              <w:jc w:val="left"/>
            </w:pPr>
            <w:r>
              <w:rPr>
                <w:rFonts w:ascii="Arial" w:hAnsi="Arial" w:eastAsia="Arial" w:cs="Arial"/>
                <w:b w:val="0"/>
                <w:bCs w:val="0"/>
                <w:i w:val="0"/>
                <w:iCs w:val="0"/>
                <w:color w:val="217346"/>
                <w:sz w:val="17"/>
                <w:szCs w:val="17"/>
              </w:rPr>
              <w:t>HELPER — VLOOKUP from Customers_Data col D (education)</w:t>
            </w:r>
          </w:p>
        </w:tc>
      </w:tr>
      <w:tr w14:paraId="57CAD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E2EFDA"/>
            <w:tcMar>
              <w:top w:w="75" w:type="dxa"/>
              <w:left w:w="120" w:type="dxa"/>
              <w:bottom w:w="75" w:type="dxa"/>
              <w:right w:w="120" w:type="dxa"/>
            </w:tcMar>
            <w:vAlign w:val="center"/>
          </w:tcPr>
          <w:p w14:paraId="0A9004B9">
            <w:pPr>
              <w:spacing w:before="55" w:after="55"/>
              <w:jc w:val="center"/>
            </w:pPr>
            <w:r>
              <w:rPr>
                <w:rFonts w:ascii="Arial" w:hAnsi="Arial" w:eastAsia="Arial" w:cs="Arial"/>
                <w:b/>
                <w:bCs/>
                <w:i w:val="0"/>
                <w:iCs w:val="0"/>
                <w:color w:val="217346"/>
                <w:sz w:val="17"/>
                <w:szCs w:val="17"/>
              </w:rPr>
              <w:t>S</w:t>
            </w:r>
          </w:p>
        </w:tc>
        <w:tc>
          <w:tcPr>
            <w:tcW w:w="2400" w:type="dxa"/>
            <w:tcBorders>
              <w:top w:val="single" w:color="CCCCCC" w:sz="4" w:space="0"/>
              <w:left w:val="single" w:color="CCCCCC" w:sz="4" w:space="0"/>
              <w:bottom w:val="single" w:color="CCCCCC" w:sz="4" w:space="0"/>
              <w:right w:val="single" w:color="CCCCCC" w:sz="4" w:space="0"/>
            </w:tcBorders>
            <w:shd w:val="clear" w:color="auto" w:fill="E2EFDA"/>
            <w:tcMar>
              <w:top w:w="75" w:type="dxa"/>
              <w:left w:w="120" w:type="dxa"/>
              <w:bottom w:w="75" w:type="dxa"/>
              <w:right w:w="120" w:type="dxa"/>
            </w:tcMar>
            <w:vAlign w:val="center"/>
          </w:tcPr>
          <w:p w14:paraId="20F80FF5">
            <w:pPr>
              <w:spacing w:before="55" w:after="55"/>
              <w:jc w:val="left"/>
            </w:pPr>
            <w:r>
              <w:rPr>
                <w:rFonts w:ascii="Arial" w:hAnsi="Arial" w:eastAsia="Arial" w:cs="Arial"/>
                <w:b/>
                <w:bCs/>
                <w:i w:val="0"/>
                <w:iCs w:val="0"/>
                <w:color w:val="1F1F1F"/>
                <w:sz w:val="17"/>
                <w:szCs w:val="17"/>
              </w:rPr>
              <w:t>marital_status</w:t>
            </w:r>
          </w:p>
        </w:tc>
        <w:tc>
          <w:tcPr>
            <w:tcW w:w="1400" w:type="dxa"/>
            <w:tcBorders>
              <w:top w:val="single" w:color="CCCCCC" w:sz="4" w:space="0"/>
              <w:left w:val="single" w:color="CCCCCC" w:sz="4" w:space="0"/>
              <w:bottom w:val="single" w:color="CCCCCC" w:sz="4" w:space="0"/>
              <w:right w:val="single" w:color="CCCCCC" w:sz="4" w:space="0"/>
            </w:tcBorders>
            <w:shd w:val="clear" w:color="auto" w:fill="E2EFDA"/>
            <w:tcMar>
              <w:top w:w="75" w:type="dxa"/>
              <w:left w:w="120" w:type="dxa"/>
              <w:bottom w:w="75" w:type="dxa"/>
              <w:right w:w="120" w:type="dxa"/>
            </w:tcMar>
            <w:vAlign w:val="center"/>
          </w:tcPr>
          <w:p w14:paraId="7F058305">
            <w:pPr>
              <w:spacing w:before="55" w:after="55"/>
              <w:jc w:val="center"/>
            </w:pPr>
            <w:r>
              <w:rPr>
                <w:rFonts w:ascii="Arial" w:hAnsi="Arial" w:eastAsia="Arial" w:cs="Arial"/>
                <w:b/>
                <w:bCs/>
                <w:i w:val="0"/>
                <w:iCs w:val="0"/>
                <w:color w:val="2E75B6"/>
                <w:sz w:val="16"/>
                <w:szCs w:val="16"/>
              </w:rPr>
              <w:t>String</w:t>
            </w:r>
          </w:p>
        </w:tc>
        <w:tc>
          <w:tcPr>
            <w:tcW w:w="4360" w:type="dxa"/>
            <w:tcBorders>
              <w:top w:val="single" w:color="CCCCCC" w:sz="4" w:space="0"/>
              <w:left w:val="single" w:color="CCCCCC" w:sz="4" w:space="0"/>
              <w:bottom w:val="single" w:color="CCCCCC" w:sz="4" w:space="0"/>
              <w:right w:val="single" w:color="CCCCCC" w:sz="4" w:space="0"/>
            </w:tcBorders>
            <w:shd w:val="clear" w:color="auto" w:fill="E2EFDA"/>
            <w:tcMar>
              <w:top w:w="75" w:type="dxa"/>
              <w:left w:w="120" w:type="dxa"/>
              <w:bottom w:w="75" w:type="dxa"/>
              <w:right w:w="120" w:type="dxa"/>
            </w:tcMar>
            <w:vAlign w:val="center"/>
          </w:tcPr>
          <w:p w14:paraId="2ABEEE56">
            <w:pPr>
              <w:spacing w:before="55" w:after="55"/>
              <w:jc w:val="left"/>
            </w:pPr>
            <w:r>
              <w:rPr>
                <w:rFonts w:ascii="Arial" w:hAnsi="Arial" w:eastAsia="Arial" w:cs="Arial"/>
                <w:b w:val="0"/>
                <w:bCs w:val="0"/>
                <w:i w:val="0"/>
                <w:iCs w:val="0"/>
                <w:color w:val="217346"/>
                <w:sz w:val="17"/>
                <w:szCs w:val="17"/>
              </w:rPr>
              <w:t>HELPER — VLOOKUP from Customers_Data col E (marital_status)</w:t>
            </w:r>
          </w:p>
        </w:tc>
      </w:tr>
      <w:tr w14:paraId="739B1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E2EFDA"/>
            <w:tcMar>
              <w:top w:w="75" w:type="dxa"/>
              <w:left w:w="120" w:type="dxa"/>
              <w:bottom w:w="75" w:type="dxa"/>
              <w:right w:w="120" w:type="dxa"/>
            </w:tcMar>
            <w:vAlign w:val="center"/>
          </w:tcPr>
          <w:p w14:paraId="3EB65B8C">
            <w:pPr>
              <w:spacing w:before="55" w:after="55"/>
              <w:jc w:val="center"/>
            </w:pPr>
            <w:r>
              <w:rPr>
                <w:rFonts w:ascii="Arial" w:hAnsi="Arial" w:eastAsia="Arial" w:cs="Arial"/>
                <w:b/>
                <w:bCs/>
                <w:i w:val="0"/>
                <w:iCs w:val="0"/>
                <w:color w:val="217346"/>
                <w:sz w:val="17"/>
                <w:szCs w:val="17"/>
              </w:rPr>
              <w:t>T</w:t>
            </w:r>
          </w:p>
        </w:tc>
        <w:tc>
          <w:tcPr>
            <w:tcW w:w="2400" w:type="dxa"/>
            <w:tcBorders>
              <w:top w:val="single" w:color="CCCCCC" w:sz="4" w:space="0"/>
              <w:left w:val="single" w:color="CCCCCC" w:sz="4" w:space="0"/>
              <w:bottom w:val="single" w:color="CCCCCC" w:sz="4" w:space="0"/>
              <w:right w:val="single" w:color="CCCCCC" w:sz="4" w:space="0"/>
            </w:tcBorders>
            <w:shd w:val="clear" w:color="auto" w:fill="E2EFDA"/>
            <w:tcMar>
              <w:top w:w="75" w:type="dxa"/>
              <w:left w:w="120" w:type="dxa"/>
              <w:bottom w:w="75" w:type="dxa"/>
              <w:right w:w="120" w:type="dxa"/>
            </w:tcMar>
            <w:vAlign w:val="center"/>
          </w:tcPr>
          <w:p w14:paraId="307A4A71">
            <w:pPr>
              <w:spacing w:before="55" w:after="55"/>
              <w:jc w:val="left"/>
            </w:pPr>
            <w:r>
              <w:rPr>
                <w:rFonts w:ascii="Arial" w:hAnsi="Arial" w:eastAsia="Arial" w:cs="Arial"/>
                <w:b/>
                <w:bCs/>
                <w:i w:val="0"/>
                <w:iCs w:val="0"/>
                <w:color w:val="1F1F1F"/>
                <w:sz w:val="17"/>
                <w:szCs w:val="17"/>
              </w:rPr>
              <w:t>pets</w:t>
            </w:r>
          </w:p>
        </w:tc>
        <w:tc>
          <w:tcPr>
            <w:tcW w:w="1400" w:type="dxa"/>
            <w:tcBorders>
              <w:top w:val="single" w:color="CCCCCC" w:sz="4" w:space="0"/>
              <w:left w:val="single" w:color="CCCCCC" w:sz="4" w:space="0"/>
              <w:bottom w:val="single" w:color="CCCCCC" w:sz="4" w:space="0"/>
              <w:right w:val="single" w:color="CCCCCC" w:sz="4" w:space="0"/>
            </w:tcBorders>
            <w:shd w:val="clear" w:color="auto" w:fill="E2EFDA"/>
            <w:tcMar>
              <w:top w:w="75" w:type="dxa"/>
              <w:left w:w="120" w:type="dxa"/>
              <w:bottom w:w="75" w:type="dxa"/>
              <w:right w:w="120" w:type="dxa"/>
            </w:tcMar>
            <w:vAlign w:val="center"/>
          </w:tcPr>
          <w:p w14:paraId="2C3F28FB">
            <w:pPr>
              <w:spacing w:before="55" w:after="55"/>
              <w:jc w:val="center"/>
            </w:pPr>
            <w:r>
              <w:rPr>
                <w:rFonts w:ascii="Arial" w:hAnsi="Arial" w:eastAsia="Arial" w:cs="Arial"/>
                <w:b/>
                <w:bCs/>
                <w:i w:val="0"/>
                <w:iCs w:val="0"/>
                <w:color w:val="2E75B6"/>
                <w:sz w:val="16"/>
                <w:szCs w:val="16"/>
              </w:rPr>
              <w:t>String</w:t>
            </w:r>
          </w:p>
        </w:tc>
        <w:tc>
          <w:tcPr>
            <w:tcW w:w="4360" w:type="dxa"/>
            <w:tcBorders>
              <w:top w:val="single" w:color="CCCCCC" w:sz="4" w:space="0"/>
              <w:left w:val="single" w:color="CCCCCC" w:sz="4" w:space="0"/>
              <w:bottom w:val="single" w:color="CCCCCC" w:sz="4" w:space="0"/>
              <w:right w:val="single" w:color="CCCCCC" w:sz="4" w:space="0"/>
            </w:tcBorders>
            <w:shd w:val="clear" w:color="auto" w:fill="E2EFDA"/>
            <w:tcMar>
              <w:top w:w="75" w:type="dxa"/>
              <w:left w:w="120" w:type="dxa"/>
              <w:bottom w:w="75" w:type="dxa"/>
              <w:right w:w="120" w:type="dxa"/>
            </w:tcMar>
            <w:vAlign w:val="center"/>
          </w:tcPr>
          <w:p w14:paraId="63A1DA05">
            <w:pPr>
              <w:spacing w:before="55" w:after="55"/>
              <w:jc w:val="left"/>
            </w:pPr>
            <w:r>
              <w:rPr>
                <w:rFonts w:ascii="Arial" w:hAnsi="Arial" w:eastAsia="Arial" w:cs="Arial"/>
                <w:b w:val="0"/>
                <w:bCs w:val="0"/>
                <w:i w:val="0"/>
                <w:iCs w:val="0"/>
                <w:color w:val="217346"/>
                <w:sz w:val="17"/>
                <w:szCs w:val="17"/>
              </w:rPr>
              <w:t>HELPER — VLOOKUP from Customers_Data col F (pets)</w:t>
            </w:r>
          </w:p>
        </w:tc>
      </w:tr>
    </w:tbl>
    <w:p w14:paraId="59A0D669">
      <w:pPr>
        <w:spacing w:before="20" w:after="20"/>
      </w:pPr>
    </w:p>
    <w:p w14:paraId="2FB61A5D">
      <w:pPr>
        <w:spacing w:before="55" w:after="55" w:line="296" w:lineRule="auto"/>
      </w:pPr>
      <w:r>
        <w:rPr>
          <w:rFonts w:ascii="Arial" w:hAnsi="Arial" w:eastAsia="Arial" w:cs="Arial"/>
          <w:b w:val="0"/>
          <w:bCs w:val="0"/>
          <w:i/>
          <w:iCs/>
          <w:color w:val="217346"/>
          <w:sz w:val="20"/>
          <w:szCs w:val="20"/>
        </w:rPr>
        <w:t>Note: Columns R, S, T (highlighted green) are helper columns added to enable efficient SUMIF-based customer demographic analysis. Rows 2–6 contain actual VLOOKUP formulas (=IFERROR(VLOOKUP(D2,Customers_Data!$A:$F,4,0),"")); remaining rows contain pre-joined values for performance.</w:t>
      </w:r>
    </w:p>
    <w:p w14:paraId="7431BB31">
      <w:pPr>
        <w:spacing w:before="20" w:after="20"/>
      </w:pPr>
    </w:p>
    <w:p w14:paraId="2D0C0ED1">
      <w:pPr>
        <w:pStyle w:val="3"/>
        <w:pBdr>
          <w:bottom w:val="single" w:color="2E75B6" w:sz="4" w:space="2"/>
        </w:pBdr>
        <w:spacing w:before="200" w:after="80"/>
      </w:pPr>
      <w:r>
        <w:rPr>
          <w:rFonts w:ascii="Arial" w:hAnsi="Arial" w:eastAsia="Arial" w:cs="Arial"/>
          <w:b/>
          <w:bCs/>
          <w:color w:val="1F3864"/>
          <w:sz w:val="26"/>
          <w:szCs w:val="26"/>
        </w:rPr>
        <w:t>2.2  Customers_Data  —  18,479 rows, 6 columns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1400"/>
        <w:gridCol w:w="4360"/>
      </w:tblGrid>
      <w:tr w14:paraId="3895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5AD20163">
            <w:pPr>
              <w:spacing w:before="55" w:after="55"/>
              <w:jc w:val="center"/>
            </w:pPr>
            <w:r>
              <w:rPr>
                <w:rFonts w:ascii="Arial" w:hAnsi="Arial" w:eastAsia="Arial" w:cs="Arial"/>
                <w:b/>
                <w:bCs/>
                <w:i w:val="0"/>
                <w:iCs w:val="0"/>
                <w:color w:val="FFFFFF"/>
                <w:sz w:val="17"/>
                <w:szCs w:val="17"/>
              </w:rPr>
              <w:t>Col</w:t>
            </w:r>
          </w:p>
        </w:tc>
        <w:tc>
          <w:tcPr>
            <w:tcW w:w="240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19903368">
            <w:pPr>
              <w:spacing w:before="55" w:after="55"/>
              <w:jc w:val="center"/>
            </w:pPr>
            <w:r>
              <w:rPr>
                <w:rFonts w:ascii="Arial" w:hAnsi="Arial" w:eastAsia="Arial" w:cs="Arial"/>
                <w:b/>
                <w:bCs/>
                <w:i w:val="0"/>
                <w:iCs w:val="0"/>
                <w:color w:val="FFFFFF"/>
                <w:sz w:val="17"/>
                <w:szCs w:val="17"/>
              </w:rPr>
              <w:t>Field Name</w:t>
            </w:r>
          </w:p>
        </w:tc>
        <w:tc>
          <w:tcPr>
            <w:tcW w:w="140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714C4275">
            <w:pPr>
              <w:spacing w:before="55" w:after="55"/>
              <w:jc w:val="center"/>
            </w:pPr>
            <w:r>
              <w:rPr>
                <w:rFonts w:ascii="Arial" w:hAnsi="Arial" w:eastAsia="Arial" w:cs="Arial"/>
                <w:b/>
                <w:bCs/>
                <w:i w:val="0"/>
                <w:iCs w:val="0"/>
                <w:color w:val="FFFFFF"/>
                <w:sz w:val="17"/>
                <w:szCs w:val="17"/>
              </w:rPr>
              <w:t>Type</w:t>
            </w:r>
          </w:p>
        </w:tc>
        <w:tc>
          <w:tcPr>
            <w:tcW w:w="436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628CC252">
            <w:pPr>
              <w:spacing w:before="55" w:after="55"/>
              <w:jc w:val="center"/>
            </w:pPr>
            <w:r>
              <w:rPr>
                <w:rFonts w:ascii="Arial" w:hAnsi="Arial" w:eastAsia="Arial" w:cs="Arial"/>
                <w:b/>
                <w:bCs/>
                <w:i w:val="0"/>
                <w:iCs w:val="0"/>
                <w:color w:val="FFFFFF"/>
                <w:sz w:val="17"/>
                <w:szCs w:val="17"/>
              </w:rPr>
              <w:t>Description</w:t>
            </w:r>
          </w:p>
        </w:tc>
      </w:tr>
      <w:tr w14:paraId="5C08C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B5BCC5B">
            <w:pPr>
              <w:spacing w:before="55" w:after="55"/>
              <w:jc w:val="center"/>
            </w:pPr>
            <w:r>
              <w:rPr>
                <w:rFonts w:ascii="Arial" w:hAnsi="Arial" w:eastAsia="Arial" w:cs="Arial"/>
                <w:b/>
                <w:bCs/>
                <w:i w:val="0"/>
                <w:iCs w:val="0"/>
                <w:color w:val="1F3864"/>
                <w:sz w:val="17"/>
                <w:szCs w:val="17"/>
              </w:rPr>
              <w:t>A</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4C356D3">
            <w:pPr>
              <w:spacing w:before="55" w:after="55"/>
              <w:jc w:val="left"/>
            </w:pPr>
            <w:r>
              <w:rPr>
                <w:rFonts w:ascii="Arial" w:hAnsi="Arial" w:eastAsia="Arial" w:cs="Arial"/>
                <w:b/>
                <w:bCs/>
                <w:i w:val="0"/>
                <w:iCs w:val="0"/>
                <w:color w:val="1F1F1F"/>
                <w:sz w:val="17"/>
                <w:szCs w:val="17"/>
              </w:rPr>
              <w:t>customer_id</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778851DC">
            <w:pPr>
              <w:spacing w:before="55" w:after="55"/>
              <w:jc w:val="center"/>
            </w:pPr>
            <w:r>
              <w:rPr>
                <w:rFonts w:ascii="Arial" w:hAnsi="Arial" w:eastAsia="Arial" w:cs="Arial"/>
                <w:b/>
                <w:bCs/>
                <w:i w:val="0"/>
                <w:iCs w:val="0"/>
                <w:color w:val="2E75B6"/>
                <w:sz w:val="16"/>
                <w:szCs w:val="16"/>
              </w:rPr>
              <w:t>Integer</w:t>
            </w:r>
          </w:p>
        </w:tc>
        <w:tc>
          <w:tcPr>
            <w:tcW w:w="43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3BE6BDD6">
            <w:pPr>
              <w:spacing w:before="55" w:after="55"/>
              <w:jc w:val="left"/>
            </w:pPr>
            <w:r>
              <w:rPr>
                <w:rFonts w:ascii="Arial" w:hAnsi="Arial" w:eastAsia="Arial" w:cs="Arial"/>
                <w:b w:val="0"/>
                <w:bCs w:val="0"/>
                <w:i w:val="0"/>
                <w:iCs w:val="0"/>
                <w:color w:val="1F1F1F"/>
                <w:sz w:val="17"/>
                <w:szCs w:val="17"/>
              </w:rPr>
              <w:t>Primary key — used in VLOOKUP joins from Orders_Data col D</w:t>
            </w:r>
          </w:p>
        </w:tc>
      </w:tr>
      <w:tr w14:paraId="44480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6382A784">
            <w:pPr>
              <w:spacing w:before="55" w:after="55"/>
              <w:jc w:val="center"/>
            </w:pPr>
            <w:r>
              <w:rPr>
                <w:rFonts w:ascii="Arial" w:hAnsi="Arial" w:eastAsia="Arial" w:cs="Arial"/>
                <w:b/>
                <w:bCs/>
                <w:i w:val="0"/>
                <w:iCs w:val="0"/>
                <w:color w:val="1F3864"/>
                <w:sz w:val="17"/>
                <w:szCs w:val="17"/>
              </w:rPr>
              <w:t>B</w:t>
            </w:r>
          </w:p>
        </w:tc>
        <w:tc>
          <w:tcPr>
            <w:tcW w:w="2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6BEC34A7">
            <w:pPr>
              <w:spacing w:before="55" w:after="55"/>
              <w:jc w:val="left"/>
            </w:pPr>
            <w:r>
              <w:rPr>
                <w:rFonts w:ascii="Arial" w:hAnsi="Arial" w:eastAsia="Arial" w:cs="Arial"/>
                <w:b/>
                <w:bCs/>
                <w:i w:val="0"/>
                <w:iCs w:val="0"/>
                <w:color w:val="1F1F1F"/>
                <w:sz w:val="17"/>
                <w:szCs w:val="17"/>
              </w:rPr>
              <w:t>customer_age</w:t>
            </w:r>
          </w:p>
        </w:tc>
        <w:tc>
          <w:tcPr>
            <w:tcW w:w="1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62427D53">
            <w:pPr>
              <w:spacing w:before="55" w:after="55"/>
              <w:jc w:val="center"/>
            </w:pPr>
            <w:r>
              <w:rPr>
                <w:rFonts w:ascii="Arial" w:hAnsi="Arial" w:eastAsia="Arial" w:cs="Arial"/>
                <w:b/>
                <w:bCs/>
                <w:i w:val="0"/>
                <w:iCs w:val="0"/>
                <w:color w:val="2E75B6"/>
                <w:sz w:val="16"/>
                <w:szCs w:val="16"/>
              </w:rPr>
              <w:t>Integer</w:t>
            </w:r>
          </w:p>
        </w:tc>
        <w:tc>
          <w:tcPr>
            <w:tcW w:w="436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471C7A10">
            <w:pPr>
              <w:spacing w:before="55" w:after="55"/>
              <w:jc w:val="left"/>
            </w:pPr>
            <w:r>
              <w:rPr>
                <w:rFonts w:ascii="Arial" w:hAnsi="Arial" w:eastAsia="Arial" w:cs="Arial"/>
                <w:b w:val="0"/>
                <w:bCs w:val="0"/>
                <w:i w:val="0"/>
                <w:iCs w:val="0"/>
                <w:color w:val="1F1F1F"/>
                <w:sz w:val="17"/>
                <w:szCs w:val="17"/>
              </w:rPr>
              <w:t>Customer age in years</w:t>
            </w:r>
          </w:p>
        </w:tc>
      </w:tr>
      <w:tr w14:paraId="6771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269F502F">
            <w:pPr>
              <w:spacing w:before="55" w:after="55"/>
              <w:jc w:val="center"/>
            </w:pPr>
            <w:r>
              <w:rPr>
                <w:rFonts w:ascii="Arial" w:hAnsi="Arial" w:eastAsia="Arial" w:cs="Arial"/>
                <w:b/>
                <w:bCs/>
                <w:i w:val="0"/>
                <w:iCs w:val="0"/>
                <w:color w:val="1F3864"/>
                <w:sz w:val="17"/>
                <w:szCs w:val="17"/>
              </w:rPr>
              <w:t>C</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49984BC">
            <w:pPr>
              <w:spacing w:before="55" w:after="55"/>
              <w:jc w:val="left"/>
            </w:pPr>
            <w:r>
              <w:rPr>
                <w:rFonts w:ascii="Arial" w:hAnsi="Arial" w:eastAsia="Arial" w:cs="Arial"/>
                <w:b/>
                <w:bCs/>
                <w:i w:val="0"/>
                <w:iCs w:val="0"/>
                <w:color w:val="1F1F1F"/>
                <w:sz w:val="17"/>
                <w:szCs w:val="17"/>
              </w:rPr>
              <w:t>customer_gender</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74A00EE5">
            <w:pPr>
              <w:spacing w:before="55" w:after="55"/>
              <w:jc w:val="center"/>
            </w:pPr>
            <w:r>
              <w:rPr>
                <w:rFonts w:ascii="Arial" w:hAnsi="Arial" w:eastAsia="Arial" w:cs="Arial"/>
                <w:b/>
                <w:bCs/>
                <w:i w:val="0"/>
                <w:iCs w:val="0"/>
                <w:color w:val="2E75B6"/>
                <w:sz w:val="16"/>
                <w:szCs w:val="16"/>
              </w:rPr>
              <w:t>String</w:t>
            </w:r>
          </w:p>
        </w:tc>
        <w:tc>
          <w:tcPr>
            <w:tcW w:w="43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3D17DAC8">
            <w:pPr>
              <w:spacing w:before="55" w:after="55"/>
              <w:jc w:val="left"/>
            </w:pPr>
            <w:r>
              <w:rPr>
                <w:rFonts w:ascii="Arial" w:hAnsi="Arial" w:eastAsia="Arial" w:cs="Arial"/>
                <w:b w:val="0"/>
                <w:bCs w:val="0"/>
                <w:i w:val="0"/>
                <w:iCs w:val="0"/>
                <w:color w:val="1F1F1F"/>
                <w:sz w:val="17"/>
                <w:szCs w:val="17"/>
              </w:rPr>
              <w:t>M (Male) or F (Female)</w:t>
            </w:r>
          </w:p>
        </w:tc>
      </w:tr>
      <w:tr w14:paraId="33B0C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6A1A0C7C">
            <w:pPr>
              <w:spacing w:before="55" w:after="55"/>
              <w:jc w:val="center"/>
            </w:pPr>
            <w:r>
              <w:rPr>
                <w:rFonts w:ascii="Arial" w:hAnsi="Arial" w:eastAsia="Arial" w:cs="Arial"/>
                <w:b/>
                <w:bCs/>
                <w:i w:val="0"/>
                <w:iCs w:val="0"/>
                <w:color w:val="1F3864"/>
                <w:sz w:val="17"/>
                <w:szCs w:val="17"/>
              </w:rPr>
              <w:t>D</w:t>
            </w:r>
          </w:p>
        </w:tc>
        <w:tc>
          <w:tcPr>
            <w:tcW w:w="2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0359AD46">
            <w:pPr>
              <w:spacing w:before="55" w:after="55"/>
              <w:jc w:val="left"/>
            </w:pPr>
            <w:r>
              <w:rPr>
                <w:rFonts w:ascii="Arial" w:hAnsi="Arial" w:eastAsia="Arial" w:cs="Arial"/>
                <w:b/>
                <w:bCs/>
                <w:i w:val="0"/>
                <w:iCs w:val="0"/>
                <w:color w:val="1F1F1F"/>
                <w:sz w:val="17"/>
                <w:szCs w:val="17"/>
              </w:rPr>
              <w:t>education</w:t>
            </w:r>
          </w:p>
        </w:tc>
        <w:tc>
          <w:tcPr>
            <w:tcW w:w="1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17A966B8">
            <w:pPr>
              <w:spacing w:before="55" w:after="55"/>
              <w:jc w:val="center"/>
            </w:pPr>
            <w:r>
              <w:rPr>
                <w:rFonts w:ascii="Arial" w:hAnsi="Arial" w:eastAsia="Arial" w:cs="Arial"/>
                <w:b/>
                <w:bCs/>
                <w:i w:val="0"/>
                <w:iCs w:val="0"/>
                <w:color w:val="2E75B6"/>
                <w:sz w:val="16"/>
                <w:szCs w:val="16"/>
              </w:rPr>
              <w:t>String</w:t>
            </w:r>
          </w:p>
        </w:tc>
        <w:tc>
          <w:tcPr>
            <w:tcW w:w="436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741ECA15">
            <w:pPr>
              <w:spacing w:before="55" w:after="55"/>
              <w:jc w:val="left"/>
            </w:pPr>
            <w:r>
              <w:rPr>
                <w:rFonts w:ascii="Arial" w:hAnsi="Arial" w:eastAsia="Arial" w:cs="Arial"/>
                <w:b w:val="0"/>
                <w:bCs w:val="0"/>
                <w:i w:val="0"/>
                <w:iCs w:val="0"/>
                <w:color w:val="1F1F1F"/>
                <w:sz w:val="17"/>
                <w:szCs w:val="17"/>
              </w:rPr>
              <w:t>College, High School, Bachelor, Master, Uneducated, Doctorate</w:t>
            </w:r>
          </w:p>
        </w:tc>
      </w:tr>
      <w:tr w14:paraId="49DC8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20763235">
            <w:pPr>
              <w:spacing w:before="55" w:after="55"/>
              <w:jc w:val="center"/>
            </w:pPr>
            <w:r>
              <w:rPr>
                <w:rFonts w:ascii="Arial" w:hAnsi="Arial" w:eastAsia="Arial" w:cs="Arial"/>
                <w:b/>
                <w:bCs/>
                <w:i w:val="0"/>
                <w:iCs w:val="0"/>
                <w:color w:val="1F3864"/>
                <w:sz w:val="17"/>
                <w:szCs w:val="17"/>
              </w:rPr>
              <w:t>E</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009F199">
            <w:pPr>
              <w:spacing w:before="55" w:after="55"/>
              <w:jc w:val="left"/>
            </w:pPr>
            <w:r>
              <w:rPr>
                <w:rFonts w:ascii="Arial" w:hAnsi="Arial" w:eastAsia="Arial" w:cs="Arial"/>
                <w:b/>
                <w:bCs/>
                <w:i w:val="0"/>
                <w:iCs w:val="0"/>
                <w:color w:val="1F1F1F"/>
                <w:sz w:val="17"/>
                <w:szCs w:val="17"/>
              </w:rPr>
              <w:t>marital_status</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4866D60">
            <w:pPr>
              <w:spacing w:before="55" w:after="55"/>
              <w:jc w:val="center"/>
            </w:pPr>
            <w:r>
              <w:rPr>
                <w:rFonts w:ascii="Arial" w:hAnsi="Arial" w:eastAsia="Arial" w:cs="Arial"/>
                <w:b/>
                <w:bCs/>
                <w:i w:val="0"/>
                <w:iCs w:val="0"/>
                <w:color w:val="2E75B6"/>
                <w:sz w:val="16"/>
                <w:szCs w:val="16"/>
              </w:rPr>
              <w:t>String</w:t>
            </w:r>
          </w:p>
        </w:tc>
        <w:tc>
          <w:tcPr>
            <w:tcW w:w="43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74004E5">
            <w:pPr>
              <w:spacing w:before="55" w:after="55"/>
              <w:jc w:val="left"/>
            </w:pPr>
            <w:r>
              <w:rPr>
                <w:rFonts w:ascii="Arial" w:hAnsi="Arial" w:eastAsia="Arial" w:cs="Arial"/>
                <w:b w:val="0"/>
                <w:bCs w:val="0"/>
                <w:i w:val="0"/>
                <w:iCs w:val="0"/>
                <w:color w:val="1F1F1F"/>
                <w:sz w:val="17"/>
                <w:szCs w:val="17"/>
              </w:rPr>
              <w:t>Not married or Married</w:t>
            </w:r>
          </w:p>
        </w:tc>
      </w:tr>
      <w:tr w14:paraId="12E9F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4D469DDE">
            <w:pPr>
              <w:spacing w:before="55" w:after="55"/>
              <w:jc w:val="center"/>
            </w:pPr>
            <w:r>
              <w:rPr>
                <w:rFonts w:ascii="Arial" w:hAnsi="Arial" w:eastAsia="Arial" w:cs="Arial"/>
                <w:b/>
                <w:bCs/>
                <w:i w:val="0"/>
                <w:iCs w:val="0"/>
                <w:color w:val="1F3864"/>
                <w:sz w:val="17"/>
                <w:szCs w:val="17"/>
              </w:rPr>
              <w:t>F</w:t>
            </w:r>
          </w:p>
        </w:tc>
        <w:tc>
          <w:tcPr>
            <w:tcW w:w="2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5DE1BF63">
            <w:pPr>
              <w:spacing w:before="55" w:after="55"/>
              <w:jc w:val="left"/>
            </w:pPr>
            <w:r>
              <w:rPr>
                <w:rFonts w:ascii="Arial" w:hAnsi="Arial" w:eastAsia="Arial" w:cs="Arial"/>
                <w:b/>
                <w:bCs/>
                <w:i w:val="0"/>
                <w:iCs w:val="0"/>
                <w:color w:val="1F1F1F"/>
                <w:sz w:val="17"/>
                <w:szCs w:val="17"/>
              </w:rPr>
              <w:t>pets</w:t>
            </w:r>
          </w:p>
        </w:tc>
        <w:tc>
          <w:tcPr>
            <w:tcW w:w="1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1BCCC219">
            <w:pPr>
              <w:spacing w:before="55" w:after="55"/>
              <w:jc w:val="center"/>
            </w:pPr>
            <w:r>
              <w:rPr>
                <w:rFonts w:ascii="Arial" w:hAnsi="Arial" w:eastAsia="Arial" w:cs="Arial"/>
                <w:b/>
                <w:bCs/>
                <w:i w:val="0"/>
                <w:iCs w:val="0"/>
                <w:color w:val="2E75B6"/>
                <w:sz w:val="16"/>
                <w:szCs w:val="16"/>
              </w:rPr>
              <w:t>String</w:t>
            </w:r>
          </w:p>
        </w:tc>
        <w:tc>
          <w:tcPr>
            <w:tcW w:w="436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29A59FE1">
            <w:pPr>
              <w:spacing w:before="55" w:after="55"/>
              <w:jc w:val="left"/>
            </w:pPr>
            <w:r>
              <w:rPr>
                <w:rFonts w:ascii="Arial" w:hAnsi="Arial" w:eastAsia="Arial" w:cs="Arial"/>
                <w:b w:val="0"/>
                <w:bCs w:val="0"/>
                <w:i w:val="0"/>
                <w:iCs w:val="0"/>
                <w:color w:val="1F1F1F"/>
                <w:sz w:val="17"/>
                <w:szCs w:val="17"/>
              </w:rPr>
              <w:t>No, Dog, Cat, Cat and dog</w:t>
            </w:r>
          </w:p>
        </w:tc>
      </w:tr>
    </w:tbl>
    <w:p w14:paraId="3DC70F85">
      <w:pPr>
        <w:spacing w:before="20" w:after="20"/>
      </w:pPr>
    </w:p>
    <w:p w14:paraId="07D08BDC">
      <w:pPr>
        <w:pBdr>
          <w:bottom w:val="single" w:color="2E75B6" w:sz="6" w:space="1"/>
        </w:pBdr>
        <w:spacing w:before="80" w:after="80"/>
      </w:pPr>
    </w:p>
    <w:p w14:paraId="54A4C570">
      <w:pPr>
        <w:pStyle w:val="2"/>
        <w:shd w:val="clear" w:fill="1F3864"/>
        <w:spacing w:before="260" w:after="140"/>
      </w:pPr>
      <w:r>
        <w:rPr>
          <w:rFonts w:ascii="Arial" w:hAnsi="Arial" w:eastAsia="Arial" w:cs="Arial"/>
          <w:b/>
          <w:bCs/>
          <w:color w:val="FFFFFF"/>
          <w:sz w:val="40"/>
          <w:szCs w:val="40"/>
        </w:rPr>
        <w:t>3.  Tool &amp; Methodology</w:t>
      </w:r>
    </w:p>
    <w:p w14:paraId="487D4A72">
      <w:pPr>
        <w:spacing w:before="20" w:after="20"/>
      </w:pPr>
    </w:p>
    <w:p w14:paraId="445DC777">
      <w:pPr>
        <w:pStyle w:val="3"/>
        <w:pBdr>
          <w:bottom w:val="single" w:color="2E75B6" w:sz="4" w:space="2"/>
        </w:pBdr>
        <w:spacing w:before="200" w:after="80"/>
      </w:pPr>
      <w:r>
        <w:rPr>
          <w:rFonts w:ascii="Arial" w:hAnsi="Arial" w:eastAsia="Arial" w:cs="Arial"/>
          <w:b/>
          <w:bCs/>
          <w:color w:val="1F3864"/>
          <w:sz w:val="26"/>
          <w:szCs w:val="26"/>
        </w:rPr>
        <w:t>3.1  Tool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2"/>
        <w:gridCol w:w="6968"/>
      </w:tblGrid>
      <w:tr w14:paraId="7D0B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2C594F36">
            <w:pPr>
              <w:spacing w:before="55" w:after="55"/>
              <w:jc w:val="center"/>
            </w:pPr>
            <w:r>
              <w:rPr>
                <w:rFonts w:ascii="Arial" w:hAnsi="Arial" w:eastAsia="Arial" w:cs="Arial"/>
                <w:b/>
                <w:bCs/>
                <w:i w:val="0"/>
                <w:iCs w:val="0"/>
                <w:color w:val="FFFFFF"/>
                <w:sz w:val="17"/>
                <w:szCs w:val="17"/>
              </w:rPr>
              <w:t>Tool</w:t>
            </w:r>
          </w:p>
        </w:tc>
        <w:tc>
          <w:tcPr>
            <w:tcW w:w="700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7D0B61FC">
            <w:pPr>
              <w:spacing w:before="55" w:after="55"/>
              <w:jc w:val="center"/>
            </w:pPr>
            <w:r>
              <w:rPr>
                <w:rFonts w:ascii="Arial" w:hAnsi="Arial" w:eastAsia="Arial" w:cs="Arial"/>
                <w:b/>
                <w:bCs/>
                <w:i w:val="0"/>
                <w:iCs w:val="0"/>
                <w:color w:val="FFFFFF"/>
                <w:sz w:val="17"/>
                <w:szCs w:val="17"/>
              </w:rPr>
              <w:t>Purpose</w:t>
            </w:r>
          </w:p>
        </w:tc>
      </w:tr>
      <w:tr w14:paraId="5C856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3C97FC66">
            <w:pPr>
              <w:spacing w:before="55" w:after="55"/>
              <w:jc w:val="left"/>
            </w:pPr>
            <w:r>
              <w:rPr>
                <w:rFonts w:ascii="Arial" w:hAnsi="Arial" w:eastAsia="Arial" w:cs="Arial"/>
                <w:b/>
                <w:bCs/>
                <w:i w:val="0"/>
                <w:iCs w:val="0"/>
                <w:color w:val="1F3864"/>
                <w:sz w:val="17"/>
                <w:szCs w:val="17"/>
              </w:rPr>
              <w:t>Microsoft Excel</w:t>
            </w:r>
          </w:p>
        </w:tc>
        <w:tc>
          <w:tcPr>
            <w:tcW w:w="70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4AEC62E8">
            <w:pPr>
              <w:spacing w:before="55" w:after="55"/>
              <w:jc w:val="left"/>
            </w:pPr>
            <w:r>
              <w:rPr>
                <w:rFonts w:ascii="Arial" w:hAnsi="Arial" w:eastAsia="Arial" w:cs="Arial"/>
                <w:b w:val="0"/>
                <w:bCs w:val="0"/>
                <w:i w:val="0"/>
                <w:iCs w:val="0"/>
                <w:color w:val="1F1F1F"/>
                <w:sz w:val="17"/>
                <w:szCs w:val="17"/>
              </w:rPr>
              <w:t>Primary analysis and dashboard environment. All 826 formulas were constructed in Excel referencing the Orders_Data and Customers_Data source sheets directly.</w:t>
            </w:r>
          </w:p>
        </w:tc>
      </w:tr>
      <w:tr w14:paraId="0E241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4022C3D4">
            <w:pPr>
              <w:spacing w:before="55" w:after="55"/>
              <w:jc w:val="left"/>
            </w:pPr>
            <w:r>
              <w:rPr>
                <w:rFonts w:ascii="Arial" w:hAnsi="Arial" w:eastAsia="Arial" w:cs="Arial"/>
                <w:b/>
                <w:bCs/>
                <w:i w:val="0"/>
                <w:iCs w:val="0"/>
                <w:color w:val="1F3864"/>
                <w:sz w:val="17"/>
                <w:szCs w:val="17"/>
              </w:rPr>
              <w:t>Microsoft Word</w:t>
            </w:r>
          </w:p>
        </w:tc>
        <w:tc>
          <w:tcPr>
            <w:tcW w:w="70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2121E547">
            <w:pPr>
              <w:spacing w:before="55" w:after="55"/>
              <w:jc w:val="left"/>
            </w:pPr>
            <w:r>
              <w:rPr>
                <w:rFonts w:ascii="Arial" w:hAnsi="Arial" w:eastAsia="Arial" w:cs="Arial"/>
                <w:b w:val="0"/>
                <w:bCs w:val="0"/>
                <w:i w:val="0"/>
                <w:iCs w:val="0"/>
                <w:color w:val="1F1F1F"/>
                <w:sz w:val="17"/>
                <w:szCs w:val="17"/>
              </w:rPr>
              <w:t>Project report and documentation — this document.</w:t>
            </w:r>
          </w:p>
        </w:tc>
      </w:tr>
    </w:tbl>
    <w:p w14:paraId="5B93D98D">
      <w:pPr>
        <w:spacing w:before="20" w:after="20"/>
      </w:pPr>
    </w:p>
    <w:p w14:paraId="5C9F9ACA">
      <w:pPr>
        <w:pStyle w:val="3"/>
        <w:pBdr>
          <w:bottom w:val="single" w:color="2E75B6" w:sz="4" w:space="2"/>
        </w:pBdr>
        <w:spacing w:before="200" w:after="80"/>
        <w:rPr>
          <w:rFonts w:ascii="Arial" w:hAnsi="Arial" w:eastAsia="Arial" w:cs="Arial"/>
          <w:b/>
          <w:bCs/>
          <w:color w:val="1F3864"/>
          <w:sz w:val="26"/>
          <w:szCs w:val="26"/>
        </w:rPr>
      </w:pPr>
    </w:p>
    <w:p w14:paraId="046209FE">
      <w:pPr>
        <w:pStyle w:val="3"/>
        <w:pBdr>
          <w:bottom w:val="single" w:color="2E75B6" w:sz="4" w:space="2"/>
        </w:pBdr>
        <w:spacing w:before="200" w:after="80"/>
        <w:rPr>
          <w:rFonts w:ascii="Arial" w:hAnsi="Arial" w:eastAsia="Arial" w:cs="Arial"/>
          <w:b/>
          <w:bCs/>
          <w:color w:val="1F3864"/>
          <w:sz w:val="26"/>
          <w:szCs w:val="26"/>
        </w:rPr>
      </w:pPr>
    </w:p>
    <w:p w14:paraId="7748788D">
      <w:pPr>
        <w:pStyle w:val="3"/>
        <w:pBdr>
          <w:bottom w:val="single" w:color="2E75B6" w:sz="4" w:space="2"/>
        </w:pBdr>
        <w:spacing w:before="200" w:after="80"/>
      </w:pPr>
      <w:r>
        <w:rPr>
          <w:rFonts w:ascii="Arial" w:hAnsi="Arial" w:eastAsia="Arial" w:cs="Arial"/>
          <w:b/>
          <w:bCs/>
          <w:color w:val="1F3864"/>
          <w:sz w:val="26"/>
          <w:szCs w:val="26"/>
        </w:rPr>
        <w:t>3.2  Analytical Methodology — Three Phases</w:t>
      </w:r>
    </w:p>
    <w:p w14:paraId="3FDEC4C9">
      <w:pPr>
        <w:spacing w:before="140" w:after="60"/>
      </w:pPr>
      <w:r>
        <w:rPr>
          <w:rFonts w:ascii="Arial" w:hAnsi="Arial" w:eastAsia="Arial" w:cs="Arial"/>
          <w:b/>
          <w:bCs/>
          <w:color w:val="2E75B6"/>
          <w:sz w:val="21"/>
          <w:szCs w:val="21"/>
        </w:rPr>
        <w:t>Phase 1 — Descriptive Analytics (What happened?)</w:t>
      </w:r>
    </w:p>
    <w:p w14:paraId="25AD0352">
      <w:pPr>
        <w:pStyle w:val="16"/>
        <w:numPr>
          <w:ilvl w:val="0"/>
          <w:numId w:val="1"/>
        </w:numPr>
        <w:spacing w:before="36" w:after="36" w:line="276" w:lineRule="auto"/>
      </w:pPr>
      <w:r>
        <w:rPr>
          <w:rFonts w:ascii="Arial" w:hAnsi="Arial" w:eastAsia="Arial" w:cs="Arial"/>
          <w:b w:val="0"/>
          <w:bCs w:val="0"/>
          <w:i w:val="0"/>
          <w:iCs w:val="0"/>
          <w:color w:val="1F1F1F"/>
          <w:sz w:val="20"/>
          <w:szCs w:val="20"/>
        </w:rPr>
        <w:t>Aggregated revenue and profit across year, month, state, category, and sub-category using SUMIF and SUMIFS.</w:t>
      </w:r>
    </w:p>
    <w:p w14:paraId="1A038940">
      <w:pPr>
        <w:pStyle w:val="16"/>
        <w:numPr>
          <w:ilvl w:val="0"/>
          <w:numId w:val="1"/>
        </w:numPr>
        <w:spacing w:before="36" w:after="36" w:line="276" w:lineRule="auto"/>
      </w:pPr>
      <w:r>
        <w:rPr>
          <w:rFonts w:ascii="Arial" w:hAnsi="Arial" w:eastAsia="Arial" w:cs="Arial"/>
          <w:b w:val="0"/>
          <w:bCs w:val="0"/>
          <w:i w:val="0"/>
          <w:iCs w:val="0"/>
          <w:color w:val="1F1F1F"/>
          <w:sz w:val="20"/>
          <w:szCs w:val="20"/>
        </w:rPr>
        <w:t>Calculated YoY revenue growth using =(B_current - B_prior)/B_prior directly in the workbook.</w:t>
      </w:r>
    </w:p>
    <w:p w14:paraId="365C818F">
      <w:pPr>
        <w:pStyle w:val="16"/>
        <w:numPr>
          <w:ilvl w:val="0"/>
          <w:numId w:val="1"/>
        </w:numPr>
        <w:spacing w:before="36" w:after="36" w:line="276" w:lineRule="auto"/>
      </w:pPr>
      <w:r>
        <w:rPr>
          <w:rFonts w:ascii="Arial" w:hAnsi="Arial" w:eastAsia="Arial" w:cs="Arial"/>
          <w:b w:val="0"/>
          <w:bCs w:val="0"/>
          <w:i w:val="0"/>
          <w:iCs w:val="0"/>
          <w:color w:val="1F1F1F"/>
          <w:sz w:val="20"/>
          <w:szCs w:val="20"/>
        </w:rPr>
        <w:t>Built a State×Year revenue pivot using SUMIFS across two criteria simultaneously.</w:t>
      </w:r>
    </w:p>
    <w:p w14:paraId="5AE0FD92">
      <w:pPr>
        <w:pStyle w:val="16"/>
        <w:numPr>
          <w:ilvl w:val="0"/>
          <w:numId w:val="1"/>
        </w:numPr>
        <w:spacing w:before="36" w:after="36" w:line="276" w:lineRule="auto"/>
      </w:pPr>
      <w:r>
        <w:rPr>
          <w:rFonts w:ascii="Arial" w:hAnsi="Arial" w:eastAsia="Arial" w:cs="Arial"/>
          <w:b w:val="0"/>
          <w:bCs w:val="0"/>
          <w:i w:val="0"/>
          <w:iCs w:val="0"/>
          <w:color w:val="1F1F1F"/>
          <w:sz w:val="20"/>
          <w:szCs w:val="20"/>
        </w:rPr>
        <w:t>Calculated profit margin as =(Revenue - Revenue×DeliveryFee - OPEX)/Revenue per segment.</w:t>
      </w:r>
    </w:p>
    <w:p w14:paraId="4B15B8E6">
      <w:pPr>
        <w:spacing w:before="20" w:after="20"/>
      </w:pPr>
    </w:p>
    <w:p w14:paraId="45E2678E">
      <w:pPr>
        <w:spacing w:before="140" w:after="60"/>
      </w:pPr>
      <w:r>
        <w:rPr>
          <w:rFonts w:ascii="Arial" w:hAnsi="Arial" w:eastAsia="Arial" w:cs="Arial"/>
          <w:b/>
          <w:bCs/>
          <w:color w:val="2E75B6"/>
          <w:sz w:val="21"/>
          <w:szCs w:val="21"/>
        </w:rPr>
        <w:t>Phase 2 — Diagnostic Analytics (Why did it happen?)</w:t>
      </w:r>
    </w:p>
    <w:p w14:paraId="319E7671">
      <w:pPr>
        <w:pStyle w:val="16"/>
        <w:numPr>
          <w:ilvl w:val="0"/>
          <w:numId w:val="1"/>
        </w:numPr>
        <w:spacing w:before="36" w:after="36" w:line="276" w:lineRule="auto"/>
      </w:pPr>
      <w:r>
        <w:rPr>
          <w:rFonts w:ascii="Arial" w:hAnsi="Arial" w:eastAsia="Arial" w:cs="Arial"/>
          <w:b w:val="0"/>
          <w:bCs w:val="0"/>
          <w:i w:val="0"/>
          <w:iCs w:val="0"/>
          <w:color w:val="1F1F1F"/>
          <w:sz w:val="20"/>
          <w:szCs w:val="20"/>
        </w:rPr>
        <w:t>Compared review score distributions using COUNTIF and SUMIF to understand revenue concentration by satisfaction level.</w:t>
      </w:r>
    </w:p>
    <w:p w14:paraId="6B216B41">
      <w:pPr>
        <w:pStyle w:val="16"/>
        <w:numPr>
          <w:ilvl w:val="0"/>
          <w:numId w:val="1"/>
        </w:numPr>
        <w:spacing w:before="36" w:after="36" w:line="276" w:lineRule="auto"/>
      </w:pPr>
      <w:r>
        <w:rPr>
          <w:rFonts w:ascii="Arial" w:hAnsi="Arial" w:eastAsia="Arial" w:cs="Arial"/>
          <w:b w:val="0"/>
          <w:bCs w:val="0"/>
          <w:i w:val="0"/>
          <w:iCs w:val="0"/>
          <w:color w:val="1F1F1F"/>
          <w:sz w:val="20"/>
          <w:szCs w:val="20"/>
        </w:rPr>
        <w:t>Segmented customers by age group using SUMPRODUCT with boundary conditions: (age&gt;=26)*(age&lt;=35)*revenue.</w:t>
      </w:r>
    </w:p>
    <w:p w14:paraId="1FCE2376">
      <w:pPr>
        <w:pStyle w:val="16"/>
        <w:numPr>
          <w:ilvl w:val="0"/>
          <w:numId w:val="1"/>
        </w:numPr>
        <w:spacing w:before="36" w:after="36" w:line="276" w:lineRule="auto"/>
      </w:pPr>
      <w:r>
        <w:rPr>
          <w:rFonts w:ascii="Arial" w:hAnsi="Arial" w:eastAsia="Arial" w:cs="Arial"/>
          <w:b w:val="0"/>
          <w:bCs w:val="0"/>
          <w:i w:val="0"/>
          <w:iCs w:val="0"/>
          <w:color w:val="1F1F1F"/>
          <w:sz w:val="20"/>
          <w:szCs w:val="20"/>
        </w:rPr>
        <w:t>Pre-joined education, marital status, and pet ownership into Orders_Data using VLOOKUP, then applied SUMIF for fast aggregation.</w:t>
      </w:r>
    </w:p>
    <w:p w14:paraId="6DAD4A1E">
      <w:pPr>
        <w:pStyle w:val="16"/>
        <w:numPr>
          <w:ilvl w:val="0"/>
          <w:numId w:val="1"/>
        </w:numPr>
        <w:spacing w:before="36" w:after="36" w:line="276" w:lineRule="auto"/>
      </w:pPr>
      <w:r>
        <w:rPr>
          <w:rFonts w:ascii="Arial" w:hAnsi="Arial" w:eastAsia="Arial" w:cs="Arial"/>
          <w:b w:val="0"/>
          <w:bCs w:val="0"/>
          <w:i w:val="0"/>
          <w:iCs w:val="0"/>
          <w:color w:val="1F1F1F"/>
          <w:sz w:val="20"/>
          <w:szCs w:val="20"/>
        </w:rPr>
        <w:t>Identified the 2015 revenue dip by isolating year-specific SUMIFS results and comparing against adjacent years.</w:t>
      </w:r>
    </w:p>
    <w:p w14:paraId="4A34BECD">
      <w:pPr>
        <w:spacing w:before="20" w:after="20"/>
      </w:pPr>
    </w:p>
    <w:p w14:paraId="7BB4064E">
      <w:pPr>
        <w:spacing w:before="140" w:after="60"/>
      </w:pPr>
      <w:r>
        <w:rPr>
          <w:rFonts w:ascii="Arial" w:hAnsi="Arial" w:eastAsia="Arial" w:cs="Arial"/>
          <w:b/>
          <w:bCs/>
          <w:color w:val="2E75B6"/>
          <w:sz w:val="21"/>
          <w:szCs w:val="21"/>
        </w:rPr>
        <w:t>Phase 3 — Prescriptive Analytics (What should we do?)</w:t>
      </w:r>
    </w:p>
    <w:p w14:paraId="16CEF925">
      <w:pPr>
        <w:pStyle w:val="16"/>
        <w:numPr>
          <w:ilvl w:val="0"/>
          <w:numId w:val="1"/>
        </w:numPr>
        <w:spacing w:before="36" w:after="36" w:line="276" w:lineRule="auto"/>
      </w:pPr>
      <w:r>
        <w:rPr>
          <w:rFonts w:ascii="Arial" w:hAnsi="Arial" w:eastAsia="Arial" w:cs="Arial"/>
          <w:b w:val="0"/>
          <w:bCs w:val="0"/>
          <w:i w:val="0"/>
          <w:iCs w:val="0"/>
          <w:color w:val="1F1F1F"/>
          <w:sz w:val="20"/>
          <w:szCs w:val="20"/>
        </w:rPr>
        <w:t>Mapped each finding to a prioritised recommendation with quantified revenue or margin impact.</w:t>
      </w:r>
    </w:p>
    <w:p w14:paraId="7DB78CFF">
      <w:pPr>
        <w:pStyle w:val="16"/>
        <w:numPr>
          <w:ilvl w:val="0"/>
          <w:numId w:val="1"/>
        </w:numPr>
        <w:spacing w:before="36" w:after="36" w:line="276" w:lineRule="auto"/>
      </w:pPr>
      <w:r>
        <w:rPr>
          <w:rFonts w:ascii="Arial" w:hAnsi="Arial" w:eastAsia="Arial" w:cs="Arial"/>
          <w:b w:val="0"/>
          <w:bCs w:val="0"/>
          <w:i w:val="0"/>
          <w:iCs w:val="0"/>
          <w:color w:val="1F1F1F"/>
          <w:sz w:val="20"/>
          <w:szCs w:val="20"/>
        </w:rPr>
        <w:t>Assigned ownership and success metrics to make recommendations actionable.</w:t>
      </w:r>
    </w:p>
    <w:p w14:paraId="121B7D3F">
      <w:pPr>
        <w:spacing w:before="20" w:after="20"/>
      </w:pPr>
    </w:p>
    <w:p w14:paraId="30172BA2">
      <w:pPr>
        <w:pStyle w:val="3"/>
        <w:pBdr>
          <w:bottom w:val="single" w:color="2E75B6" w:sz="4" w:space="2"/>
        </w:pBdr>
        <w:spacing w:before="200" w:after="80"/>
      </w:pPr>
      <w:r>
        <w:rPr>
          <w:rFonts w:ascii="Arial" w:hAnsi="Arial" w:eastAsia="Arial" w:cs="Arial"/>
          <w:b/>
          <w:bCs/>
          <w:color w:val="1F3864"/>
          <w:sz w:val="26"/>
          <w:szCs w:val="26"/>
        </w:rPr>
        <w:t>3.3  KPIs Defined</w:t>
      </w:r>
    </w:p>
    <w:tbl>
      <w:tblPr>
        <w:tblStyle w:val="9"/>
        <w:tblW w:w="103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78"/>
        <w:gridCol w:w="3988"/>
        <w:gridCol w:w="4232"/>
      </w:tblGrid>
      <w:tr w14:paraId="7D183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78"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393AD262">
            <w:pPr>
              <w:spacing w:before="55" w:after="55"/>
              <w:jc w:val="center"/>
            </w:pPr>
            <w:r>
              <w:rPr>
                <w:rFonts w:ascii="Arial" w:hAnsi="Arial" w:eastAsia="Arial" w:cs="Arial"/>
                <w:b/>
                <w:bCs/>
                <w:i w:val="0"/>
                <w:iCs w:val="0"/>
                <w:color w:val="FFFFFF"/>
                <w:sz w:val="17"/>
                <w:szCs w:val="17"/>
              </w:rPr>
              <w:t>KPI</w:t>
            </w:r>
          </w:p>
        </w:tc>
        <w:tc>
          <w:tcPr>
            <w:tcW w:w="3988"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3190925E">
            <w:pPr>
              <w:spacing w:before="55" w:after="55"/>
              <w:jc w:val="center"/>
            </w:pPr>
            <w:r>
              <w:rPr>
                <w:rFonts w:ascii="Arial" w:hAnsi="Arial" w:eastAsia="Arial" w:cs="Arial"/>
                <w:b/>
                <w:bCs/>
                <w:i w:val="0"/>
                <w:iCs w:val="0"/>
                <w:color w:val="FFFFFF"/>
                <w:sz w:val="17"/>
                <w:szCs w:val="17"/>
              </w:rPr>
              <w:t>Excel Formula</w:t>
            </w:r>
          </w:p>
        </w:tc>
        <w:tc>
          <w:tcPr>
            <w:tcW w:w="4232"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5E4E0423">
            <w:pPr>
              <w:spacing w:before="55" w:after="55"/>
              <w:jc w:val="center"/>
            </w:pPr>
            <w:r>
              <w:rPr>
                <w:rFonts w:ascii="Arial" w:hAnsi="Arial" w:eastAsia="Arial" w:cs="Arial"/>
                <w:b/>
                <w:bCs/>
                <w:i w:val="0"/>
                <w:iCs w:val="0"/>
                <w:color w:val="FFFFFF"/>
                <w:sz w:val="17"/>
                <w:szCs w:val="17"/>
              </w:rPr>
              <w:t>Business Purpose</w:t>
            </w:r>
          </w:p>
        </w:tc>
      </w:tr>
      <w:tr w14:paraId="30968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78"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7C1CE54">
            <w:pPr>
              <w:spacing w:before="55" w:after="55"/>
              <w:jc w:val="left"/>
            </w:pPr>
            <w:r>
              <w:rPr>
                <w:rFonts w:ascii="Arial" w:hAnsi="Arial" w:eastAsia="Arial" w:cs="Arial"/>
                <w:b/>
                <w:bCs/>
                <w:i w:val="0"/>
                <w:iCs w:val="0"/>
                <w:color w:val="1F1F1F"/>
                <w:sz w:val="17"/>
                <w:szCs w:val="17"/>
              </w:rPr>
              <w:t>Total Revenue</w:t>
            </w:r>
          </w:p>
        </w:tc>
        <w:tc>
          <w:tcPr>
            <w:tcW w:w="3988"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6E89783E">
            <w:pPr>
              <w:spacing w:before="55" w:after="55"/>
              <w:jc w:val="left"/>
            </w:pPr>
            <w:r>
              <w:rPr>
                <w:rFonts w:ascii="Arial" w:hAnsi="Arial" w:eastAsia="Arial" w:cs="Arial"/>
                <w:b w:val="0"/>
                <w:bCs w:val="0"/>
                <w:i w:val="0"/>
                <w:iCs w:val="0"/>
                <w:color w:val="2E75B6"/>
                <w:sz w:val="16"/>
                <w:szCs w:val="16"/>
              </w:rPr>
              <w:t>=SUM(Orders_Data!N2:N67376)</w:t>
            </w:r>
          </w:p>
        </w:tc>
        <w:tc>
          <w:tcPr>
            <w:tcW w:w="4232"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1A304A5C">
            <w:pPr>
              <w:spacing w:before="55" w:after="55"/>
              <w:jc w:val="left"/>
            </w:pPr>
            <w:r>
              <w:rPr>
                <w:rFonts w:ascii="Arial" w:hAnsi="Arial" w:eastAsia="Arial" w:cs="Arial"/>
                <w:b w:val="0"/>
                <w:bCs w:val="0"/>
                <w:i w:val="0"/>
                <w:iCs w:val="0"/>
                <w:color w:val="1F1F1F"/>
                <w:sz w:val="17"/>
                <w:szCs w:val="17"/>
              </w:rPr>
              <w:t>Top-line business performance</w:t>
            </w:r>
          </w:p>
        </w:tc>
      </w:tr>
      <w:tr w14:paraId="7EA84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78"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459D2BE7">
            <w:pPr>
              <w:spacing w:before="55" w:after="55"/>
              <w:jc w:val="left"/>
            </w:pPr>
            <w:r>
              <w:rPr>
                <w:rFonts w:ascii="Arial" w:hAnsi="Arial" w:eastAsia="Arial" w:cs="Arial"/>
                <w:b/>
                <w:bCs/>
                <w:i w:val="0"/>
                <w:iCs w:val="0"/>
                <w:color w:val="1F1F1F"/>
                <w:sz w:val="17"/>
                <w:szCs w:val="17"/>
              </w:rPr>
              <w:t>Total Profit</w:t>
            </w:r>
          </w:p>
        </w:tc>
        <w:tc>
          <w:tcPr>
            <w:tcW w:w="3988"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00700455">
            <w:pPr>
              <w:spacing w:before="55" w:after="55"/>
              <w:jc w:val="left"/>
            </w:pPr>
            <w:r>
              <w:rPr>
                <w:rFonts w:ascii="Arial" w:hAnsi="Arial" w:eastAsia="Arial" w:cs="Arial"/>
                <w:b w:val="0"/>
                <w:bCs w:val="0"/>
                <w:i w:val="0"/>
                <w:iCs w:val="0"/>
                <w:color w:val="2E75B6"/>
                <w:sz w:val="16"/>
                <w:szCs w:val="16"/>
              </w:rPr>
              <w:t>=SUM(Revenue) - SUMPRODUCT(Revenue×DelivFee) - SUM(OPEX)</w:t>
            </w:r>
          </w:p>
        </w:tc>
        <w:tc>
          <w:tcPr>
            <w:tcW w:w="4232"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2935E07F">
            <w:pPr>
              <w:spacing w:before="55" w:after="55"/>
              <w:jc w:val="left"/>
            </w:pPr>
            <w:r>
              <w:rPr>
                <w:rFonts w:ascii="Arial" w:hAnsi="Arial" w:eastAsia="Arial" w:cs="Arial"/>
                <w:b w:val="0"/>
                <w:bCs w:val="0"/>
                <w:i w:val="0"/>
                <w:iCs w:val="0"/>
                <w:color w:val="1F1F1F"/>
                <w:sz w:val="17"/>
                <w:szCs w:val="17"/>
              </w:rPr>
              <w:t>Net contribution after delivery cost and OPEX</w:t>
            </w:r>
          </w:p>
        </w:tc>
      </w:tr>
      <w:tr w14:paraId="798E8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78"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3C81019A">
            <w:pPr>
              <w:spacing w:before="55" w:after="55"/>
              <w:jc w:val="left"/>
            </w:pPr>
            <w:r>
              <w:rPr>
                <w:rFonts w:ascii="Arial" w:hAnsi="Arial" w:eastAsia="Arial" w:cs="Arial"/>
                <w:b/>
                <w:bCs/>
                <w:i w:val="0"/>
                <w:iCs w:val="0"/>
                <w:color w:val="1F1F1F"/>
                <w:sz w:val="17"/>
                <w:szCs w:val="17"/>
              </w:rPr>
              <w:t>Profit Margin %</w:t>
            </w:r>
          </w:p>
        </w:tc>
        <w:tc>
          <w:tcPr>
            <w:tcW w:w="3988"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16525DFD">
            <w:pPr>
              <w:spacing w:before="55" w:after="55"/>
              <w:jc w:val="left"/>
            </w:pPr>
            <w:r>
              <w:rPr>
                <w:rFonts w:ascii="Arial" w:hAnsi="Arial" w:eastAsia="Arial" w:cs="Arial"/>
                <w:b w:val="0"/>
                <w:bCs w:val="0"/>
                <w:i w:val="0"/>
                <w:iCs w:val="0"/>
                <w:color w:val="2E75B6"/>
                <w:sz w:val="16"/>
                <w:szCs w:val="16"/>
              </w:rPr>
              <w:t>=Total Profit / Total Revenue</w:t>
            </w:r>
          </w:p>
        </w:tc>
        <w:tc>
          <w:tcPr>
            <w:tcW w:w="4232"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A1A51DA">
            <w:pPr>
              <w:spacing w:before="55" w:after="55"/>
              <w:jc w:val="left"/>
            </w:pPr>
            <w:r>
              <w:rPr>
                <w:rFonts w:ascii="Arial" w:hAnsi="Arial" w:eastAsia="Arial" w:cs="Arial"/>
                <w:b w:val="0"/>
                <w:bCs w:val="0"/>
                <w:i w:val="0"/>
                <w:iCs w:val="0"/>
                <w:color w:val="1F1F1F"/>
                <w:sz w:val="17"/>
                <w:szCs w:val="17"/>
              </w:rPr>
              <w:t>Revenue-to-profit conversion efficiency</w:t>
            </w:r>
          </w:p>
        </w:tc>
      </w:tr>
      <w:tr w14:paraId="15CFF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78"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7949D110">
            <w:pPr>
              <w:spacing w:before="55" w:after="55"/>
              <w:jc w:val="left"/>
            </w:pPr>
            <w:r>
              <w:rPr>
                <w:rFonts w:ascii="Arial" w:hAnsi="Arial" w:eastAsia="Arial" w:cs="Arial"/>
                <w:b/>
                <w:bCs/>
                <w:i w:val="0"/>
                <w:iCs w:val="0"/>
                <w:color w:val="1F1F1F"/>
                <w:sz w:val="17"/>
                <w:szCs w:val="17"/>
              </w:rPr>
              <w:t>Total Orders</w:t>
            </w:r>
          </w:p>
        </w:tc>
        <w:tc>
          <w:tcPr>
            <w:tcW w:w="3988"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10046298">
            <w:pPr>
              <w:spacing w:before="55" w:after="55"/>
              <w:jc w:val="left"/>
            </w:pPr>
            <w:r>
              <w:rPr>
                <w:rFonts w:ascii="Arial" w:hAnsi="Arial" w:eastAsia="Arial" w:cs="Arial"/>
                <w:b w:val="0"/>
                <w:bCs w:val="0"/>
                <w:i w:val="0"/>
                <w:iCs w:val="0"/>
                <w:color w:val="2E75B6"/>
                <w:sz w:val="16"/>
                <w:szCs w:val="16"/>
              </w:rPr>
              <w:t>=COUNTA(Orders_Data!A2:A67376)</w:t>
            </w:r>
          </w:p>
        </w:tc>
        <w:tc>
          <w:tcPr>
            <w:tcW w:w="4232"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213715E3">
            <w:pPr>
              <w:spacing w:before="55" w:after="55"/>
              <w:jc w:val="left"/>
            </w:pPr>
            <w:r>
              <w:rPr>
                <w:rFonts w:ascii="Arial" w:hAnsi="Arial" w:eastAsia="Arial" w:cs="Arial"/>
                <w:b w:val="0"/>
                <w:bCs w:val="0"/>
                <w:i w:val="0"/>
                <w:iCs w:val="0"/>
                <w:color w:val="1F1F1F"/>
                <w:sz w:val="17"/>
                <w:szCs w:val="17"/>
              </w:rPr>
              <w:t>Total transaction volume</w:t>
            </w:r>
          </w:p>
        </w:tc>
      </w:tr>
      <w:tr w14:paraId="7C307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78"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99E932C">
            <w:pPr>
              <w:spacing w:before="55" w:after="55"/>
              <w:jc w:val="left"/>
            </w:pPr>
            <w:r>
              <w:rPr>
                <w:rFonts w:ascii="Arial" w:hAnsi="Arial" w:eastAsia="Arial" w:cs="Arial"/>
                <w:b/>
                <w:bCs/>
                <w:i w:val="0"/>
                <w:iCs w:val="0"/>
                <w:color w:val="1F1F1F"/>
                <w:sz w:val="17"/>
                <w:szCs w:val="17"/>
              </w:rPr>
              <w:t>Unique Customers</w:t>
            </w:r>
          </w:p>
        </w:tc>
        <w:tc>
          <w:tcPr>
            <w:tcW w:w="3988"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DC6D81C">
            <w:pPr>
              <w:spacing w:before="55" w:after="55"/>
              <w:jc w:val="left"/>
            </w:pPr>
            <w:r>
              <w:rPr>
                <w:rFonts w:ascii="Arial" w:hAnsi="Arial" w:eastAsia="Arial" w:cs="Arial"/>
                <w:b w:val="0"/>
                <w:bCs w:val="0"/>
                <w:i w:val="0"/>
                <w:iCs w:val="0"/>
                <w:color w:val="2E75B6"/>
                <w:sz w:val="16"/>
                <w:szCs w:val="16"/>
              </w:rPr>
              <w:t>=SUMPRODUCT(1/COUNTIF(cid_range,cid_range))</w:t>
            </w:r>
          </w:p>
        </w:tc>
        <w:tc>
          <w:tcPr>
            <w:tcW w:w="4232"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419EF62C">
            <w:pPr>
              <w:spacing w:before="55" w:after="55"/>
              <w:jc w:val="left"/>
            </w:pPr>
            <w:r>
              <w:rPr>
                <w:rFonts w:ascii="Arial" w:hAnsi="Arial" w:eastAsia="Arial" w:cs="Arial"/>
                <w:b w:val="0"/>
                <w:bCs w:val="0"/>
                <w:i w:val="0"/>
                <w:iCs w:val="0"/>
                <w:color w:val="1F1F1F"/>
                <w:sz w:val="17"/>
                <w:szCs w:val="17"/>
              </w:rPr>
              <w:t>Distinct customer count without duplicates</w:t>
            </w:r>
          </w:p>
        </w:tc>
      </w:tr>
      <w:tr w14:paraId="69504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78"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75DFEEF6">
            <w:pPr>
              <w:spacing w:before="55" w:after="55"/>
              <w:jc w:val="left"/>
            </w:pPr>
            <w:r>
              <w:rPr>
                <w:rFonts w:ascii="Arial" w:hAnsi="Arial" w:eastAsia="Arial" w:cs="Arial"/>
                <w:b/>
                <w:bCs/>
                <w:i w:val="0"/>
                <w:iCs w:val="0"/>
                <w:color w:val="1F1F1F"/>
                <w:sz w:val="17"/>
                <w:szCs w:val="17"/>
              </w:rPr>
              <w:t>Avg Revenue / Order</w:t>
            </w:r>
          </w:p>
        </w:tc>
        <w:tc>
          <w:tcPr>
            <w:tcW w:w="3988"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3E13DAFB">
            <w:pPr>
              <w:spacing w:before="55" w:after="55"/>
              <w:jc w:val="left"/>
            </w:pPr>
            <w:r>
              <w:rPr>
                <w:rFonts w:ascii="Arial" w:hAnsi="Arial" w:eastAsia="Arial" w:cs="Arial"/>
                <w:b w:val="0"/>
                <w:bCs w:val="0"/>
                <w:i w:val="0"/>
                <w:iCs w:val="0"/>
                <w:color w:val="2E75B6"/>
                <w:sz w:val="16"/>
                <w:szCs w:val="16"/>
              </w:rPr>
              <w:t>=Total Revenue / Total Orders</w:t>
            </w:r>
          </w:p>
        </w:tc>
        <w:tc>
          <w:tcPr>
            <w:tcW w:w="4232"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31A75649">
            <w:pPr>
              <w:spacing w:before="55" w:after="55"/>
              <w:jc w:val="left"/>
            </w:pPr>
            <w:r>
              <w:rPr>
                <w:rFonts w:ascii="Arial" w:hAnsi="Arial" w:eastAsia="Arial" w:cs="Arial"/>
                <w:b w:val="0"/>
                <w:bCs w:val="0"/>
                <w:i w:val="0"/>
                <w:iCs w:val="0"/>
                <w:color w:val="1F1F1F"/>
                <w:sz w:val="17"/>
                <w:szCs w:val="17"/>
              </w:rPr>
              <w:t>Average transaction value</w:t>
            </w:r>
          </w:p>
        </w:tc>
      </w:tr>
      <w:tr w14:paraId="3BAF9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78"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7914E859">
            <w:pPr>
              <w:spacing w:before="55" w:after="55"/>
              <w:jc w:val="left"/>
            </w:pPr>
            <w:r>
              <w:rPr>
                <w:rFonts w:ascii="Arial" w:hAnsi="Arial" w:eastAsia="Arial" w:cs="Arial"/>
                <w:b/>
                <w:bCs/>
                <w:i w:val="0"/>
                <w:iCs w:val="0"/>
                <w:color w:val="1F1F1F"/>
                <w:sz w:val="17"/>
                <w:szCs w:val="17"/>
              </w:rPr>
              <w:t>Avg Review Score</w:t>
            </w:r>
          </w:p>
        </w:tc>
        <w:tc>
          <w:tcPr>
            <w:tcW w:w="3988"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26994640">
            <w:pPr>
              <w:spacing w:before="55" w:after="55"/>
              <w:jc w:val="left"/>
            </w:pPr>
            <w:r>
              <w:rPr>
                <w:rFonts w:ascii="Arial" w:hAnsi="Arial" w:eastAsia="Arial" w:cs="Arial"/>
                <w:b w:val="0"/>
                <w:bCs w:val="0"/>
                <w:i w:val="0"/>
                <w:iCs w:val="0"/>
                <w:color w:val="2E75B6"/>
                <w:sz w:val="16"/>
                <w:szCs w:val="16"/>
              </w:rPr>
              <w:t>=AVERAGE(Orders_Data!G2:G67376)</w:t>
            </w:r>
          </w:p>
        </w:tc>
        <w:tc>
          <w:tcPr>
            <w:tcW w:w="4232"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EF5C50C">
            <w:pPr>
              <w:spacing w:before="55" w:after="55"/>
              <w:jc w:val="left"/>
            </w:pPr>
            <w:r>
              <w:rPr>
                <w:rFonts w:ascii="Arial" w:hAnsi="Arial" w:eastAsia="Arial" w:cs="Arial"/>
                <w:b w:val="0"/>
                <w:bCs w:val="0"/>
                <w:i w:val="0"/>
                <w:iCs w:val="0"/>
                <w:color w:val="1F1F1F"/>
                <w:sz w:val="17"/>
                <w:szCs w:val="17"/>
              </w:rPr>
              <w:t>Customer satisfaction proxy (1–5 scale)</w:t>
            </w:r>
          </w:p>
        </w:tc>
      </w:tr>
      <w:tr w14:paraId="3C929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78"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49F8CB16">
            <w:pPr>
              <w:spacing w:before="55" w:after="55"/>
              <w:jc w:val="left"/>
            </w:pPr>
            <w:r>
              <w:rPr>
                <w:rFonts w:ascii="Arial" w:hAnsi="Arial" w:eastAsia="Arial" w:cs="Arial"/>
                <w:b/>
                <w:bCs/>
                <w:i w:val="0"/>
                <w:iCs w:val="0"/>
                <w:color w:val="1F1F1F"/>
                <w:sz w:val="17"/>
                <w:szCs w:val="17"/>
              </w:rPr>
              <w:t>YoY Growth %</w:t>
            </w:r>
          </w:p>
        </w:tc>
        <w:tc>
          <w:tcPr>
            <w:tcW w:w="3988"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75914322">
            <w:pPr>
              <w:spacing w:before="55" w:after="55"/>
              <w:jc w:val="left"/>
            </w:pPr>
            <w:r>
              <w:rPr>
                <w:rFonts w:ascii="Arial" w:hAnsi="Arial" w:eastAsia="Arial" w:cs="Arial"/>
                <w:b w:val="0"/>
                <w:bCs w:val="0"/>
                <w:i w:val="0"/>
                <w:iCs w:val="0"/>
                <w:color w:val="2E75B6"/>
                <w:sz w:val="16"/>
                <w:szCs w:val="16"/>
              </w:rPr>
              <w:t>=(Revenue_Y - Revenue_Y-1) / Revenue_Y-1</w:t>
            </w:r>
          </w:p>
        </w:tc>
        <w:tc>
          <w:tcPr>
            <w:tcW w:w="4232"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1866F162">
            <w:pPr>
              <w:spacing w:before="55" w:after="55"/>
              <w:jc w:val="left"/>
            </w:pPr>
            <w:r>
              <w:rPr>
                <w:rFonts w:ascii="Arial" w:hAnsi="Arial" w:eastAsia="Arial" w:cs="Arial"/>
                <w:b w:val="0"/>
                <w:bCs w:val="0"/>
                <w:i w:val="0"/>
                <w:iCs w:val="0"/>
                <w:color w:val="1F1F1F"/>
                <w:sz w:val="17"/>
                <w:szCs w:val="17"/>
              </w:rPr>
              <w:t>Business momentum — flags growth and decline</w:t>
            </w:r>
          </w:p>
        </w:tc>
      </w:tr>
      <w:tr w14:paraId="4ED33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78"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A132795">
            <w:pPr>
              <w:spacing w:before="55" w:after="55"/>
              <w:jc w:val="left"/>
            </w:pPr>
            <w:r>
              <w:rPr>
                <w:rFonts w:ascii="Arial" w:hAnsi="Arial" w:eastAsia="Arial" w:cs="Arial"/>
                <w:b/>
                <w:bCs/>
                <w:i w:val="0"/>
                <w:iCs w:val="0"/>
                <w:color w:val="1F1F1F"/>
                <w:sz w:val="17"/>
                <w:szCs w:val="17"/>
              </w:rPr>
              <w:t>Revenue Share %</w:t>
            </w:r>
          </w:p>
        </w:tc>
        <w:tc>
          <w:tcPr>
            <w:tcW w:w="3988"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32E6DC49">
            <w:pPr>
              <w:spacing w:before="55" w:after="55"/>
              <w:jc w:val="left"/>
            </w:pPr>
            <w:r>
              <w:rPr>
                <w:rFonts w:ascii="Arial" w:hAnsi="Arial" w:eastAsia="Arial" w:cs="Arial"/>
                <w:b w:val="0"/>
                <w:bCs w:val="0"/>
                <w:i w:val="0"/>
                <w:iCs w:val="0"/>
                <w:color w:val="2E75B6"/>
                <w:sz w:val="16"/>
                <w:szCs w:val="16"/>
              </w:rPr>
              <w:t>=Category Revenue / Total Revenue</w:t>
            </w:r>
          </w:p>
        </w:tc>
        <w:tc>
          <w:tcPr>
            <w:tcW w:w="4232"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1706F569">
            <w:pPr>
              <w:spacing w:before="55" w:after="55"/>
              <w:jc w:val="left"/>
            </w:pPr>
            <w:r>
              <w:rPr>
                <w:rFonts w:ascii="Arial" w:hAnsi="Arial" w:eastAsia="Arial" w:cs="Arial"/>
                <w:b w:val="0"/>
                <w:bCs w:val="0"/>
                <w:i w:val="0"/>
                <w:iCs w:val="0"/>
                <w:color w:val="1F1F1F"/>
                <w:sz w:val="17"/>
                <w:szCs w:val="17"/>
              </w:rPr>
              <w:t>Value mix — highlights disproportionate contributors</w:t>
            </w:r>
          </w:p>
        </w:tc>
      </w:tr>
      <w:tr w14:paraId="3EA82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78"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00357BC1">
            <w:pPr>
              <w:spacing w:before="55" w:after="55"/>
              <w:jc w:val="left"/>
            </w:pPr>
            <w:r>
              <w:rPr>
                <w:rFonts w:ascii="Arial" w:hAnsi="Arial" w:eastAsia="Arial" w:cs="Arial"/>
                <w:b/>
                <w:bCs/>
                <w:i w:val="0"/>
                <w:iCs w:val="0"/>
                <w:color w:val="1F1F1F"/>
                <w:sz w:val="17"/>
                <w:szCs w:val="17"/>
              </w:rPr>
              <w:t>Order Share %</w:t>
            </w:r>
          </w:p>
        </w:tc>
        <w:tc>
          <w:tcPr>
            <w:tcW w:w="3988"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285912BC">
            <w:pPr>
              <w:spacing w:before="55" w:after="55"/>
              <w:jc w:val="left"/>
            </w:pPr>
            <w:r>
              <w:rPr>
                <w:rFonts w:ascii="Arial" w:hAnsi="Arial" w:eastAsia="Arial" w:cs="Arial"/>
                <w:b w:val="0"/>
                <w:bCs w:val="0"/>
                <w:i w:val="0"/>
                <w:iCs w:val="0"/>
                <w:color w:val="2E75B6"/>
                <w:sz w:val="16"/>
                <w:szCs w:val="16"/>
              </w:rPr>
              <w:t>=Category Orders / Total Orders</w:t>
            </w:r>
          </w:p>
        </w:tc>
        <w:tc>
          <w:tcPr>
            <w:tcW w:w="4232"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09150DBE">
            <w:pPr>
              <w:spacing w:before="55" w:after="55"/>
              <w:jc w:val="left"/>
            </w:pPr>
            <w:r>
              <w:rPr>
                <w:rFonts w:ascii="Arial" w:hAnsi="Arial" w:eastAsia="Arial" w:cs="Arial"/>
                <w:b w:val="0"/>
                <w:bCs w:val="0"/>
                <w:i w:val="0"/>
                <w:iCs w:val="0"/>
                <w:color w:val="1F1F1F"/>
                <w:sz w:val="17"/>
                <w:szCs w:val="17"/>
              </w:rPr>
              <w:t>Volume mix — reveals frequency vs value gaps</w:t>
            </w:r>
          </w:p>
        </w:tc>
      </w:tr>
    </w:tbl>
    <w:p w14:paraId="3AACE508">
      <w:pPr>
        <w:spacing w:before="20" w:after="20"/>
      </w:pPr>
    </w:p>
    <w:p w14:paraId="165FE657">
      <w:pPr>
        <w:pBdr>
          <w:bottom w:val="single" w:color="2E75B6" w:sz="6" w:space="1"/>
        </w:pBdr>
        <w:spacing w:before="80" w:after="80"/>
      </w:pPr>
    </w:p>
    <w:p w14:paraId="1546000B">
      <w:pPr>
        <w:pStyle w:val="2"/>
        <w:shd w:val="clear" w:fill="1F3864"/>
        <w:spacing w:before="260" w:after="140"/>
      </w:pPr>
      <w:r>
        <w:rPr>
          <w:rFonts w:ascii="Arial" w:hAnsi="Arial" w:eastAsia="Arial" w:cs="Arial"/>
          <w:b/>
          <w:bCs/>
          <w:color w:val="FFFFFF"/>
          <w:sz w:val="40"/>
          <w:szCs w:val="40"/>
        </w:rPr>
        <w:t>4.  Formula Reference</w:t>
      </w:r>
    </w:p>
    <w:p w14:paraId="3545D61E">
      <w:pPr>
        <w:spacing w:before="20" w:after="20"/>
      </w:pPr>
    </w:p>
    <w:p w14:paraId="41758998">
      <w:pPr>
        <w:spacing w:before="55" w:after="55" w:line="296" w:lineRule="auto"/>
      </w:pPr>
      <w:r>
        <w:rPr>
          <w:rFonts w:ascii="Arial" w:hAnsi="Arial" w:eastAsia="Arial" w:cs="Arial"/>
          <w:b w:val="0"/>
          <w:bCs w:val="0"/>
          <w:i w:val="0"/>
          <w:iCs w:val="0"/>
          <w:color w:val="1F1F1F"/>
          <w:sz w:val="20"/>
          <w:szCs w:val="20"/>
        </w:rPr>
        <w:t>The workbook uses 17 distinct formula types across its 10 sheets. All formulas reference source data directly — no hardcoded calculated values appear anywhere. The following section documents each formula type with the exact syntax used.</w:t>
      </w:r>
    </w:p>
    <w:p w14:paraId="38961149">
      <w:pPr>
        <w:spacing w:before="20" w:after="20"/>
      </w:pPr>
    </w:p>
    <w:p w14:paraId="6588E3D2">
      <w:pPr>
        <w:pStyle w:val="3"/>
        <w:pBdr>
          <w:bottom w:val="single" w:color="2E75B6" w:sz="4" w:space="2"/>
        </w:pBdr>
        <w:spacing w:before="200" w:after="80"/>
      </w:pPr>
      <w:r>
        <w:rPr>
          <w:rFonts w:ascii="Arial" w:hAnsi="Arial" w:eastAsia="Arial" w:cs="Arial"/>
          <w:b/>
          <w:bCs/>
          <w:color w:val="1F3864"/>
          <w:sz w:val="26"/>
          <w:szCs w:val="26"/>
        </w:rPr>
        <w:t>4.1  Basic Aggregation Formulas</w:t>
      </w:r>
    </w:p>
    <w:p w14:paraId="7ADC8EDF">
      <w:pPr>
        <w:spacing w:before="140" w:after="60"/>
      </w:pPr>
      <w:r>
        <w:rPr>
          <w:rFonts w:ascii="Arial" w:hAnsi="Arial" w:eastAsia="Arial" w:cs="Arial"/>
          <w:b/>
          <w:bCs/>
          <w:color w:val="2E75B6"/>
          <w:sz w:val="21"/>
          <w:szCs w:val="21"/>
        </w:rPr>
        <w:t>SUM — Total Revenue  (KPI_Calc sheet, referenced by all dashboards)</w:t>
      </w:r>
    </w:p>
    <w:p w14:paraId="53A0753C">
      <w:pPr>
        <w:pBdr>
          <w:top w:val="single" w:color="2E75B6" w:sz="6" w:space="0"/>
          <w:bottom w:val="single" w:color="E0E0E0" w:sz="2" w:space="0"/>
        </w:pBdr>
        <w:shd w:val="clear" w:fill="F8F8F8"/>
        <w:spacing w:before="0" w:after="0"/>
        <w:ind w:left="340"/>
      </w:pPr>
      <w:r>
        <w:rPr>
          <w:rFonts w:ascii="Courier New" w:hAnsi="Courier New" w:eastAsia="Courier New" w:cs="Courier New"/>
          <w:color w:val="1F1F1F"/>
          <w:sz w:val="17"/>
          <w:szCs w:val="17"/>
        </w:rPr>
        <w:t>=SUM(Orders_Data!N2:N67376)</w:t>
      </w:r>
    </w:p>
    <w:p w14:paraId="39E6296C">
      <w:pPr>
        <w:pBdr>
          <w:top w:val="single" w:color="E0E0E0" w:sz="2" w:space="0"/>
          <w:bottom w:val="single" w:color="2E75B6" w:sz="6" w:space="0"/>
        </w:pBdr>
        <w:shd w:val="clear" w:fill="F8F8F8"/>
        <w:spacing w:before="0" w:after="60"/>
        <w:ind w:left="340"/>
      </w:pPr>
      <w:r>
        <w:rPr>
          <w:rFonts w:ascii="Courier New" w:hAnsi="Courier New" w:eastAsia="Courier New" w:cs="Courier New"/>
          <w:color w:val="1F1F1F"/>
          <w:sz w:val="17"/>
          <w:szCs w:val="17"/>
        </w:rPr>
        <w:t>-- Returns: $708,598.11  |  All 67,375 orders summed</w:t>
      </w:r>
    </w:p>
    <w:p w14:paraId="2374D0DC">
      <w:pPr>
        <w:spacing w:before="20" w:after="20"/>
      </w:pPr>
    </w:p>
    <w:p w14:paraId="3A85BAD0">
      <w:pPr>
        <w:spacing w:before="140" w:after="60"/>
      </w:pPr>
      <w:r>
        <w:rPr>
          <w:rFonts w:ascii="Arial" w:hAnsi="Arial" w:eastAsia="Arial" w:cs="Arial"/>
          <w:b/>
          <w:bCs/>
          <w:color w:val="2E75B6"/>
          <w:sz w:val="21"/>
          <w:szCs w:val="21"/>
        </w:rPr>
        <w:t>COUNTA — Total Orders</w:t>
      </w:r>
    </w:p>
    <w:p w14:paraId="6424E774">
      <w:pPr>
        <w:pBdr>
          <w:top w:val="single" w:color="2E75B6" w:sz="6" w:space="0"/>
          <w:bottom w:val="single" w:color="E0E0E0" w:sz="2" w:space="0"/>
        </w:pBdr>
        <w:shd w:val="clear" w:fill="F8F8F8"/>
        <w:spacing w:before="0" w:after="0"/>
        <w:ind w:left="340"/>
      </w:pPr>
      <w:r>
        <w:rPr>
          <w:rFonts w:ascii="Courier New" w:hAnsi="Courier New" w:eastAsia="Courier New" w:cs="Courier New"/>
          <w:color w:val="1F1F1F"/>
          <w:sz w:val="17"/>
          <w:szCs w:val="17"/>
        </w:rPr>
        <w:t>=COUNTA(Orders_Data!A2:A67376)</w:t>
      </w:r>
    </w:p>
    <w:p w14:paraId="7D8080CC">
      <w:pPr>
        <w:pBdr>
          <w:top w:val="single" w:color="E0E0E0" w:sz="2" w:space="0"/>
          <w:bottom w:val="single" w:color="2E75B6" w:sz="6" w:space="0"/>
        </w:pBdr>
        <w:shd w:val="clear" w:fill="F8F8F8"/>
        <w:spacing w:before="0" w:after="60"/>
        <w:ind w:left="340"/>
      </w:pPr>
      <w:r>
        <w:rPr>
          <w:rFonts w:ascii="Courier New" w:hAnsi="Courier New" w:eastAsia="Courier New" w:cs="Courier New"/>
          <w:color w:val="1F1F1F"/>
          <w:sz w:val="17"/>
          <w:szCs w:val="17"/>
        </w:rPr>
        <w:t>-- Returns: 67,375  |  Counts non-empty Order ID cells</w:t>
      </w:r>
    </w:p>
    <w:p w14:paraId="4AF278AA">
      <w:pPr>
        <w:spacing w:before="20" w:after="20"/>
      </w:pPr>
    </w:p>
    <w:p w14:paraId="755842E2">
      <w:pPr>
        <w:spacing w:before="140" w:after="60"/>
      </w:pPr>
      <w:r>
        <w:rPr>
          <w:rFonts w:ascii="Arial" w:hAnsi="Arial" w:eastAsia="Arial" w:cs="Arial"/>
          <w:b/>
          <w:bCs/>
          <w:color w:val="2E75B6"/>
          <w:sz w:val="21"/>
          <w:szCs w:val="21"/>
        </w:rPr>
        <w:t>AVERAGE — Overall Avg Review Score</w:t>
      </w:r>
    </w:p>
    <w:p w14:paraId="440239C1">
      <w:pPr>
        <w:pBdr>
          <w:top w:val="single" w:color="2E75B6" w:sz="6" w:space="0"/>
          <w:bottom w:val="single" w:color="E0E0E0" w:sz="2" w:space="0"/>
        </w:pBdr>
        <w:shd w:val="clear" w:fill="F8F8F8"/>
        <w:spacing w:before="0" w:after="0"/>
        <w:ind w:left="340"/>
      </w:pPr>
      <w:r>
        <w:rPr>
          <w:rFonts w:ascii="Courier New" w:hAnsi="Courier New" w:eastAsia="Courier New" w:cs="Courier New"/>
          <w:color w:val="1F1F1F"/>
          <w:sz w:val="17"/>
          <w:szCs w:val="17"/>
        </w:rPr>
        <w:t>=AVERAGE(Orders_Data!G2:G67376)</w:t>
      </w:r>
    </w:p>
    <w:p w14:paraId="473212FF">
      <w:pPr>
        <w:pBdr>
          <w:top w:val="single" w:color="E0E0E0" w:sz="2" w:space="0"/>
          <w:bottom w:val="single" w:color="2E75B6" w:sz="6" w:space="0"/>
        </w:pBdr>
        <w:shd w:val="clear" w:fill="F8F8F8"/>
        <w:spacing w:before="0" w:after="60"/>
        <w:ind w:left="340"/>
      </w:pPr>
      <w:r>
        <w:rPr>
          <w:rFonts w:ascii="Courier New" w:hAnsi="Courier New" w:eastAsia="Courier New" w:cs="Courier New"/>
          <w:color w:val="1F1F1F"/>
          <w:sz w:val="17"/>
          <w:szCs w:val="17"/>
        </w:rPr>
        <w:t>-- Returns: 3.59  |  Average of all review scores (1-5 scale)</w:t>
      </w:r>
    </w:p>
    <w:p w14:paraId="0E99DB29">
      <w:pPr>
        <w:spacing w:before="20" w:after="20"/>
      </w:pPr>
    </w:p>
    <w:p w14:paraId="6066E812">
      <w:pPr>
        <w:pStyle w:val="3"/>
        <w:pBdr>
          <w:bottom w:val="single" w:color="2E75B6" w:sz="4" w:space="2"/>
        </w:pBdr>
        <w:spacing w:before="200" w:after="80"/>
      </w:pPr>
      <w:r>
        <w:rPr>
          <w:rFonts w:ascii="Arial" w:hAnsi="Arial" w:eastAsia="Arial" w:cs="Arial"/>
          <w:b/>
          <w:bCs/>
          <w:color w:val="1F3864"/>
          <w:sz w:val="26"/>
          <w:szCs w:val="26"/>
        </w:rPr>
        <w:t>4.2  Conditional Aggregation Formulas</w:t>
      </w:r>
    </w:p>
    <w:p w14:paraId="0F290313">
      <w:pPr>
        <w:spacing w:before="140" w:after="60"/>
      </w:pPr>
      <w:r>
        <w:rPr>
          <w:rFonts w:ascii="Arial" w:hAnsi="Arial" w:eastAsia="Arial" w:cs="Arial"/>
          <w:b/>
          <w:bCs/>
          <w:color w:val="2E75B6"/>
          <w:sz w:val="21"/>
          <w:szCs w:val="21"/>
        </w:rPr>
        <w:t>SUMIF — Revenue by State  (KPI Dashboard, Regional Analysis)</w:t>
      </w:r>
    </w:p>
    <w:p w14:paraId="1D14F919">
      <w:pPr>
        <w:pBdr>
          <w:top w:val="single" w:color="2E75B6" w:sz="6" w:space="0"/>
          <w:bottom w:val="single" w:color="E0E0E0" w:sz="2" w:space="0"/>
        </w:pBdr>
        <w:shd w:val="clear" w:fill="F8F8F8"/>
        <w:spacing w:before="0" w:after="0"/>
        <w:ind w:left="340"/>
      </w:pPr>
      <w:r>
        <w:rPr>
          <w:rFonts w:ascii="Courier New" w:hAnsi="Courier New" w:eastAsia="Courier New" w:cs="Courier New"/>
          <w:color w:val="1F1F1F"/>
          <w:sz w:val="17"/>
          <w:szCs w:val="17"/>
        </w:rPr>
        <w:t>=SUMIF(Orders_Data!$H$2:$H$67376,"California",Orders_Data!$N$2:$N$67376)</w:t>
      </w:r>
    </w:p>
    <w:p w14:paraId="24921FFC">
      <w:pPr>
        <w:pBdr>
          <w:top w:val="single" w:color="E0E0E0" w:sz="2" w:space="0"/>
          <w:bottom w:val="single" w:color="2E75B6" w:sz="6" w:space="0"/>
        </w:pBdr>
        <w:shd w:val="clear" w:fill="F8F8F8"/>
        <w:spacing w:before="0" w:after="60"/>
        <w:ind w:left="340"/>
      </w:pPr>
      <w:r>
        <w:rPr>
          <w:rFonts w:ascii="Courier New" w:hAnsi="Courier New" w:eastAsia="Courier New" w:cs="Courier New"/>
          <w:color w:val="1F1F1F"/>
          <w:sz w:val="17"/>
          <w:szCs w:val="17"/>
        </w:rPr>
        <w:t>-- Returns: $287,310.03  |  Sums revenue where state = California</w:t>
      </w:r>
    </w:p>
    <w:p w14:paraId="2FEB41B0">
      <w:pPr>
        <w:spacing w:before="20" w:after="20"/>
      </w:pPr>
    </w:p>
    <w:p w14:paraId="24411145">
      <w:pPr>
        <w:spacing w:before="140" w:after="60"/>
      </w:pPr>
      <w:r>
        <w:rPr>
          <w:rFonts w:ascii="Arial" w:hAnsi="Arial" w:eastAsia="Arial" w:cs="Arial"/>
          <w:b/>
          <w:bCs/>
          <w:color w:val="2E75B6"/>
          <w:sz w:val="21"/>
          <w:szCs w:val="21"/>
        </w:rPr>
        <w:t>COUNTIF — Orders by Review Score  (Review Analysis)</w:t>
      </w:r>
    </w:p>
    <w:p w14:paraId="5FE01F53">
      <w:pPr>
        <w:pBdr>
          <w:top w:val="single" w:color="2E75B6" w:sz="6" w:space="0"/>
          <w:bottom w:val="single" w:color="E0E0E0" w:sz="2" w:space="0"/>
        </w:pBdr>
        <w:shd w:val="clear" w:fill="F8F8F8"/>
        <w:spacing w:before="0" w:after="0"/>
        <w:ind w:left="340"/>
      </w:pPr>
      <w:r>
        <w:rPr>
          <w:rFonts w:ascii="Courier New" w:hAnsi="Courier New" w:eastAsia="Courier New" w:cs="Courier New"/>
          <w:color w:val="1F1F1F"/>
          <w:sz w:val="17"/>
          <w:szCs w:val="17"/>
        </w:rPr>
        <w:t>=COUNTIF(Orders_Data!G2:G67376,4)</w:t>
      </w:r>
    </w:p>
    <w:p w14:paraId="31F47B4B">
      <w:pPr>
        <w:pBdr>
          <w:top w:val="single" w:color="E0E0E0" w:sz="2" w:space="0"/>
          <w:bottom w:val="single" w:color="2E75B6" w:sz="6" w:space="0"/>
        </w:pBdr>
        <w:shd w:val="clear" w:fill="F8F8F8"/>
        <w:spacing w:before="0" w:after="60"/>
        <w:ind w:left="340"/>
      </w:pPr>
      <w:r>
        <w:rPr>
          <w:rFonts w:ascii="Courier New" w:hAnsi="Courier New" w:eastAsia="Courier New" w:cs="Courier New"/>
          <w:color w:val="1F1F1F"/>
          <w:sz w:val="17"/>
          <w:szCs w:val="17"/>
        </w:rPr>
        <w:t>-- Returns: 22,491  |  Counts orders where review score = 4</w:t>
      </w:r>
    </w:p>
    <w:p w14:paraId="443C4C60">
      <w:pPr>
        <w:spacing w:before="20" w:after="20"/>
      </w:pPr>
    </w:p>
    <w:p w14:paraId="08CFD417">
      <w:pPr>
        <w:spacing w:before="140" w:after="60"/>
      </w:pPr>
      <w:r>
        <w:rPr>
          <w:rFonts w:ascii="Arial" w:hAnsi="Arial" w:eastAsia="Arial" w:cs="Arial"/>
          <w:b/>
          <w:bCs/>
          <w:color w:val="2E75B6"/>
          <w:sz w:val="21"/>
          <w:szCs w:val="21"/>
        </w:rPr>
        <w:t>AVERAGEIF — Avg Review by State  (Regional Analysis)</w:t>
      </w:r>
    </w:p>
    <w:p w14:paraId="026A83BE">
      <w:pPr>
        <w:pBdr>
          <w:top w:val="single" w:color="2E75B6" w:sz="6" w:space="0"/>
          <w:bottom w:val="single" w:color="E0E0E0" w:sz="2" w:space="0"/>
        </w:pBdr>
        <w:shd w:val="clear" w:fill="F8F8F8"/>
        <w:spacing w:before="0" w:after="0"/>
        <w:ind w:left="340"/>
      </w:pPr>
      <w:r>
        <w:rPr>
          <w:rFonts w:ascii="Courier New" w:hAnsi="Courier New" w:eastAsia="Courier New" w:cs="Courier New"/>
          <w:color w:val="1F1F1F"/>
          <w:sz w:val="17"/>
          <w:szCs w:val="17"/>
        </w:rPr>
        <w:t>=IFERROR(AVERAGEIF(Orders_Data!H2:H67376,"California",Orders_Data!G2:G67376),0)</w:t>
      </w:r>
    </w:p>
    <w:p w14:paraId="5B32C7BA">
      <w:pPr>
        <w:pBdr>
          <w:top w:val="single" w:color="E0E0E0" w:sz="2" w:space="0"/>
          <w:bottom w:val="single" w:color="2E75B6" w:sz="6" w:space="0"/>
        </w:pBdr>
        <w:shd w:val="clear" w:fill="F8F8F8"/>
        <w:spacing w:before="0" w:after="60"/>
        <w:ind w:left="340"/>
      </w:pPr>
      <w:r>
        <w:rPr>
          <w:rFonts w:ascii="Courier New" w:hAnsi="Courier New" w:eastAsia="Courier New" w:cs="Courier New"/>
          <w:color w:val="1F1F1F"/>
          <w:sz w:val="17"/>
          <w:szCs w:val="17"/>
        </w:rPr>
        <w:t>-- Returns: 3.59  |  Average review for California orders only</w:t>
      </w:r>
    </w:p>
    <w:p w14:paraId="3687BB6A">
      <w:pPr>
        <w:spacing w:before="20" w:after="20"/>
      </w:pPr>
    </w:p>
    <w:p w14:paraId="3D978E33">
      <w:pPr>
        <w:pStyle w:val="3"/>
        <w:pBdr>
          <w:bottom w:val="single" w:color="2E75B6" w:sz="4" w:space="2"/>
        </w:pBdr>
        <w:spacing w:before="200" w:after="80"/>
      </w:pPr>
      <w:r>
        <w:rPr>
          <w:rFonts w:ascii="Arial" w:hAnsi="Arial" w:eastAsia="Arial" w:cs="Arial"/>
          <w:b/>
          <w:bCs/>
          <w:color w:val="1F3864"/>
          <w:sz w:val="26"/>
          <w:szCs w:val="26"/>
        </w:rPr>
        <w:t>4.3  Multi-Criteria Formulas</w:t>
      </w:r>
    </w:p>
    <w:p w14:paraId="679AF510">
      <w:pPr>
        <w:spacing w:before="140" w:after="60"/>
      </w:pPr>
      <w:r>
        <w:rPr>
          <w:rFonts w:ascii="Arial" w:hAnsi="Arial" w:eastAsia="Arial" w:cs="Arial"/>
          <w:b/>
          <w:bCs/>
          <w:color w:val="2E75B6"/>
          <w:sz w:val="21"/>
          <w:szCs w:val="21"/>
        </w:rPr>
        <w:t>SUMIFS — Monthly Revenue  (Orders Analysis — 48 rows, one per month)</w:t>
      </w:r>
    </w:p>
    <w:p w14:paraId="067AA3D4">
      <w:pPr>
        <w:pBdr>
          <w:top w:val="single" w:color="2E75B6" w:sz="6" w:space="0"/>
          <w:bottom w:val="single" w:color="E0E0E0" w:sz="2" w:space="0"/>
        </w:pBdr>
        <w:shd w:val="clear" w:fill="F8F8F8"/>
        <w:spacing w:before="0" w:after="0"/>
        <w:ind w:left="340"/>
      </w:pPr>
      <w:r>
        <w:rPr>
          <w:rFonts w:ascii="Courier New" w:hAnsi="Courier New" w:eastAsia="Courier New" w:cs="Courier New"/>
          <w:color w:val="1F1F1F"/>
          <w:sz w:val="17"/>
          <w:szCs w:val="17"/>
        </w:rPr>
        <w:t>=SUMIFS(</w:t>
      </w:r>
    </w:p>
    <w:p w14:paraId="250EFB8E">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Orders_Data!N2:N67376,        -- sum_range: revenue</w:t>
      </w:r>
    </w:p>
    <w:p w14:paraId="228D9413">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Orders_Data!P2:P67376, 2013,  -- criteria 1: year = 2013</w:t>
      </w:r>
    </w:p>
    <w:p w14:paraId="073A6E58">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Orders_Data!Q2:Q67376, 1      -- criteria 2: month = 1 (January)</w:t>
      </w:r>
    </w:p>
    <w:p w14:paraId="73E70CE6">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w:t>
      </w:r>
    </w:p>
    <w:p w14:paraId="69ECF499">
      <w:pPr>
        <w:pBdr>
          <w:top w:val="single" w:color="E0E0E0" w:sz="2" w:space="0"/>
          <w:bottom w:val="single" w:color="2E75B6" w:sz="6" w:space="0"/>
        </w:pBdr>
        <w:shd w:val="clear" w:fill="F8F8F8"/>
        <w:spacing w:before="0" w:after="60"/>
        <w:ind w:left="340"/>
      </w:pPr>
      <w:r>
        <w:rPr>
          <w:rFonts w:ascii="Courier New" w:hAnsi="Courier New" w:eastAsia="Courier New" w:cs="Courier New"/>
          <w:color w:val="1F1F1F"/>
          <w:sz w:val="17"/>
          <w:szCs w:val="17"/>
        </w:rPr>
        <w:t>-- Returns: $11,001.90  |  January 2013 revenue</w:t>
      </w:r>
    </w:p>
    <w:p w14:paraId="20A59537">
      <w:pPr>
        <w:spacing w:before="20" w:after="20"/>
      </w:pPr>
    </w:p>
    <w:p w14:paraId="0EE42067">
      <w:pPr>
        <w:spacing w:before="140" w:after="60"/>
      </w:pPr>
      <w:r>
        <w:rPr>
          <w:rFonts w:ascii="Arial" w:hAnsi="Arial" w:eastAsia="Arial" w:cs="Arial"/>
          <w:b/>
          <w:bCs/>
          <w:color w:val="2E75B6"/>
          <w:sz w:val="21"/>
          <w:szCs w:val="21"/>
        </w:rPr>
        <w:t>COUNTIFS — Monthly Order Count  (Orders Analysis)</w:t>
      </w:r>
    </w:p>
    <w:p w14:paraId="4DF6162C">
      <w:pPr>
        <w:pBdr>
          <w:top w:val="single" w:color="2E75B6" w:sz="6" w:space="0"/>
          <w:bottom w:val="single" w:color="E0E0E0" w:sz="2" w:space="0"/>
        </w:pBdr>
        <w:shd w:val="clear" w:fill="F8F8F8"/>
        <w:spacing w:before="0" w:after="0"/>
        <w:ind w:left="340"/>
      </w:pPr>
      <w:r>
        <w:rPr>
          <w:rFonts w:ascii="Courier New" w:hAnsi="Courier New" w:eastAsia="Courier New" w:cs="Courier New"/>
          <w:color w:val="1F1F1F"/>
          <w:sz w:val="17"/>
          <w:szCs w:val="17"/>
        </w:rPr>
        <w:t>=COUNTIFS(</w:t>
      </w:r>
    </w:p>
    <w:p w14:paraId="38362BBD">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Orders_Data!P2:P67376, 2013,  -- criteria 1: year</w:t>
      </w:r>
    </w:p>
    <w:p w14:paraId="0AD85133">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Orders_Data!Q2:Q67376, 1      -- criteria 2: month</w:t>
      </w:r>
    </w:p>
    <w:p w14:paraId="48B9C14B">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w:t>
      </w:r>
    </w:p>
    <w:p w14:paraId="009778BB">
      <w:pPr>
        <w:pBdr>
          <w:top w:val="single" w:color="E0E0E0" w:sz="2" w:space="0"/>
          <w:bottom w:val="single" w:color="2E75B6" w:sz="6" w:space="0"/>
        </w:pBdr>
        <w:shd w:val="clear" w:fill="F8F8F8"/>
        <w:spacing w:before="0" w:after="60"/>
        <w:ind w:left="340"/>
      </w:pPr>
      <w:r>
        <w:rPr>
          <w:rFonts w:ascii="Courier New" w:hAnsi="Courier New" w:eastAsia="Courier New" w:cs="Courier New"/>
          <w:color w:val="1F1F1F"/>
          <w:sz w:val="17"/>
          <w:szCs w:val="17"/>
        </w:rPr>
        <w:t>-- Returns: 1,134  |  Orders placed in January 2013</w:t>
      </w:r>
    </w:p>
    <w:p w14:paraId="13E11240">
      <w:pPr>
        <w:spacing w:before="20" w:after="20"/>
      </w:pPr>
    </w:p>
    <w:p w14:paraId="560DF0BC">
      <w:pPr>
        <w:spacing w:before="140" w:after="60"/>
      </w:pPr>
      <w:r>
        <w:rPr>
          <w:rFonts w:ascii="Arial" w:hAnsi="Arial" w:eastAsia="Arial" w:cs="Arial"/>
          <w:b/>
          <w:bCs/>
          <w:color w:val="2E75B6"/>
          <w:sz w:val="21"/>
          <w:szCs w:val="21"/>
        </w:rPr>
        <w:t>AVERAGEIFS — Monthly Avg Review  (Orders Analysis)</w:t>
      </w:r>
    </w:p>
    <w:p w14:paraId="49F4CD35">
      <w:pPr>
        <w:pBdr>
          <w:top w:val="single" w:color="2E75B6" w:sz="6" w:space="0"/>
          <w:bottom w:val="single" w:color="E0E0E0" w:sz="2" w:space="0"/>
        </w:pBdr>
        <w:shd w:val="clear" w:fill="F8F8F8"/>
        <w:spacing w:before="0" w:after="0"/>
        <w:ind w:left="340"/>
      </w:pPr>
      <w:r>
        <w:rPr>
          <w:rFonts w:ascii="Courier New" w:hAnsi="Courier New" w:eastAsia="Courier New" w:cs="Courier New"/>
          <w:color w:val="1F1F1F"/>
          <w:sz w:val="17"/>
          <w:szCs w:val="17"/>
        </w:rPr>
        <w:t>=IFERROR(AVERAGEIFS(</w:t>
      </w:r>
    </w:p>
    <w:p w14:paraId="767BBD66">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Orders_Data!G2:G67376,        -- avg_range: review</w:t>
      </w:r>
    </w:p>
    <w:p w14:paraId="0E57D962">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Orders_Data!P2:P67376, 2013,  -- criteria 1: year</w:t>
      </w:r>
    </w:p>
    <w:p w14:paraId="37F0CC45">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Orders_Data!Q2:Q67376, 1      -- criteria 2: month</w:t>
      </w:r>
    </w:p>
    <w:p w14:paraId="0A8C11E7">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w:t>
      </w:r>
    </w:p>
    <w:p w14:paraId="6BB6C68C">
      <w:pPr>
        <w:pBdr>
          <w:top w:val="single" w:color="E0E0E0" w:sz="2" w:space="0"/>
          <w:bottom w:val="single" w:color="2E75B6" w:sz="6" w:space="0"/>
        </w:pBdr>
        <w:shd w:val="clear" w:fill="F8F8F8"/>
        <w:spacing w:before="0" w:after="60"/>
        <w:ind w:left="340"/>
      </w:pPr>
      <w:r>
        <w:rPr>
          <w:rFonts w:ascii="Courier New" w:hAnsi="Courier New" w:eastAsia="Courier New" w:cs="Courier New"/>
          <w:color w:val="1F1F1F"/>
          <w:sz w:val="17"/>
          <w:szCs w:val="17"/>
        </w:rPr>
        <w:t>-- Returns: 3.56  |  Avg review for Jan 2013; '-' if no data</w:t>
      </w:r>
    </w:p>
    <w:p w14:paraId="15183997">
      <w:pPr>
        <w:spacing w:before="20" w:after="20"/>
      </w:pPr>
    </w:p>
    <w:p w14:paraId="72545393">
      <w:pPr>
        <w:pStyle w:val="3"/>
        <w:pBdr>
          <w:bottom w:val="single" w:color="2E75B6" w:sz="4" w:space="2"/>
        </w:pBdr>
        <w:spacing w:before="200" w:after="80"/>
      </w:pPr>
      <w:r>
        <w:rPr>
          <w:rFonts w:ascii="Arial" w:hAnsi="Arial" w:eastAsia="Arial" w:cs="Arial"/>
          <w:b/>
          <w:bCs/>
          <w:color w:val="1F3864"/>
          <w:sz w:val="26"/>
          <w:szCs w:val="26"/>
        </w:rPr>
        <w:t>4.4  Advanced Array Formulas</w:t>
      </w:r>
    </w:p>
    <w:p w14:paraId="2AA99180">
      <w:pPr>
        <w:spacing w:before="140" w:after="60"/>
      </w:pPr>
      <w:r>
        <w:rPr>
          <w:rFonts w:ascii="Arial" w:hAnsi="Arial" w:eastAsia="Arial" w:cs="Arial"/>
          <w:b/>
          <w:bCs/>
          <w:color w:val="2E75B6"/>
          <w:sz w:val="21"/>
          <w:szCs w:val="21"/>
        </w:rPr>
        <w:t>SUMPRODUCT — Revenue by Age Group  (Customer Analysis)</w:t>
      </w:r>
    </w:p>
    <w:p w14:paraId="49DB0D06">
      <w:pPr>
        <w:pBdr>
          <w:top w:val="single" w:color="2E75B6" w:sz="6" w:space="0"/>
          <w:bottom w:val="single" w:color="E0E0E0" w:sz="2" w:space="0"/>
        </w:pBdr>
        <w:shd w:val="clear" w:fill="F8F8F8"/>
        <w:spacing w:before="0" w:after="0"/>
        <w:ind w:left="340"/>
      </w:pPr>
      <w:r>
        <w:rPr>
          <w:rFonts w:ascii="Courier New" w:hAnsi="Courier New" w:eastAsia="Courier New" w:cs="Courier New"/>
          <w:color w:val="1F1F1F"/>
          <w:sz w:val="17"/>
          <w:szCs w:val="17"/>
        </w:rPr>
        <w:t>=SUMPRODUCT(</w:t>
      </w:r>
    </w:p>
    <w:p w14:paraId="48FD68C4">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(Orders_Data!E2:E67376 &gt;= 26) *  -- condition 1: age &gt;= 26</w:t>
      </w:r>
    </w:p>
    <w:p w14:paraId="5E69E36F">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(Orders_Data!E2:E67376 &lt;= 35) *  -- condition 2: age &lt;= 35</w:t>
      </w:r>
    </w:p>
    <w:p w14:paraId="534F6387">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Orders_Data!N2:N67376            -- multiply by revenue</w:t>
      </w:r>
    </w:p>
    <w:p w14:paraId="0D9B7552">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w:t>
      </w:r>
    </w:p>
    <w:p w14:paraId="73BEE1D6">
      <w:pPr>
        <w:pBdr>
          <w:top w:val="single" w:color="E0E0E0" w:sz="2" w:space="0"/>
          <w:bottom w:val="single" w:color="2E75B6" w:sz="6" w:space="0"/>
        </w:pBdr>
        <w:shd w:val="clear" w:fill="F8F8F8"/>
        <w:spacing w:before="0" w:after="60"/>
        <w:ind w:left="340"/>
      </w:pPr>
      <w:r>
        <w:rPr>
          <w:rFonts w:ascii="Courier New" w:hAnsi="Courier New" w:eastAsia="Courier New" w:cs="Courier New"/>
          <w:color w:val="1F1F1F"/>
          <w:sz w:val="17"/>
          <w:szCs w:val="17"/>
        </w:rPr>
        <w:t>-- Returns: $211,787.26  |  Revenue from age group 26-35</w:t>
      </w:r>
    </w:p>
    <w:p w14:paraId="6BD2095B">
      <w:pPr>
        <w:spacing w:before="20" w:after="20"/>
      </w:pPr>
    </w:p>
    <w:p w14:paraId="33BA1FDE">
      <w:pPr>
        <w:spacing w:before="140" w:after="60"/>
      </w:pPr>
      <w:r>
        <w:rPr>
          <w:rFonts w:ascii="Arial" w:hAnsi="Arial" w:eastAsia="Arial" w:cs="Arial"/>
          <w:b/>
          <w:bCs/>
          <w:color w:val="2E75B6"/>
          <w:sz w:val="21"/>
          <w:szCs w:val="21"/>
        </w:rPr>
        <w:t>SUMPRODUCT(1/COUNTIF) — Unique Customer Count  (KPI_Calc)</w:t>
      </w:r>
    </w:p>
    <w:p w14:paraId="7737BDD9">
      <w:pPr>
        <w:pBdr>
          <w:top w:val="single" w:color="2E75B6" w:sz="6" w:space="0"/>
          <w:bottom w:val="single" w:color="E0E0E0" w:sz="2" w:space="0"/>
        </w:pBdr>
        <w:shd w:val="clear" w:fill="F8F8F8"/>
        <w:spacing w:before="0" w:after="0"/>
        <w:ind w:left="340"/>
      </w:pPr>
      <w:r>
        <w:rPr>
          <w:rFonts w:ascii="Courier New" w:hAnsi="Courier New" w:eastAsia="Courier New" w:cs="Courier New"/>
          <w:color w:val="1F1F1F"/>
          <w:sz w:val="17"/>
          <w:szCs w:val="17"/>
        </w:rPr>
        <w:t>=SUMPRODUCT(</w:t>
      </w:r>
    </w:p>
    <w:p w14:paraId="1415BB2D">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1/COUNTIF(</w:t>
      </w:r>
    </w:p>
    <w:p w14:paraId="305E0EE6">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Orders_Data!D2:D67376,   -- lookup range: customer_id_num</w:t>
      </w:r>
    </w:p>
    <w:p w14:paraId="28C66E41">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Orders_Data!D2:D67376    -- criteria: same range</w:t>
      </w:r>
    </w:p>
    <w:p w14:paraId="276F0096">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w:t>
      </w:r>
    </w:p>
    <w:p w14:paraId="2BB6B645">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w:t>
      </w:r>
    </w:p>
    <w:p w14:paraId="6E8AF2C8">
      <w:pPr>
        <w:pBdr>
          <w:top w:val="single" w:color="E0E0E0" w:sz="2" w:space="0"/>
          <w:bottom w:val="single" w:color="2E75B6" w:sz="6" w:space="0"/>
        </w:pBdr>
        <w:shd w:val="clear" w:fill="F8F8F8"/>
        <w:spacing w:before="0" w:after="60"/>
        <w:ind w:left="340"/>
      </w:pPr>
      <w:r>
        <w:rPr>
          <w:rFonts w:ascii="Courier New" w:hAnsi="Courier New" w:eastAsia="Courier New" w:cs="Courier New"/>
          <w:color w:val="1F1F1F"/>
          <w:sz w:val="17"/>
          <w:szCs w:val="17"/>
        </w:rPr>
        <w:t>-- Returns: 18,479  |  Distinct customers without duplicates</w:t>
      </w:r>
    </w:p>
    <w:p w14:paraId="0021C903">
      <w:pPr>
        <w:spacing w:before="20" w:after="20"/>
      </w:pPr>
    </w:p>
    <w:p w14:paraId="0F6CAAA3">
      <w:pPr>
        <w:pStyle w:val="3"/>
        <w:pBdr>
          <w:bottom w:val="single" w:color="2E75B6" w:sz="4" w:space="2"/>
        </w:pBdr>
        <w:spacing w:before="200" w:after="80"/>
      </w:pPr>
      <w:r>
        <w:rPr>
          <w:rFonts w:ascii="Arial" w:hAnsi="Arial" w:eastAsia="Arial" w:cs="Arial"/>
          <w:b/>
          <w:bCs/>
          <w:color w:val="1F3864"/>
          <w:sz w:val="26"/>
          <w:szCs w:val="26"/>
        </w:rPr>
        <w:t>4.5  Lookup &amp; Join Formulas</w:t>
      </w:r>
    </w:p>
    <w:p w14:paraId="3C56BCE2">
      <w:pPr>
        <w:spacing w:before="140" w:after="60"/>
      </w:pPr>
      <w:r>
        <w:rPr>
          <w:rFonts w:ascii="Arial" w:hAnsi="Arial" w:eastAsia="Arial" w:cs="Arial"/>
          <w:b/>
          <w:bCs/>
          <w:color w:val="2E75B6"/>
          <w:sz w:val="21"/>
          <w:szCs w:val="21"/>
        </w:rPr>
        <w:t>VLOOKUP — Pre-Join Customer Attributes  (Orders_Data col R, S, T — first 5 rows shown)</w:t>
      </w:r>
    </w:p>
    <w:p w14:paraId="223F0574">
      <w:pPr>
        <w:pBdr>
          <w:top w:val="single" w:color="2E75B6" w:sz="6" w:space="0"/>
          <w:bottom w:val="single" w:color="E0E0E0" w:sz="2" w:space="0"/>
        </w:pBdr>
        <w:shd w:val="clear" w:fill="F8F8F8"/>
        <w:spacing w:before="0" w:after="0"/>
        <w:ind w:left="340"/>
      </w:pPr>
      <w:r>
        <w:rPr>
          <w:rFonts w:ascii="Courier New" w:hAnsi="Courier New" w:eastAsia="Courier New" w:cs="Courier New"/>
          <w:color w:val="1F1F1F"/>
          <w:sz w:val="17"/>
          <w:szCs w:val="17"/>
        </w:rPr>
        <w:t>=IFERROR(VLOOKUP(</w:t>
      </w:r>
    </w:p>
    <w:p w14:paraId="5B653684">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D2,                      -- lookup_value: customer_id_num (col D)</w:t>
      </w:r>
    </w:p>
    <w:p w14:paraId="65CAB410">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Customers_Data!$A:$F,    -- table_array: full Customers_Data table</w:t>
      </w:r>
    </w:p>
    <w:p w14:paraId="7AF8A2D8">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4,                       -- col_index_num: 4 = education column</w:t>
      </w:r>
    </w:p>
    <w:p w14:paraId="12397467">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0                        -- range_lookup: exact match</w:t>
      </w:r>
    </w:p>
    <w:p w14:paraId="3A5FFB54">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w:t>
      </w:r>
    </w:p>
    <w:p w14:paraId="2D0A85A6">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Education col R row 2: 'College'</w:t>
      </w:r>
    </w:p>
    <w:p w14:paraId="687FE36A">
      <w:pPr>
        <w:pBdr>
          <w:top w:val="single" w:color="E0E0E0" w:sz="2" w:space="0"/>
          <w:bottom w:val="single" w:color="2E75B6" w:sz="6" w:space="0"/>
        </w:pBdr>
        <w:shd w:val="clear" w:fill="F8F8F8"/>
        <w:spacing w:before="0" w:after="60"/>
        <w:ind w:left="340"/>
      </w:pPr>
      <w:r>
        <w:rPr>
          <w:rFonts w:ascii="Courier New" w:hAnsi="Courier New" w:eastAsia="Courier New" w:cs="Courier New"/>
          <w:color w:val="1F1F1F"/>
          <w:sz w:val="17"/>
          <w:szCs w:val="17"/>
        </w:rPr>
        <w:t>-- Change col index to 5 for marital_status, 6 for pets</w:t>
      </w:r>
    </w:p>
    <w:p w14:paraId="47B96EE3">
      <w:pPr>
        <w:spacing w:before="20" w:after="20"/>
      </w:pPr>
    </w:p>
    <w:p w14:paraId="1AF71008">
      <w:pPr>
        <w:pStyle w:val="3"/>
        <w:pBdr>
          <w:bottom w:val="single" w:color="2E75B6" w:sz="4" w:space="2"/>
        </w:pBdr>
        <w:spacing w:before="200" w:after="80"/>
      </w:pPr>
      <w:r>
        <w:rPr>
          <w:rFonts w:ascii="Arial" w:hAnsi="Arial" w:eastAsia="Arial" w:cs="Arial"/>
          <w:b/>
          <w:bCs/>
          <w:color w:val="1F3864"/>
          <w:sz w:val="26"/>
          <w:szCs w:val="26"/>
        </w:rPr>
        <w:t>4.6  Calculated Field Formulas</w:t>
      </w:r>
    </w:p>
    <w:p w14:paraId="4779BA73">
      <w:pPr>
        <w:spacing w:before="140" w:after="60"/>
      </w:pPr>
      <w:r>
        <w:rPr>
          <w:rFonts w:ascii="Arial" w:hAnsi="Arial" w:eastAsia="Arial" w:cs="Arial"/>
          <w:b/>
          <w:bCs/>
          <w:color w:val="2E75B6"/>
          <w:sz w:val="21"/>
          <w:szCs w:val="21"/>
        </w:rPr>
        <w:t>Profit Margin % — per row  (all analysis sheets)</w:t>
      </w:r>
    </w:p>
    <w:p w14:paraId="323D7358">
      <w:pPr>
        <w:pBdr>
          <w:top w:val="single" w:color="2E75B6" w:sz="6" w:space="0"/>
          <w:bottom w:val="single" w:color="E0E0E0" w:sz="2" w:space="0"/>
        </w:pBdr>
        <w:shd w:val="clear" w:fill="F8F8F8"/>
        <w:spacing w:before="0" w:after="0"/>
        <w:ind w:left="340"/>
      </w:pPr>
      <w:r>
        <w:rPr>
          <w:rFonts w:ascii="Courier New" w:hAnsi="Courier New" w:eastAsia="Courier New" w:cs="Courier New"/>
          <w:color w:val="1F1F1F"/>
          <w:sz w:val="17"/>
          <w:szCs w:val="17"/>
        </w:rPr>
        <w:t>=C5/B5</w:t>
      </w:r>
    </w:p>
    <w:p w14:paraId="259BF6D2">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Where B5 = Revenue ($), C5 = Profit ($)</w:t>
      </w:r>
    </w:p>
    <w:p w14:paraId="78FFD7A7">
      <w:pPr>
        <w:pBdr>
          <w:top w:val="single" w:color="E0E0E0" w:sz="2" w:space="0"/>
          <w:bottom w:val="single" w:color="2E75B6" w:sz="6" w:space="0"/>
        </w:pBdr>
        <w:shd w:val="clear" w:fill="F8F8F8"/>
        <w:spacing w:before="0" w:after="60"/>
        <w:ind w:left="340"/>
      </w:pPr>
      <w:r>
        <w:rPr>
          <w:rFonts w:ascii="Courier New" w:hAnsi="Courier New" w:eastAsia="Courier New" w:cs="Courier New"/>
          <w:color w:val="1F1F1F"/>
          <w:sz w:val="17"/>
          <w:szCs w:val="17"/>
        </w:rPr>
        <w:t>-- Returns: 78.2%  |  Household Appliances margin</w:t>
      </w:r>
    </w:p>
    <w:p w14:paraId="16688E0C">
      <w:pPr>
        <w:spacing w:before="20" w:after="20"/>
      </w:pPr>
    </w:p>
    <w:p w14:paraId="400B401B">
      <w:pPr>
        <w:spacing w:before="140" w:after="60"/>
      </w:pPr>
      <w:r>
        <w:rPr>
          <w:rFonts w:ascii="Arial" w:hAnsi="Arial" w:eastAsia="Arial" w:cs="Arial"/>
          <w:b/>
          <w:bCs/>
          <w:color w:val="2E75B6"/>
          <w:sz w:val="21"/>
          <w:szCs w:val="21"/>
        </w:rPr>
        <w:t>YoY Revenue Growth — (Orders Analysis, KPI Dashboard)</w:t>
      </w:r>
    </w:p>
    <w:p w14:paraId="63D6B1BA">
      <w:pPr>
        <w:pBdr>
          <w:top w:val="single" w:color="2E75B6" w:sz="6" w:space="0"/>
          <w:bottom w:val="single" w:color="E0E0E0" w:sz="2" w:space="0"/>
        </w:pBdr>
        <w:shd w:val="clear" w:fill="F8F8F8"/>
        <w:spacing w:before="0" w:after="0"/>
        <w:ind w:left="340"/>
      </w:pPr>
      <w:r>
        <w:rPr>
          <w:rFonts w:ascii="Courier New" w:hAnsi="Courier New" w:eastAsia="Courier New" w:cs="Courier New"/>
          <w:color w:val="1F1F1F"/>
          <w:sz w:val="17"/>
          <w:szCs w:val="17"/>
        </w:rPr>
        <w:t>=(B6-B5)/B5</w:t>
      </w:r>
    </w:p>
    <w:p w14:paraId="43B9DEEC">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Where B5 = 2013 Revenue, B6 = 2014 Revenue</w:t>
      </w:r>
    </w:p>
    <w:p w14:paraId="297F7EC7">
      <w:pPr>
        <w:pBdr>
          <w:top w:val="single" w:color="E0E0E0" w:sz="2" w:space="0"/>
          <w:bottom w:val="single" w:color="2E75B6" w:sz="6" w:space="0"/>
        </w:pBdr>
        <w:shd w:val="clear" w:fill="F8F8F8"/>
        <w:spacing w:before="0" w:after="60"/>
        <w:ind w:left="340"/>
      </w:pPr>
      <w:r>
        <w:rPr>
          <w:rFonts w:ascii="Courier New" w:hAnsi="Courier New" w:eastAsia="Courier New" w:cs="Courier New"/>
          <w:color w:val="1F1F1F"/>
          <w:sz w:val="17"/>
          <w:szCs w:val="17"/>
        </w:rPr>
        <w:t>-- Returns: +10.2%  |  2014 vs 2013 growth</w:t>
      </w:r>
    </w:p>
    <w:p w14:paraId="6CD8A695">
      <w:pPr>
        <w:spacing w:before="20" w:after="20"/>
      </w:pPr>
    </w:p>
    <w:p w14:paraId="12C21D4F">
      <w:pPr>
        <w:spacing w:before="140" w:after="60"/>
      </w:pPr>
      <w:r>
        <w:rPr>
          <w:rFonts w:ascii="Arial" w:hAnsi="Arial" w:eastAsia="Arial" w:cs="Arial"/>
          <w:b/>
          <w:bCs/>
          <w:color w:val="2E75B6"/>
          <w:sz w:val="21"/>
          <w:szCs w:val="21"/>
        </w:rPr>
        <w:t>Revenue / Order Share % — (Product, Regional Analysis)</w:t>
      </w:r>
    </w:p>
    <w:p w14:paraId="4A6B994E">
      <w:pPr>
        <w:pBdr>
          <w:top w:val="single" w:color="2E75B6" w:sz="6" w:space="0"/>
          <w:bottom w:val="single" w:color="E0E0E0" w:sz="2" w:space="0"/>
        </w:pBdr>
        <w:shd w:val="clear" w:fill="F8F8F8"/>
        <w:spacing w:before="0" w:after="0"/>
        <w:ind w:left="340"/>
      </w:pPr>
      <w:r>
        <w:rPr>
          <w:rFonts w:ascii="Courier New" w:hAnsi="Courier New" w:eastAsia="Courier New" w:cs="Courier New"/>
          <w:color w:val="1F1F1F"/>
          <w:sz w:val="17"/>
          <w:szCs w:val="17"/>
        </w:rPr>
        <w:t>=B5/KPI_Calc!B2     -- Revenue share: Category Rev / Total Rev</w:t>
      </w:r>
    </w:p>
    <w:p w14:paraId="72AB0084">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=D5/KPI_Calc!B4     -- Order share:   Category Orders / Total Orders</w:t>
      </w:r>
    </w:p>
    <w:p w14:paraId="3E73FF21">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Example: Household Appliances Revenue Share = 61.8%</w:t>
      </w:r>
    </w:p>
    <w:p w14:paraId="402C1819">
      <w:pPr>
        <w:pBdr>
          <w:top w:val="single" w:color="E0E0E0" w:sz="2" w:space="0"/>
          <w:bottom w:val="single" w:color="2E75B6" w:sz="6" w:space="0"/>
        </w:pBdr>
        <w:shd w:val="clear" w:fill="F8F8F8"/>
        <w:spacing w:before="0" w:after="60"/>
        <w:ind w:left="340"/>
      </w:pPr>
      <w:r>
        <w:rPr>
          <w:rFonts w:ascii="Courier New" w:hAnsi="Courier New" w:eastAsia="Courier New" w:cs="Courier New"/>
          <w:color w:val="1F1F1F"/>
          <w:sz w:val="17"/>
          <w:szCs w:val="17"/>
        </w:rPr>
        <w:t>-- Example: Household Appliances Order Share   =  8.8%  (high-value, low-volume)</w:t>
      </w:r>
    </w:p>
    <w:p w14:paraId="7CFE8B93">
      <w:pPr>
        <w:spacing w:before="20" w:after="20"/>
      </w:pPr>
    </w:p>
    <w:p w14:paraId="4B020E6C">
      <w:pPr>
        <w:spacing w:before="140" w:after="60"/>
      </w:pPr>
      <w:r>
        <w:rPr>
          <w:rFonts w:ascii="Arial" w:hAnsi="Arial" w:eastAsia="Arial" w:cs="Arial"/>
          <w:b/>
          <w:bCs/>
          <w:color w:val="2E75B6"/>
          <w:sz w:val="21"/>
          <w:szCs w:val="21"/>
        </w:rPr>
        <w:t>Monthly Profit Margin — (Orders Analysis, complex SUMPRODUCT inline)</w:t>
      </w:r>
    </w:p>
    <w:p w14:paraId="7445FBAD">
      <w:pPr>
        <w:pBdr>
          <w:top w:val="single" w:color="2E75B6" w:sz="6" w:space="0"/>
          <w:bottom w:val="single" w:color="E0E0E0" w:sz="2" w:space="0"/>
        </w:pBdr>
        <w:shd w:val="clear" w:fill="F8F8F8"/>
        <w:spacing w:before="0" w:after="0"/>
        <w:ind w:left="340"/>
      </w:pPr>
      <w:r>
        <w:rPr>
          <w:rFonts w:ascii="Courier New" w:hAnsi="Courier New" w:eastAsia="Courier New" w:cs="Courier New"/>
          <w:color w:val="1F1F1F"/>
          <w:sz w:val="17"/>
          <w:szCs w:val="17"/>
        </w:rPr>
        <w:t>=IFERROR(</w:t>
      </w:r>
    </w:p>
    <w:p w14:paraId="68A8C8B8">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(SUMIFS(revenue, year, 2013, month, 1)</w:t>
      </w:r>
    </w:p>
    <w:p w14:paraId="68DCD8A1">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 SUMPRODUCT((year=2013)*(month=1)*revenue*delivery_fee)</w:t>
      </w:r>
    </w:p>
    <w:p w14:paraId="7870915F">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 SUMIFS(opex, year, 2013, month, 1))</w:t>
      </w:r>
    </w:p>
    <w:p w14:paraId="0038F482">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 xml:space="preserve">   / C14,   -- divide by monthly revenue in col C</w:t>
      </w:r>
    </w:p>
    <w:p w14:paraId="32B26B6C">
      <w:pPr>
        <w:pBdr>
          <w:top w:val="single" w:color="E0E0E0" w:sz="2" w:space="0"/>
          <w:bottom w:val="single" w:color="E0E0E0" w:sz="2" w:space="0"/>
        </w:pBdr>
        <w:shd w:val="clear" w:fill="F8F8F8"/>
        <w:spacing w:before="0" w:after="0"/>
        <w:ind w:left="340"/>
      </w:pPr>
      <w:r>
        <w:rPr>
          <w:rFonts w:ascii="Courier New" w:hAnsi="Courier New" w:eastAsia="Courier New" w:cs="Courier New"/>
          <w:color w:val="1F1F1F"/>
          <w:sz w:val="17"/>
          <w:szCs w:val="17"/>
        </w:rPr>
        <w:t>0)</w:t>
      </w:r>
    </w:p>
    <w:p w14:paraId="7A22F197">
      <w:pPr>
        <w:pBdr>
          <w:top w:val="single" w:color="E0E0E0" w:sz="2" w:space="0"/>
          <w:bottom w:val="single" w:color="2E75B6" w:sz="6" w:space="0"/>
        </w:pBdr>
        <w:shd w:val="clear" w:fill="F8F8F8"/>
        <w:spacing w:before="0" w:after="60"/>
        <w:ind w:left="340"/>
      </w:pPr>
      <w:r>
        <w:rPr>
          <w:rFonts w:ascii="Courier New" w:hAnsi="Courier New" w:eastAsia="Courier New" w:cs="Courier New"/>
          <w:color w:val="1F1F1F"/>
          <w:sz w:val="17"/>
          <w:szCs w:val="17"/>
        </w:rPr>
        <w:t>-- Returns: 74.5%  |  Jan 2013 profit margin</w:t>
      </w:r>
    </w:p>
    <w:p w14:paraId="118C81F7">
      <w:pPr>
        <w:spacing w:before="20" w:after="20"/>
      </w:pPr>
    </w:p>
    <w:p w14:paraId="4B062A8F">
      <w:pPr>
        <w:pBdr>
          <w:bottom w:val="single" w:color="2E75B6" w:sz="6" w:space="1"/>
        </w:pBdr>
        <w:spacing w:before="80" w:after="80"/>
      </w:pPr>
    </w:p>
    <w:p w14:paraId="391AC9CC">
      <w:pPr>
        <w:pStyle w:val="2"/>
        <w:shd w:val="clear" w:fill="1F3864"/>
        <w:spacing w:before="260" w:after="140"/>
      </w:pPr>
      <w:r>
        <w:rPr>
          <w:rFonts w:ascii="Arial" w:hAnsi="Arial" w:eastAsia="Arial" w:cs="Arial"/>
          <w:b/>
          <w:bCs/>
          <w:color w:val="FFFFFF"/>
          <w:sz w:val="40"/>
          <w:szCs w:val="40"/>
        </w:rPr>
        <w:t>5.  KPI Summary</w:t>
      </w:r>
    </w:p>
    <w:p w14:paraId="23356BC1">
      <w:pPr>
        <w:spacing w:before="20" w:after="20"/>
      </w:pPr>
    </w:p>
    <w:p w14:paraId="54920001">
      <w:pPr>
        <w:spacing w:before="55" w:after="55" w:line="296" w:lineRule="auto"/>
      </w:pPr>
      <w:r>
        <w:rPr>
          <w:rFonts w:ascii="Arial" w:hAnsi="Arial" w:eastAsia="Arial" w:cs="Arial"/>
          <w:b w:val="0"/>
          <w:bCs w:val="0"/>
          <w:i w:val="0"/>
          <w:iCs w:val="0"/>
          <w:color w:val="1F1F1F"/>
          <w:sz w:val="20"/>
          <w:szCs w:val="20"/>
        </w:rPr>
        <w:t>All figures below are produced by live Excel formulas referencing Orders_Data and Customers_Data. They will auto-update if source data is modified.</w:t>
      </w:r>
    </w:p>
    <w:p w14:paraId="16E4C0AA">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419B9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77AA18B9">
            <w:pPr>
              <w:spacing w:before="55" w:after="55"/>
              <w:jc w:val="center"/>
            </w:pPr>
            <w:r>
              <w:rPr>
                <w:rFonts w:ascii="Arial" w:hAnsi="Arial" w:eastAsia="Arial" w:cs="Arial"/>
                <w:b/>
                <w:bCs/>
                <w:i w:val="0"/>
                <w:iCs w:val="0"/>
                <w:color w:val="FFFFFF"/>
                <w:sz w:val="17"/>
                <w:szCs w:val="17"/>
              </w:rPr>
              <w:t>Total Revenue</w:t>
            </w:r>
          </w:p>
        </w:tc>
        <w:tc>
          <w:tcPr>
            <w:tcW w:w="234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56C2F346">
            <w:pPr>
              <w:spacing w:before="55" w:after="55"/>
              <w:jc w:val="center"/>
            </w:pPr>
            <w:r>
              <w:rPr>
                <w:rFonts w:ascii="Arial" w:hAnsi="Arial" w:eastAsia="Arial" w:cs="Arial"/>
                <w:b/>
                <w:bCs/>
                <w:i w:val="0"/>
                <w:iCs w:val="0"/>
                <w:color w:val="FFFFFF"/>
                <w:sz w:val="17"/>
                <w:szCs w:val="17"/>
              </w:rPr>
              <w:t>Total Profit</w:t>
            </w:r>
          </w:p>
        </w:tc>
        <w:tc>
          <w:tcPr>
            <w:tcW w:w="234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34DB6FD0">
            <w:pPr>
              <w:spacing w:before="55" w:after="55"/>
              <w:jc w:val="center"/>
            </w:pPr>
            <w:r>
              <w:rPr>
                <w:rFonts w:ascii="Arial" w:hAnsi="Arial" w:eastAsia="Arial" w:cs="Arial"/>
                <w:b/>
                <w:bCs/>
                <w:i w:val="0"/>
                <w:iCs w:val="0"/>
                <w:color w:val="FFFFFF"/>
                <w:sz w:val="17"/>
                <w:szCs w:val="17"/>
              </w:rPr>
              <w:t>Profit Margin</w:t>
            </w:r>
          </w:p>
        </w:tc>
        <w:tc>
          <w:tcPr>
            <w:tcW w:w="234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43399EB3">
            <w:pPr>
              <w:spacing w:before="55" w:after="55"/>
              <w:jc w:val="center"/>
            </w:pPr>
            <w:r>
              <w:rPr>
                <w:rFonts w:ascii="Arial" w:hAnsi="Arial" w:eastAsia="Arial" w:cs="Arial"/>
                <w:b/>
                <w:bCs/>
                <w:i w:val="0"/>
                <w:iCs w:val="0"/>
                <w:color w:val="FFFFFF"/>
                <w:sz w:val="17"/>
                <w:szCs w:val="17"/>
              </w:rPr>
              <w:t>Total Orders</w:t>
            </w:r>
          </w:p>
        </w:tc>
      </w:tr>
      <w:tr w14:paraId="40C7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shd w:val="clear" w:color="auto" w:fill="E2EFDA"/>
            <w:tcMar>
              <w:top w:w="75" w:type="dxa"/>
              <w:left w:w="120" w:type="dxa"/>
              <w:bottom w:w="75" w:type="dxa"/>
              <w:right w:w="120" w:type="dxa"/>
            </w:tcMar>
            <w:vAlign w:val="center"/>
          </w:tcPr>
          <w:p w14:paraId="659B9BE7">
            <w:pPr>
              <w:spacing w:before="55" w:after="55"/>
              <w:jc w:val="center"/>
            </w:pPr>
            <w:r>
              <w:rPr>
                <w:rFonts w:ascii="Arial" w:hAnsi="Arial" w:eastAsia="Arial" w:cs="Arial"/>
                <w:b/>
                <w:bCs/>
                <w:i w:val="0"/>
                <w:iCs w:val="0"/>
                <w:color w:val="217346"/>
                <w:sz w:val="17"/>
                <w:szCs w:val="17"/>
              </w:rPr>
              <w:t>$708,598</w:t>
            </w:r>
          </w:p>
        </w:tc>
        <w:tc>
          <w:tcPr>
            <w:tcW w:w="2340" w:type="dxa"/>
            <w:tcBorders>
              <w:top w:val="single" w:color="CCCCCC" w:sz="4" w:space="0"/>
              <w:left w:val="single" w:color="CCCCCC" w:sz="4" w:space="0"/>
              <w:bottom w:val="single" w:color="CCCCCC" w:sz="4" w:space="0"/>
              <w:right w:val="single" w:color="CCCCCC" w:sz="4" w:space="0"/>
            </w:tcBorders>
            <w:shd w:val="clear" w:color="auto" w:fill="E2EFDA"/>
            <w:tcMar>
              <w:top w:w="75" w:type="dxa"/>
              <w:left w:w="120" w:type="dxa"/>
              <w:bottom w:w="75" w:type="dxa"/>
              <w:right w:w="120" w:type="dxa"/>
            </w:tcMar>
            <w:vAlign w:val="center"/>
          </w:tcPr>
          <w:p w14:paraId="33BEB176">
            <w:pPr>
              <w:spacing w:before="55" w:after="55"/>
              <w:jc w:val="center"/>
            </w:pPr>
            <w:r>
              <w:rPr>
                <w:rFonts w:ascii="Arial" w:hAnsi="Arial" w:eastAsia="Arial" w:cs="Arial"/>
                <w:b/>
                <w:bCs/>
                <w:i w:val="0"/>
                <w:iCs w:val="0"/>
                <w:color w:val="217346"/>
                <w:sz w:val="17"/>
                <w:szCs w:val="17"/>
              </w:rPr>
              <w:t>$534,760</w:t>
            </w:r>
          </w:p>
        </w:tc>
        <w:tc>
          <w:tcPr>
            <w:tcW w:w="2340" w:type="dxa"/>
            <w:tcBorders>
              <w:top w:val="single" w:color="CCCCCC" w:sz="4" w:space="0"/>
              <w:left w:val="single" w:color="CCCCCC" w:sz="4" w:space="0"/>
              <w:bottom w:val="single" w:color="CCCCCC" w:sz="4" w:space="0"/>
              <w:right w:val="single" w:color="CCCCCC" w:sz="4" w:space="0"/>
            </w:tcBorders>
            <w:shd w:val="clear" w:color="auto" w:fill="E2EFDA"/>
            <w:tcMar>
              <w:top w:w="75" w:type="dxa"/>
              <w:left w:w="120" w:type="dxa"/>
              <w:bottom w:w="75" w:type="dxa"/>
              <w:right w:w="120" w:type="dxa"/>
            </w:tcMar>
            <w:vAlign w:val="center"/>
          </w:tcPr>
          <w:p w14:paraId="192D9D79">
            <w:pPr>
              <w:spacing w:before="55" w:after="55"/>
              <w:jc w:val="center"/>
            </w:pPr>
            <w:r>
              <w:rPr>
                <w:rFonts w:ascii="Arial" w:hAnsi="Arial" w:eastAsia="Arial" w:cs="Arial"/>
                <w:b/>
                <w:bCs/>
                <w:i w:val="0"/>
                <w:iCs w:val="0"/>
                <w:color w:val="217346"/>
                <w:sz w:val="17"/>
                <w:szCs w:val="17"/>
              </w:rPr>
              <w:t>75.5%</w:t>
            </w:r>
          </w:p>
        </w:tc>
        <w:tc>
          <w:tcPr>
            <w:tcW w:w="2340" w:type="dxa"/>
            <w:tcBorders>
              <w:top w:val="single" w:color="CCCCCC" w:sz="4" w:space="0"/>
              <w:left w:val="single" w:color="CCCCCC" w:sz="4" w:space="0"/>
              <w:bottom w:val="single" w:color="CCCCCC" w:sz="4" w:space="0"/>
              <w:right w:val="single" w:color="CCCCCC" w:sz="4" w:space="0"/>
            </w:tcBorders>
            <w:shd w:val="clear" w:color="auto" w:fill="E2EFDA"/>
            <w:tcMar>
              <w:top w:w="75" w:type="dxa"/>
              <w:left w:w="120" w:type="dxa"/>
              <w:bottom w:w="75" w:type="dxa"/>
              <w:right w:w="120" w:type="dxa"/>
            </w:tcMar>
            <w:vAlign w:val="center"/>
          </w:tcPr>
          <w:p w14:paraId="3C79A764">
            <w:pPr>
              <w:spacing w:before="55" w:after="55"/>
              <w:jc w:val="center"/>
            </w:pPr>
            <w:r>
              <w:rPr>
                <w:rFonts w:ascii="Arial" w:hAnsi="Arial" w:eastAsia="Arial" w:cs="Arial"/>
                <w:b/>
                <w:bCs/>
                <w:i w:val="0"/>
                <w:iCs w:val="0"/>
                <w:color w:val="217346"/>
                <w:sz w:val="17"/>
                <w:szCs w:val="17"/>
              </w:rPr>
              <w:t>67,375</w:t>
            </w:r>
          </w:p>
        </w:tc>
      </w:tr>
      <w:tr w14:paraId="4E72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shd w:val="clear" w:color="auto" w:fill="2E75B6"/>
            <w:tcMar>
              <w:top w:w="75" w:type="dxa"/>
              <w:left w:w="120" w:type="dxa"/>
              <w:bottom w:w="75" w:type="dxa"/>
              <w:right w:w="120" w:type="dxa"/>
            </w:tcMar>
            <w:vAlign w:val="center"/>
          </w:tcPr>
          <w:p w14:paraId="7C88DA49">
            <w:pPr>
              <w:spacing w:before="55" w:after="55"/>
              <w:jc w:val="center"/>
            </w:pPr>
            <w:r>
              <w:rPr>
                <w:rFonts w:ascii="Arial" w:hAnsi="Arial" w:eastAsia="Arial" w:cs="Arial"/>
                <w:b/>
                <w:bCs/>
                <w:i w:val="0"/>
                <w:iCs w:val="0"/>
                <w:color w:val="FFFFFF"/>
                <w:sz w:val="17"/>
                <w:szCs w:val="17"/>
              </w:rPr>
              <w:t>Unique Customers</w:t>
            </w:r>
          </w:p>
        </w:tc>
        <w:tc>
          <w:tcPr>
            <w:tcW w:w="2340" w:type="dxa"/>
            <w:tcBorders>
              <w:top w:val="single" w:color="CCCCCC" w:sz="4" w:space="0"/>
              <w:left w:val="single" w:color="CCCCCC" w:sz="4" w:space="0"/>
              <w:bottom w:val="single" w:color="CCCCCC" w:sz="4" w:space="0"/>
              <w:right w:val="single" w:color="CCCCCC" w:sz="4" w:space="0"/>
            </w:tcBorders>
            <w:shd w:val="clear" w:color="auto" w:fill="2E75B6"/>
            <w:tcMar>
              <w:top w:w="75" w:type="dxa"/>
              <w:left w:w="120" w:type="dxa"/>
              <w:bottom w:w="75" w:type="dxa"/>
              <w:right w:w="120" w:type="dxa"/>
            </w:tcMar>
            <w:vAlign w:val="center"/>
          </w:tcPr>
          <w:p w14:paraId="2650A572">
            <w:pPr>
              <w:spacing w:before="55" w:after="55"/>
              <w:jc w:val="center"/>
            </w:pPr>
            <w:r>
              <w:rPr>
                <w:rFonts w:ascii="Arial" w:hAnsi="Arial" w:eastAsia="Arial" w:cs="Arial"/>
                <w:b/>
                <w:bCs/>
                <w:i w:val="0"/>
                <w:iCs w:val="0"/>
                <w:color w:val="FFFFFF"/>
                <w:sz w:val="17"/>
                <w:szCs w:val="17"/>
              </w:rPr>
              <w:t>Avg Rev / Order</w:t>
            </w:r>
          </w:p>
        </w:tc>
        <w:tc>
          <w:tcPr>
            <w:tcW w:w="2340" w:type="dxa"/>
            <w:tcBorders>
              <w:top w:val="single" w:color="CCCCCC" w:sz="4" w:space="0"/>
              <w:left w:val="single" w:color="CCCCCC" w:sz="4" w:space="0"/>
              <w:bottom w:val="single" w:color="CCCCCC" w:sz="4" w:space="0"/>
              <w:right w:val="single" w:color="CCCCCC" w:sz="4" w:space="0"/>
            </w:tcBorders>
            <w:shd w:val="clear" w:color="auto" w:fill="2E75B6"/>
            <w:tcMar>
              <w:top w:w="75" w:type="dxa"/>
              <w:left w:w="120" w:type="dxa"/>
              <w:bottom w:w="75" w:type="dxa"/>
              <w:right w:w="120" w:type="dxa"/>
            </w:tcMar>
            <w:vAlign w:val="center"/>
          </w:tcPr>
          <w:p w14:paraId="4B5C6905">
            <w:pPr>
              <w:spacing w:before="55" w:after="55"/>
              <w:jc w:val="center"/>
            </w:pPr>
            <w:r>
              <w:rPr>
                <w:rFonts w:ascii="Arial" w:hAnsi="Arial" w:eastAsia="Arial" w:cs="Arial"/>
                <w:b/>
                <w:bCs/>
                <w:i w:val="0"/>
                <w:iCs w:val="0"/>
                <w:color w:val="FFFFFF"/>
                <w:sz w:val="17"/>
                <w:szCs w:val="17"/>
              </w:rPr>
              <w:t>Avg Review Score</w:t>
            </w:r>
          </w:p>
        </w:tc>
        <w:tc>
          <w:tcPr>
            <w:tcW w:w="2340" w:type="dxa"/>
            <w:tcBorders>
              <w:top w:val="single" w:color="CCCCCC" w:sz="4" w:space="0"/>
              <w:left w:val="single" w:color="CCCCCC" w:sz="4" w:space="0"/>
              <w:bottom w:val="single" w:color="CCCCCC" w:sz="4" w:space="0"/>
              <w:right w:val="single" w:color="CCCCCC" w:sz="4" w:space="0"/>
            </w:tcBorders>
            <w:shd w:val="clear" w:color="auto" w:fill="2E75B6"/>
            <w:tcMar>
              <w:top w:w="75" w:type="dxa"/>
              <w:left w:w="120" w:type="dxa"/>
              <w:bottom w:w="75" w:type="dxa"/>
              <w:right w:w="120" w:type="dxa"/>
            </w:tcMar>
            <w:vAlign w:val="center"/>
          </w:tcPr>
          <w:p w14:paraId="1F4DF31A">
            <w:pPr>
              <w:spacing w:before="55" w:after="55"/>
              <w:jc w:val="center"/>
            </w:pPr>
            <w:r>
              <w:rPr>
                <w:rFonts w:ascii="Arial" w:hAnsi="Arial" w:eastAsia="Arial" w:cs="Arial"/>
                <w:b/>
                <w:bCs/>
                <w:i w:val="0"/>
                <w:iCs w:val="0"/>
                <w:color w:val="FFFFFF"/>
                <w:sz w:val="17"/>
                <w:szCs w:val="17"/>
              </w:rPr>
              <w:t>States</w:t>
            </w:r>
          </w:p>
        </w:tc>
      </w:tr>
      <w:tr w14:paraId="106D8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shd w:val="clear" w:color="auto" w:fill="DEEAF1"/>
            <w:tcMar>
              <w:top w:w="75" w:type="dxa"/>
              <w:left w:w="120" w:type="dxa"/>
              <w:bottom w:w="75" w:type="dxa"/>
              <w:right w:w="120" w:type="dxa"/>
            </w:tcMar>
            <w:vAlign w:val="center"/>
          </w:tcPr>
          <w:p w14:paraId="3F8D67FE">
            <w:pPr>
              <w:spacing w:before="55" w:after="55"/>
              <w:jc w:val="center"/>
            </w:pPr>
            <w:r>
              <w:rPr>
                <w:rFonts w:ascii="Arial" w:hAnsi="Arial" w:eastAsia="Arial" w:cs="Arial"/>
                <w:b/>
                <w:bCs/>
                <w:i w:val="0"/>
                <w:iCs w:val="0"/>
                <w:color w:val="1F3864"/>
                <w:sz w:val="17"/>
                <w:szCs w:val="17"/>
              </w:rPr>
              <w:t>18,479</w:t>
            </w:r>
          </w:p>
        </w:tc>
        <w:tc>
          <w:tcPr>
            <w:tcW w:w="2340" w:type="dxa"/>
            <w:tcBorders>
              <w:top w:val="single" w:color="CCCCCC" w:sz="4" w:space="0"/>
              <w:left w:val="single" w:color="CCCCCC" w:sz="4" w:space="0"/>
              <w:bottom w:val="single" w:color="CCCCCC" w:sz="4" w:space="0"/>
              <w:right w:val="single" w:color="CCCCCC" w:sz="4" w:space="0"/>
            </w:tcBorders>
            <w:shd w:val="clear" w:color="auto" w:fill="DEEAF1"/>
            <w:tcMar>
              <w:top w:w="75" w:type="dxa"/>
              <w:left w:w="120" w:type="dxa"/>
              <w:bottom w:w="75" w:type="dxa"/>
              <w:right w:w="120" w:type="dxa"/>
            </w:tcMar>
            <w:vAlign w:val="center"/>
          </w:tcPr>
          <w:p w14:paraId="2AB6D17B">
            <w:pPr>
              <w:spacing w:before="55" w:after="55"/>
              <w:jc w:val="center"/>
            </w:pPr>
            <w:r>
              <w:rPr>
                <w:rFonts w:ascii="Arial" w:hAnsi="Arial" w:eastAsia="Arial" w:cs="Arial"/>
                <w:b/>
                <w:bCs/>
                <w:i w:val="0"/>
                <w:iCs w:val="0"/>
                <w:color w:val="1F3864"/>
                <w:sz w:val="17"/>
                <w:szCs w:val="17"/>
              </w:rPr>
              <w:t>$10.52</w:t>
            </w:r>
          </w:p>
        </w:tc>
        <w:tc>
          <w:tcPr>
            <w:tcW w:w="2340" w:type="dxa"/>
            <w:tcBorders>
              <w:top w:val="single" w:color="CCCCCC" w:sz="4" w:space="0"/>
              <w:left w:val="single" w:color="CCCCCC" w:sz="4" w:space="0"/>
              <w:bottom w:val="single" w:color="CCCCCC" w:sz="4" w:space="0"/>
              <w:right w:val="single" w:color="CCCCCC" w:sz="4" w:space="0"/>
            </w:tcBorders>
            <w:shd w:val="clear" w:color="auto" w:fill="DEEAF1"/>
            <w:tcMar>
              <w:top w:w="75" w:type="dxa"/>
              <w:left w:w="120" w:type="dxa"/>
              <w:bottom w:w="75" w:type="dxa"/>
              <w:right w:w="120" w:type="dxa"/>
            </w:tcMar>
            <w:vAlign w:val="center"/>
          </w:tcPr>
          <w:p w14:paraId="640F85F6">
            <w:pPr>
              <w:spacing w:before="55" w:after="55"/>
              <w:jc w:val="center"/>
            </w:pPr>
            <w:r>
              <w:rPr>
                <w:rFonts w:ascii="Arial" w:hAnsi="Arial" w:eastAsia="Arial" w:cs="Arial"/>
                <w:b/>
                <w:bCs/>
                <w:i w:val="0"/>
                <w:iCs w:val="0"/>
                <w:color w:val="1F3864"/>
                <w:sz w:val="17"/>
                <w:szCs w:val="17"/>
              </w:rPr>
              <w:t>3.59 / 5</w:t>
            </w:r>
          </w:p>
        </w:tc>
        <w:tc>
          <w:tcPr>
            <w:tcW w:w="2340" w:type="dxa"/>
            <w:tcBorders>
              <w:top w:val="single" w:color="CCCCCC" w:sz="4" w:space="0"/>
              <w:left w:val="single" w:color="CCCCCC" w:sz="4" w:space="0"/>
              <w:bottom w:val="single" w:color="CCCCCC" w:sz="4" w:space="0"/>
              <w:right w:val="single" w:color="CCCCCC" w:sz="4" w:space="0"/>
            </w:tcBorders>
            <w:shd w:val="clear" w:color="auto" w:fill="DEEAF1"/>
            <w:tcMar>
              <w:top w:w="75" w:type="dxa"/>
              <w:left w:w="120" w:type="dxa"/>
              <w:bottom w:w="75" w:type="dxa"/>
              <w:right w:w="120" w:type="dxa"/>
            </w:tcMar>
            <w:vAlign w:val="center"/>
          </w:tcPr>
          <w:p w14:paraId="049217DD">
            <w:pPr>
              <w:spacing w:before="55" w:after="55"/>
              <w:jc w:val="center"/>
            </w:pPr>
            <w:r>
              <w:rPr>
                <w:rFonts w:ascii="Arial" w:hAnsi="Arial" w:eastAsia="Arial" w:cs="Arial"/>
                <w:b/>
                <w:bCs/>
                <w:i w:val="0"/>
                <w:iCs w:val="0"/>
                <w:color w:val="1F3864"/>
                <w:sz w:val="17"/>
                <w:szCs w:val="17"/>
              </w:rPr>
              <w:t>5</w:t>
            </w:r>
          </w:p>
        </w:tc>
      </w:tr>
    </w:tbl>
    <w:p w14:paraId="216A76A3">
      <w:pPr>
        <w:spacing w:before="20" w:after="20"/>
      </w:pPr>
    </w:p>
    <w:p w14:paraId="102A94C6">
      <w:pPr>
        <w:pStyle w:val="3"/>
        <w:pBdr>
          <w:bottom w:val="single" w:color="2E75B6" w:sz="4" w:space="2"/>
        </w:pBdr>
        <w:spacing w:before="200" w:after="80"/>
      </w:pPr>
      <w:r>
        <w:rPr>
          <w:rFonts w:ascii="Arial" w:hAnsi="Arial" w:eastAsia="Arial" w:cs="Arial"/>
          <w:b/>
          <w:bCs/>
          <w:color w:val="1F3864"/>
          <w:sz w:val="26"/>
          <w:szCs w:val="26"/>
        </w:rPr>
        <w:t>5.1  Revenue by Year (SUMIF + YoY Growth Formula)</w:t>
      </w:r>
    </w:p>
    <w:tbl>
      <w:tblPr>
        <w:tblStyle w:val="9"/>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46"/>
        <w:gridCol w:w="1794"/>
        <w:gridCol w:w="1634"/>
        <w:gridCol w:w="1604"/>
        <w:gridCol w:w="1643"/>
        <w:gridCol w:w="1397"/>
      </w:tblGrid>
      <w:tr w14:paraId="61459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46"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182A9921">
            <w:pPr>
              <w:spacing w:before="55" w:after="55"/>
              <w:jc w:val="center"/>
            </w:pPr>
            <w:r>
              <w:rPr>
                <w:rFonts w:ascii="Arial" w:hAnsi="Arial" w:eastAsia="Arial" w:cs="Arial"/>
                <w:b/>
                <w:bCs/>
                <w:i w:val="0"/>
                <w:iCs w:val="0"/>
                <w:color w:val="FFFFFF"/>
                <w:sz w:val="17"/>
                <w:szCs w:val="17"/>
              </w:rPr>
              <w:t>Year</w:t>
            </w:r>
          </w:p>
        </w:tc>
        <w:tc>
          <w:tcPr>
            <w:tcW w:w="1794"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15F90ACE">
            <w:pPr>
              <w:spacing w:before="55" w:after="55"/>
              <w:jc w:val="center"/>
            </w:pPr>
            <w:r>
              <w:rPr>
                <w:rFonts w:ascii="Arial" w:hAnsi="Arial" w:eastAsia="Arial" w:cs="Arial"/>
                <w:b/>
                <w:bCs/>
                <w:i w:val="0"/>
                <w:iCs w:val="0"/>
                <w:color w:val="FFFFFF"/>
                <w:sz w:val="17"/>
                <w:szCs w:val="17"/>
              </w:rPr>
              <w:t>Revenue ($)</w:t>
            </w:r>
          </w:p>
        </w:tc>
        <w:tc>
          <w:tcPr>
            <w:tcW w:w="1634"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2B758699">
            <w:pPr>
              <w:spacing w:before="55" w:after="55"/>
              <w:jc w:val="center"/>
            </w:pPr>
            <w:r>
              <w:rPr>
                <w:rFonts w:ascii="Arial" w:hAnsi="Arial" w:eastAsia="Arial" w:cs="Arial"/>
                <w:b/>
                <w:bCs/>
                <w:i w:val="0"/>
                <w:iCs w:val="0"/>
                <w:color w:val="FFFFFF"/>
                <w:sz w:val="17"/>
                <w:szCs w:val="17"/>
              </w:rPr>
              <w:t>Profit ($)</w:t>
            </w:r>
          </w:p>
        </w:tc>
        <w:tc>
          <w:tcPr>
            <w:tcW w:w="1604"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03D8C6A3">
            <w:pPr>
              <w:spacing w:before="55" w:after="55"/>
              <w:jc w:val="center"/>
            </w:pPr>
            <w:r>
              <w:rPr>
                <w:rFonts w:ascii="Arial" w:hAnsi="Arial" w:eastAsia="Arial" w:cs="Arial"/>
                <w:b/>
                <w:bCs/>
                <w:i w:val="0"/>
                <w:iCs w:val="0"/>
                <w:color w:val="FFFFFF"/>
                <w:sz w:val="17"/>
                <w:szCs w:val="17"/>
              </w:rPr>
              <w:t>Orders</w:t>
            </w:r>
          </w:p>
        </w:tc>
        <w:tc>
          <w:tcPr>
            <w:tcW w:w="1643"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749EE149">
            <w:pPr>
              <w:spacing w:before="55" w:after="55"/>
              <w:jc w:val="center"/>
            </w:pPr>
            <w:r>
              <w:rPr>
                <w:rFonts w:ascii="Arial" w:hAnsi="Arial" w:eastAsia="Arial" w:cs="Arial"/>
                <w:b/>
                <w:bCs/>
                <w:i w:val="0"/>
                <w:iCs w:val="0"/>
                <w:color w:val="FFFFFF"/>
                <w:sz w:val="17"/>
                <w:szCs w:val="17"/>
              </w:rPr>
              <w:t>Margin %</w:t>
            </w:r>
          </w:p>
        </w:tc>
        <w:tc>
          <w:tcPr>
            <w:tcW w:w="1397"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7E835E9D">
            <w:pPr>
              <w:spacing w:before="55" w:after="55"/>
              <w:jc w:val="center"/>
            </w:pPr>
            <w:r>
              <w:rPr>
                <w:rFonts w:ascii="Arial" w:hAnsi="Arial" w:eastAsia="Arial" w:cs="Arial"/>
                <w:b/>
                <w:bCs/>
                <w:i w:val="0"/>
                <w:iCs w:val="0"/>
                <w:color w:val="FFFFFF"/>
                <w:sz w:val="17"/>
                <w:szCs w:val="17"/>
              </w:rPr>
              <w:t>YoY Growth</w:t>
            </w:r>
          </w:p>
        </w:tc>
      </w:tr>
      <w:tr w14:paraId="6A018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7" w:hRule="atLeast"/>
          <w:jc w:val="center"/>
        </w:trPr>
        <w:tc>
          <w:tcPr>
            <w:tcW w:w="1246"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771A3725">
            <w:pPr>
              <w:spacing w:before="55" w:after="55"/>
              <w:jc w:val="center"/>
            </w:pPr>
            <w:r>
              <w:rPr>
                <w:rFonts w:ascii="Arial" w:hAnsi="Arial" w:eastAsia="Arial" w:cs="Arial"/>
                <w:b/>
                <w:bCs/>
                <w:i w:val="0"/>
                <w:iCs w:val="0"/>
                <w:color w:val="1F3864"/>
                <w:sz w:val="17"/>
                <w:szCs w:val="17"/>
              </w:rPr>
              <w:t>2013</w:t>
            </w:r>
          </w:p>
        </w:tc>
        <w:tc>
          <w:tcPr>
            <w:tcW w:w="1794"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9DF3D16">
            <w:pPr>
              <w:spacing w:before="55" w:after="55"/>
              <w:jc w:val="center"/>
            </w:pPr>
            <w:r>
              <w:rPr>
                <w:rFonts w:ascii="Arial" w:hAnsi="Arial" w:eastAsia="Arial" w:cs="Arial"/>
                <w:b w:val="0"/>
                <w:bCs w:val="0"/>
                <w:i w:val="0"/>
                <w:iCs w:val="0"/>
                <w:color w:val="1F1F1F"/>
                <w:sz w:val="17"/>
                <w:szCs w:val="17"/>
              </w:rPr>
              <w:t>$161,416</w:t>
            </w:r>
          </w:p>
        </w:tc>
        <w:tc>
          <w:tcPr>
            <w:tcW w:w="1634"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AD822CB">
            <w:pPr>
              <w:spacing w:before="55" w:after="55"/>
              <w:jc w:val="center"/>
            </w:pPr>
            <w:r>
              <w:rPr>
                <w:rFonts w:ascii="Arial" w:hAnsi="Arial" w:eastAsia="Arial" w:cs="Arial"/>
                <w:b w:val="0"/>
                <w:bCs w:val="0"/>
                <w:i w:val="0"/>
                <w:iCs w:val="0"/>
                <w:color w:val="1F1F1F"/>
                <w:sz w:val="17"/>
                <w:szCs w:val="17"/>
              </w:rPr>
              <w:t>$121,240</w:t>
            </w:r>
          </w:p>
        </w:tc>
        <w:tc>
          <w:tcPr>
            <w:tcW w:w="1604"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340C76FB">
            <w:pPr>
              <w:spacing w:before="55" w:after="55"/>
              <w:jc w:val="center"/>
            </w:pPr>
            <w:r>
              <w:rPr>
                <w:rFonts w:ascii="Arial" w:hAnsi="Arial" w:eastAsia="Arial" w:cs="Arial"/>
                <w:b w:val="0"/>
                <w:bCs w:val="0"/>
                <w:i w:val="0"/>
                <w:iCs w:val="0"/>
                <w:color w:val="1F1F1F"/>
                <w:sz w:val="17"/>
                <w:szCs w:val="17"/>
              </w:rPr>
              <w:t>15,556</w:t>
            </w:r>
          </w:p>
        </w:tc>
        <w:tc>
          <w:tcPr>
            <w:tcW w:w="1643"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6F83C1C7">
            <w:pPr>
              <w:spacing w:before="55" w:after="55"/>
              <w:jc w:val="center"/>
            </w:pPr>
            <w:r>
              <w:rPr>
                <w:rFonts w:ascii="Arial" w:hAnsi="Arial" w:eastAsia="Arial" w:cs="Arial"/>
                <w:b w:val="0"/>
                <w:bCs w:val="0"/>
                <w:i w:val="0"/>
                <w:iCs w:val="0"/>
                <w:color w:val="1F1F1F"/>
                <w:sz w:val="17"/>
                <w:szCs w:val="17"/>
              </w:rPr>
              <w:t>75.1%</w:t>
            </w:r>
          </w:p>
        </w:tc>
        <w:tc>
          <w:tcPr>
            <w:tcW w:w="1397"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42D8F066">
            <w:pPr>
              <w:spacing w:before="55" w:after="55"/>
              <w:jc w:val="center"/>
            </w:pPr>
            <w:r>
              <w:rPr>
                <w:rFonts w:ascii="Arial" w:hAnsi="Arial" w:eastAsia="Arial" w:cs="Arial"/>
                <w:b/>
                <w:bCs/>
                <w:i w:val="0"/>
                <w:iCs w:val="0"/>
                <w:color w:val="595959"/>
                <w:sz w:val="17"/>
                <w:szCs w:val="17"/>
              </w:rPr>
              <w:t>Baseline</w:t>
            </w:r>
          </w:p>
        </w:tc>
      </w:tr>
      <w:tr w14:paraId="213F3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3" w:hRule="atLeast"/>
          <w:jc w:val="center"/>
        </w:trPr>
        <w:tc>
          <w:tcPr>
            <w:tcW w:w="1246"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522B1B0E">
            <w:pPr>
              <w:spacing w:before="55" w:after="55"/>
              <w:jc w:val="center"/>
            </w:pPr>
            <w:r>
              <w:rPr>
                <w:rFonts w:ascii="Arial" w:hAnsi="Arial" w:eastAsia="Arial" w:cs="Arial"/>
                <w:b/>
                <w:bCs/>
                <w:i w:val="0"/>
                <w:iCs w:val="0"/>
                <w:color w:val="1F3864"/>
                <w:sz w:val="17"/>
                <w:szCs w:val="17"/>
              </w:rPr>
              <w:t>2014</w:t>
            </w:r>
          </w:p>
        </w:tc>
        <w:tc>
          <w:tcPr>
            <w:tcW w:w="1794"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67725F9F">
            <w:pPr>
              <w:spacing w:before="55" w:after="55"/>
              <w:jc w:val="center"/>
            </w:pPr>
            <w:r>
              <w:rPr>
                <w:rFonts w:ascii="Arial" w:hAnsi="Arial" w:eastAsia="Arial" w:cs="Arial"/>
                <w:b w:val="0"/>
                <w:bCs w:val="0"/>
                <w:i w:val="0"/>
                <w:iCs w:val="0"/>
                <w:color w:val="1F1F1F"/>
                <w:sz w:val="17"/>
                <w:szCs w:val="17"/>
              </w:rPr>
              <w:t>$177,883</w:t>
            </w:r>
          </w:p>
        </w:tc>
        <w:tc>
          <w:tcPr>
            <w:tcW w:w="1634"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12CA8B0B">
            <w:pPr>
              <w:spacing w:before="55" w:after="55"/>
              <w:jc w:val="center"/>
            </w:pPr>
            <w:r>
              <w:rPr>
                <w:rFonts w:ascii="Arial" w:hAnsi="Arial" w:eastAsia="Arial" w:cs="Arial"/>
                <w:b w:val="0"/>
                <w:bCs w:val="0"/>
                <w:i w:val="0"/>
                <w:iCs w:val="0"/>
                <w:color w:val="1F1F1F"/>
                <w:sz w:val="17"/>
                <w:szCs w:val="17"/>
              </w:rPr>
              <w:t>$133,206</w:t>
            </w:r>
          </w:p>
        </w:tc>
        <w:tc>
          <w:tcPr>
            <w:tcW w:w="1604"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5B0581CE">
            <w:pPr>
              <w:spacing w:before="55" w:after="55"/>
              <w:jc w:val="center"/>
            </w:pPr>
            <w:r>
              <w:rPr>
                <w:rFonts w:ascii="Arial" w:hAnsi="Arial" w:eastAsia="Arial" w:cs="Arial"/>
                <w:b w:val="0"/>
                <w:bCs w:val="0"/>
                <w:i w:val="0"/>
                <w:iCs w:val="0"/>
                <w:color w:val="1F1F1F"/>
                <w:sz w:val="17"/>
                <w:szCs w:val="17"/>
              </w:rPr>
              <w:t>18,303</w:t>
            </w:r>
          </w:p>
        </w:tc>
        <w:tc>
          <w:tcPr>
            <w:tcW w:w="1643"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4F441780">
            <w:pPr>
              <w:spacing w:before="55" w:after="55"/>
              <w:jc w:val="center"/>
            </w:pPr>
            <w:r>
              <w:rPr>
                <w:rFonts w:ascii="Arial" w:hAnsi="Arial" w:eastAsia="Arial" w:cs="Arial"/>
                <w:b w:val="0"/>
                <w:bCs w:val="0"/>
                <w:i w:val="0"/>
                <w:iCs w:val="0"/>
                <w:color w:val="1F1F1F"/>
                <w:sz w:val="17"/>
                <w:szCs w:val="17"/>
              </w:rPr>
              <w:t>74.9%</w:t>
            </w:r>
          </w:p>
        </w:tc>
        <w:tc>
          <w:tcPr>
            <w:tcW w:w="1397" w:type="dxa"/>
            <w:tcBorders>
              <w:top w:val="single" w:color="CCCCCC" w:sz="4" w:space="0"/>
              <w:left w:val="single" w:color="CCCCCC" w:sz="4" w:space="0"/>
              <w:bottom w:val="single" w:color="CCCCCC" w:sz="4" w:space="0"/>
              <w:right w:val="single" w:color="CCCCCC" w:sz="4" w:space="0"/>
            </w:tcBorders>
            <w:shd w:val="clear" w:color="auto" w:fill="E2EFDA"/>
            <w:tcMar>
              <w:top w:w="75" w:type="dxa"/>
              <w:left w:w="120" w:type="dxa"/>
              <w:bottom w:w="75" w:type="dxa"/>
              <w:right w:w="120" w:type="dxa"/>
            </w:tcMar>
            <w:vAlign w:val="center"/>
          </w:tcPr>
          <w:p w14:paraId="4E9047D1">
            <w:pPr>
              <w:spacing w:before="55" w:after="55"/>
              <w:jc w:val="center"/>
            </w:pPr>
            <w:r>
              <w:rPr>
                <w:rFonts w:ascii="Arial" w:hAnsi="Arial" w:eastAsia="Arial" w:cs="Arial"/>
                <w:b/>
                <w:bCs/>
                <w:i w:val="0"/>
                <w:iCs w:val="0"/>
                <w:color w:val="217346"/>
                <w:sz w:val="17"/>
                <w:szCs w:val="17"/>
              </w:rPr>
              <w:t>+10.2%</w:t>
            </w:r>
          </w:p>
        </w:tc>
      </w:tr>
      <w:tr w14:paraId="5D97A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46"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7985B66C">
            <w:pPr>
              <w:spacing w:before="55" w:after="55"/>
              <w:jc w:val="center"/>
            </w:pPr>
            <w:r>
              <w:rPr>
                <w:rFonts w:ascii="Arial" w:hAnsi="Arial" w:eastAsia="Arial" w:cs="Arial"/>
                <w:b/>
                <w:bCs/>
                <w:i w:val="0"/>
                <w:iCs w:val="0"/>
                <w:color w:val="1F3864"/>
                <w:sz w:val="17"/>
                <w:szCs w:val="17"/>
              </w:rPr>
              <w:t>2015</w:t>
            </w:r>
          </w:p>
        </w:tc>
        <w:tc>
          <w:tcPr>
            <w:tcW w:w="1794"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1D8C9969">
            <w:pPr>
              <w:spacing w:before="55" w:after="55"/>
              <w:jc w:val="center"/>
            </w:pPr>
            <w:r>
              <w:rPr>
                <w:rFonts w:ascii="Arial" w:hAnsi="Arial" w:eastAsia="Arial" w:cs="Arial"/>
                <w:b w:val="0"/>
                <w:bCs w:val="0"/>
                <w:i w:val="0"/>
                <w:iCs w:val="0"/>
                <w:color w:val="1F1F1F"/>
                <w:sz w:val="17"/>
                <w:szCs w:val="17"/>
              </w:rPr>
              <w:t>$173,038</w:t>
            </w:r>
          </w:p>
        </w:tc>
        <w:tc>
          <w:tcPr>
            <w:tcW w:w="1634"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2DA29864">
            <w:pPr>
              <w:spacing w:before="55" w:after="55"/>
              <w:jc w:val="center"/>
            </w:pPr>
            <w:r>
              <w:rPr>
                <w:rFonts w:ascii="Arial" w:hAnsi="Arial" w:eastAsia="Arial" w:cs="Arial"/>
                <w:b w:val="0"/>
                <w:bCs w:val="0"/>
                <w:i w:val="0"/>
                <w:iCs w:val="0"/>
                <w:color w:val="1F1F1F"/>
                <w:sz w:val="17"/>
                <w:szCs w:val="17"/>
              </w:rPr>
              <w:t>$131,668</w:t>
            </w:r>
          </w:p>
        </w:tc>
        <w:tc>
          <w:tcPr>
            <w:tcW w:w="1604"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29C08FC5">
            <w:pPr>
              <w:spacing w:before="55" w:after="55"/>
              <w:jc w:val="center"/>
            </w:pPr>
            <w:r>
              <w:rPr>
                <w:rFonts w:ascii="Arial" w:hAnsi="Arial" w:eastAsia="Arial" w:cs="Arial"/>
                <w:b w:val="0"/>
                <w:bCs w:val="0"/>
                <w:i w:val="0"/>
                <w:iCs w:val="0"/>
                <w:color w:val="1F1F1F"/>
                <w:sz w:val="17"/>
                <w:szCs w:val="17"/>
              </w:rPr>
              <w:t>15,299</w:t>
            </w:r>
          </w:p>
        </w:tc>
        <w:tc>
          <w:tcPr>
            <w:tcW w:w="1643"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22F4F924">
            <w:pPr>
              <w:spacing w:before="55" w:after="55"/>
              <w:jc w:val="center"/>
            </w:pPr>
            <w:r>
              <w:rPr>
                <w:rFonts w:ascii="Arial" w:hAnsi="Arial" w:eastAsia="Arial" w:cs="Arial"/>
                <w:b w:val="0"/>
                <w:bCs w:val="0"/>
                <w:i w:val="0"/>
                <w:iCs w:val="0"/>
                <w:color w:val="1F1F1F"/>
                <w:sz w:val="17"/>
                <w:szCs w:val="17"/>
              </w:rPr>
              <w:t>76.1%</w:t>
            </w:r>
          </w:p>
        </w:tc>
        <w:tc>
          <w:tcPr>
            <w:tcW w:w="1397" w:type="dxa"/>
            <w:tcBorders>
              <w:top w:val="single" w:color="CCCCCC" w:sz="4" w:space="0"/>
              <w:left w:val="single" w:color="CCCCCC" w:sz="4" w:space="0"/>
              <w:bottom w:val="single" w:color="CCCCCC" w:sz="4" w:space="0"/>
              <w:right w:val="single" w:color="CCCCCC" w:sz="4" w:space="0"/>
            </w:tcBorders>
            <w:shd w:val="clear" w:color="auto" w:fill="FCE4D6"/>
            <w:tcMar>
              <w:top w:w="75" w:type="dxa"/>
              <w:left w:w="120" w:type="dxa"/>
              <w:bottom w:w="75" w:type="dxa"/>
              <w:right w:w="120" w:type="dxa"/>
            </w:tcMar>
            <w:vAlign w:val="center"/>
          </w:tcPr>
          <w:p w14:paraId="28505E24">
            <w:pPr>
              <w:spacing w:before="55" w:after="55"/>
              <w:jc w:val="center"/>
            </w:pPr>
            <w:r>
              <w:rPr>
                <w:rFonts w:ascii="Arial" w:hAnsi="Arial" w:eastAsia="Arial" w:cs="Arial"/>
                <w:b/>
                <w:bCs/>
                <w:i w:val="0"/>
                <w:iCs w:val="0"/>
                <w:color w:val="C00000"/>
                <w:sz w:val="17"/>
                <w:szCs w:val="17"/>
              </w:rPr>
              <w:t>−2.7%</w:t>
            </w:r>
          </w:p>
        </w:tc>
      </w:tr>
      <w:tr w14:paraId="6A379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46"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34210BB9">
            <w:pPr>
              <w:spacing w:before="55" w:after="55"/>
              <w:jc w:val="center"/>
            </w:pPr>
            <w:r>
              <w:rPr>
                <w:rFonts w:ascii="Arial" w:hAnsi="Arial" w:eastAsia="Arial" w:cs="Arial"/>
                <w:b/>
                <w:bCs/>
                <w:i w:val="0"/>
                <w:iCs w:val="0"/>
                <w:color w:val="1F3864"/>
                <w:sz w:val="17"/>
                <w:szCs w:val="17"/>
              </w:rPr>
              <w:t>2016</w:t>
            </w:r>
          </w:p>
        </w:tc>
        <w:tc>
          <w:tcPr>
            <w:tcW w:w="1794"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68761497">
            <w:pPr>
              <w:spacing w:before="55" w:after="55"/>
              <w:jc w:val="center"/>
            </w:pPr>
            <w:r>
              <w:rPr>
                <w:rFonts w:ascii="Arial" w:hAnsi="Arial" w:eastAsia="Arial" w:cs="Arial"/>
                <w:b w:val="0"/>
                <w:bCs w:val="0"/>
                <w:i w:val="0"/>
                <w:iCs w:val="0"/>
                <w:color w:val="1F1F1F"/>
                <w:sz w:val="17"/>
                <w:szCs w:val="17"/>
              </w:rPr>
              <w:t>$196,261</w:t>
            </w:r>
          </w:p>
        </w:tc>
        <w:tc>
          <w:tcPr>
            <w:tcW w:w="1634"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7027BB0A">
            <w:pPr>
              <w:spacing w:before="55" w:after="55"/>
              <w:jc w:val="center"/>
            </w:pPr>
            <w:r>
              <w:rPr>
                <w:rFonts w:ascii="Arial" w:hAnsi="Arial" w:eastAsia="Arial" w:cs="Arial"/>
                <w:b w:val="0"/>
                <w:bCs w:val="0"/>
                <w:i w:val="0"/>
                <w:iCs w:val="0"/>
                <w:color w:val="1F1F1F"/>
                <w:sz w:val="17"/>
                <w:szCs w:val="17"/>
              </w:rPr>
              <w:t>$148,646</w:t>
            </w:r>
          </w:p>
        </w:tc>
        <w:tc>
          <w:tcPr>
            <w:tcW w:w="1604"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5F2776E2">
            <w:pPr>
              <w:spacing w:before="55" w:after="55"/>
              <w:jc w:val="center"/>
            </w:pPr>
            <w:r>
              <w:rPr>
                <w:rFonts w:ascii="Arial" w:hAnsi="Arial" w:eastAsia="Arial" w:cs="Arial"/>
                <w:b w:val="0"/>
                <w:bCs w:val="0"/>
                <w:i w:val="0"/>
                <w:iCs w:val="0"/>
                <w:color w:val="1F1F1F"/>
                <w:sz w:val="17"/>
                <w:szCs w:val="17"/>
              </w:rPr>
              <w:t>18,217</w:t>
            </w:r>
          </w:p>
        </w:tc>
        <w:tc>
          <w:tcPr>
            <w:tcW w:w="1643"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319C8016">
            <w:pPr>
              <w:spacing w:before="55" w:after="55"/>
              <w:jc w:val="center"/>
            </w:pPr>
            <w:r>
              <w:rPr>
                <w:rFonts w:ascii="Arial" w:hAnsi="Arial" w:eastAsia="Arial" w:cs="Arial"/>
                <w:b w:val="0"/>
                <w:bCs w:val="0"/>
                <w:i w:val="0"/>
                <w:iCs w:val="0"/>
                <w:color w:val="1F1F1F"/>
                <w:sz w:val="17"/>
                <w:szCs w:val="17"/>
              </w:rPr>
              <w:t>75.7%</w:t>
            </w:r>
          </w:p>
        </w:tc>
        <w:tc>
          <w:tcPr>
            <w:tcW w:w="1397" w:type="dxa"/>
            <w:tcBorders>
              <w:top w:val="single" w:color="CCCCCC" w:sz="4" w:space="0"/>
              <w:left w:val="single" w:color="CCCCCC" w:sz="4" w:space="0"/>
              <w:bottom w:val="single" w:color="CCCCCC" w:sz="4" w:space="0"/>
              <w:right w:val="single" w:color="CCCCCC" w:sz="4" w:space="0"/>
            </w:tcBorders>
            <w:shd w:val="clear" w:color="auto" w:fill="E2EFDA"/>
            <w:tcMar>
              <w:top w:w="75" w:type="dxa"/>
              <w:left w:w="120" w:type="dxa"/>
              <w:bottom w:w="75" w:type="dxa"/>
              <w:right w:w="120" w:type="dxa"/>
            </w:tcMar>
            <w:vAlign w:val="center"/>
          </w:tcPr>
          <w:p w14:paraId="261D6A46">
            <w:pPr>
              <w:spacing w:before="55" w:after="55"/>
              <w:jc w:val="center"/>
            </w:pPr>
            <w:r>
              <w:rPr>
                <w:rFonts w:ascii="Arial" w:hAnsi="Arial" w:eastAsia="Arial" w:cs="Arial"/>
                <w:b/>
                <w:bCs/>
                <w:i w:val="0"/>
                <w:iCs w:val="0"/>
                <w:color w:val="217346"/>
                <w:sz w:val="17"/>
                <w:szCs w:val="17"/>
              </w:rPr>
              <w:t>+13.4%</w:t>
            </w:r>
          </w:p>
        </w:tc>
      </w:tr>
    </w:tbl>
    <w:p w14:paraId="1F280FF4">
      <w:pPr>
        <w:spacing w:before="20" w:after="20"/>
      </w:pPr>
    </w:p>
    <w:p w14:paraId="30CE5B72">
      <w:pPr>
        <w:pStyle w:val="3"/>
        <w:pBdr>
          <w:bottom w:val="single" w:color="2E75B6" w:sz="4" w:space="2"/>
        </w:pBdr>
        <w:spacing w:before="200" w:after="80"/>
      </w:pPr>
      <w:r>
        <w:rPr>
          <w:rFonts w:ascii="Arial" w:hAnsi="Arial" w:eastAsia="Arial" w:cs="Arial"/>
          <w:b/>
          <w:bCs/>
          <w:color w:val="1F3864"/>
          <w:sz w:val="26"/>
          <w:szCs w:val="26"/>
        </w:rPr>
        <w:t>5.2  Revenue by State (SUMIF + AVERAGEIF)</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37"/>
        <w:gridCol w:w="1719"/>
        <w:gridCol w:w="1719"/>
        <w:gridCol w:w="1524"/>
        <w:gridCol w:w="1362"/>
        <w:gridCol w:w="1299"/>
      </w:tblGrid>
      <w:tr w14:paraId="1918D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7ACFCFC9">
            <w:pPr>
              <w:spacing w:before="55" w:after="55"/>
              <w:jc w:val="center"/>
            </w:pPr>
            <w:r>
              <w:rPr>
                <w:rFonts w:ascii="Arial" w:hAnsi="Arial" w:eastAsia="Arial" w:cs="Arial"/>
                <w:b/>
                <w:bCs/>
                <w:i w:val="0"/>
                <w:iCs w:val="0"/>
                <w:color w:val="FFFFFF"/>
                <w:sz w:val="17"/>
                <w:szCs w:val="17"/>
              </w:rPr>
              <w:t>State</w:t>
            </w:r>
          </w:p>
        </w:tc>
        <w:tc>
          <w:tcPr>
            <w:tcW w:w="180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73BEC95D">
            <w:pPr>
              <w:spacing w:before="55" w:after="55"/>
              <w:jc w:val="center"/>
            </w:pPr>
            <w:r>
              <w:rPr>
                <w:rFonts w:ascii="Arial" w:hAnsi="Arial" w:eastAsia="Arial" w:cs="Arial"/>
                <w:b/>
                <w:bCs/>
                <w:i w:val="0"/>
                <w:iCs w:val="0"/>
                <w:color w:val="FFFFFF"/>
                <w:sz w:val="17"/>
                <w:szCs w:val="17"/>
              </w:rPr>
              <w:t>Revenue ($)</w:t>
            </w:r>
          </w:p>
        </w:tc>
        <w:tc>
          <w:tcPr>
            <w:tcW w:w="180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6940865F">
            <w:pPr>
              <w:spacing w:before="55" w:after="55"/>
              <w:jc w:val="center"/>
            </w:pPr>
            <w:r>
              <w:rPr>
                <w:rFonts w:ascii="Arial" w:hAnsi="Arial" w:eastAsia="Arial" w:cs="Arial"/>
                <w:b/>
                <w:bCs/>
                <w:i w:val="0"/>
                <w:iCs w:val="0"/>
                <w:color w:val="FFFFFF"/>
                <w:sz w:val="17"/>
                <w:szCs w:val="17"/>
              </w:rPr>
              <w:t>Profit ($)</w:t>
            </w:r>
          </w:p>
        </w:tc>
        <w:tc>
          <w:tcPr>
            <w:tcW w:w="160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494250BF">
            <w:pPr>
              <w:spacing w:before="55" w:after="55"/>
              <w:jc w:val="center"/>
            </w:pPr>
            <w:r>
              <w:rPr>
                <w:rFonts w:ascii="Arial" w:hAnsi="Arial" w:eastAsia="Arial" w:cs="Arial"/>
                <w:b/>
                <w:bCs/>
                <w:i w:val="0"/>
                <w:iCs w:val="0"/>
                <w:color w:val="FFFFFF"/>
                <w:sz w:val="17"/>
                <w:szCs w:val="17"/>
              </w:rPr>
              <w:t>Orders</w:t>
            </w:r>
          </w:p>
        </w:tc>
        <w:tc>
          <w:tcPr>
            <w:tcW w:w="140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2D163FD5">
            <w:pPr>
              <w:spacing w:before="55" w:after="55"/>
              <w:jc w:val="center"/>
            </w:pPr>
            <w:r>
              <w:rPr>
                <w:rFonts w:ascii="Arial" w:hAnsi="Arial" w:eastAsia="Arial" w:cs="Arial"/>
                <w:b/>
                <w:bCs/>
                <w:i w:val="0"/>
                <w:iCs w:val="0"/>
                <w:color w:val="FFFFFF"/>
                <w:sz w:val="17"/>
                <w:szCs w:val="17"/>
              </w:rPr>
              <w:t>Margin %</w:t>
            </w:r>
          </w:p>
        </w:tc>
        <w:tc>
          <w:tcPr>
            <w:tcW w:w="136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58C271A1">
            <w:pPr>
              <w:spacing w:before="55" w:after="55"/>
              <w:jc w:val="center"/>
            </w:pPr>
            <w:r>
              <w:rPr>
                <w:rFonts w:ascii="Arial" w:hAnsi="Arial" w:eastAsia="Arial" w:cs="Arial"/>
                <w:b/>
                <w:bCs/>
                <w:i w:val="0"/>
                <w:iCs w:val="0"/>
                <w:color w:val="FFFFFF"/>
                <w:sz w:val="17"/>
                <w:szCs w:val="17"/>
              </w:rPr>
              <w:t>Rev Share</w:t>
            </w:r>
          </w:p>
        </w:tc>
      </w:tr>
      <w:tr w14:paraId="45584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6C308DF4">
            <w:pPr>
              <w:spacing w:before="55" w:after="55"/>
              <w:jc w:val="left"/>
            </w:pPr>
            <w:r>
              <w:rPr>
                <w:rFonts w:ascii="Arial" w:hAnsi="Arial" w:eastAsia="Arial" w:cs="Arial"/>
                <w:b/>
                <w:bCs/>
                <w:i w:val="0"/>
                <w:iCs w:val="0"/>
                <w:color w:val="217346"/>
                <w:sz w:val="17"/>
                <w:szCs w:val="17"/>
              </w:rPr>
              <w:t>California</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13D07C06">
            <w:pPr>
              <w:spacing w:before="55" w:after="55"/>
              <w:jc w:val="center"/>
            </w:pPr>
            <w:r>
              <w:rPr>
                <w:rFonts w:ascii="Arial" w:hAnsi="Arial" w:eastAsia="Arial" w:cs="Arial"/>
                <w:b/>
                <w:bCs/>
                <w:i w:val="0"/>
                <w:iCs w:val="0"/>
                <w:color w:val="217346"/>
                <w:sz w:val="17"/>
                <w:szCs w:val="17"/>
              </w:rPr>
              <w:t>$287,310</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1A57B1ED">
            <w:pPr>
              <w:spacing w:before="55" w:after="55"/>
              <w:jc w:val="center"/>
            </w:pPr>
            <w:r>
              <w:rPr>
                <w:rFonts w:ascii="Arial" w:hAnsi="Arial" w:eastAsia="Arial" w:cs="Arial"/>
                <w:b w:val="0"/>
                <w:bCs w:val="0"/>
                <w:i w:val="0"/>
                <w:iCs w:val="0"/>
                <w:color w:val="1F1F1F"/>
                <w:sz w:val="17"/>
                <w:szCs w:val="17"/>
              </w:rPr>
              <w:t>$216,731</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130FE0C">
            <w:pPr>
              <w:spacing w:before="55" w:after="55"/>
              <w:jc w:val="center"/>
            </w:pPr>
            <w:r>
              <w:rPr>
                <w:rFonts w:ascii="Arial" w:hAnsi="Arial" w:eastAsia="Arial" w:cs="Arial"/>
                <w:b w:val="0"/>
                <w:bCs w:val="0"/>
                <w:i w:val="0"/>
                <w:iCs w:val="0"/>
                <w:color w:val="1F1F1F"/>
                <w:sz w:val="17"/>
                <w:szCs w:val="17"/>
              </w:rPr>
              <w:t>27,676</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2EC7A240">
            <w:pPr>
              <w:spacing w:before="55" w:after="55"/>
              <w:jc w:val="center"/>
            </w:pPr>
            <w:r>
              <w:rPr>
                <w:rFonts w:ascii="Arial" w:hAnsi="Arial" w:eastAsia="Arial" w:cs="Arial"/>
                <w:b w:val="0"/>
                <w:bCs w:val="0"/>
                <w:i w:val="0"/>
                <w:iCs w:val="0"/>
                <w:color w:val="1F1F1F"/>
                <w:sz w:val="17"/>
                <w:szCs w:val="17"/>
              </w:rPr>
              <w:t>75.4%</w:t>
            </w:r>
          </w:p>
        </w:tc>
        <w:tc>
          <w:tcPr>
            <w:tcW w:w="13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43BFA75C">
            <w:pPr>
              <w:spacing w:before="55" w:after="55"/>
              <w:jc w:val="center"/>
            </w:pPr>
            <w:r>
              <w:rPr>
                <w:rFonts w:ascii="Arial" w:hAnsi="Arial" w:eastAsia="Arial" w:cs="Arial"/>
                <w:b w:val="0"/>
                <w:bCs w:val="0"/>
                <w:i w:val="0"/>
                <w:iCs w:val="0"/>
                <w:color w:val="1F1F1F"/>
                <w:sz w:val="17"/>
                <w:szCs w:val="17"/>
              </w:rPr>
              <w:t>40.5%</w:t>
            </w:r>
          </w:p>
        </w:tc>
      </w:tr>
      <w:tr w14:paraId="1FEDF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244A38B5">
            <w:pPr>
              <w:spacing w:before="55" w:after="55"/>
              <w:jc w:val="left"/>
            </w:pPr>
            <w:r>
              <w:rPr>
                <w:rFonts w:ascii="Arial" w:hAnsi="Arial" w:eastAsia="Arial" w:cs="Arial"/>
                <w:b w:val="0"/>
                <w:bCs w:val="0"/>
                <w:i w:val="0"/>
                <w:iCs w:val="0"/>
                <w:color w:val="1F1F1F"/>
                <w:sz w:val="17"/>
                <w:szCs w:val="17"/>
              </w:rPr>
              <w:t>Washington</w:t>
            </w:r>
          </w:p>
        </w:tc>
        <w:tc>
          <w:tcPr>
            <w:tcW w:w="18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08AF7902">
            <w:pPr>
              <w:spacing w:before="55" w:after="55"/>
              <w:jc w:val="center"/>
            </w:pPr>
            <w:r>
              <w:rPr>
                <w:rFonts w:ascii="Arial" w:hAnsi="Arial" w:eastAsia="Arial" w:cs="Arial"/>
                <w:b w:val="0"/>
                <w:bCs w:val="0"/>
                <w:i w:val="0"/>
                <w:iCs w:val="0"/>
                <w:color w:val="1F1F1F"/>
                <w:sz w:val="17"/>
                <w:szCs w:val="17"/>
              </w:rPr>
              <w:t>$202,082</w:t>
            </w:r>
          </w:p>
        </w:tc>
        <w:tc>
          <w:tcPr>
            <w:tcW w:w="18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4EF309FA">
            <w:pPr>
              <w:spacing w:before="55" w:after="55"/>
              <w:jc w:val="center"/>
            </w:pPr>
            <w:r>
              <w:rPr>
                <w:rFonts w:ascii="Arial" w:hAnsi="Arial" w:eastAsia="Arial" w:cs="Arial"/>
                <w:b w:val="0"/>
                <w:bCs w:val="0"/>
                <w:i w:val="0"/>
                <w:iCs w:val="0"/>
                <w:color w:val="1F1F1F"/>
                <w:sz w:val="17"/>
                <w:szCs w:val="17"/>
              </w:rPr>
              <w:t>$152,606</w:t>
            </w:r>
          </w:p>
        </w:tc>
        <w:tc>
          <w:tcPr>
            <w:tcW w:w="16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46E4E138">
            <w:pPr>
              <w:spacing w:before="55" w:after="55"/>
              <w:jc w:val="center"/>
            </w:pPr>
            <w:r>
              <w:rPr>
                <w:rFonts w:ascii="Arial" w:hAnsi="Arial" w:eastAsia="Arial" w:cs="Arial"/>
                <w:b w:val="0"/>
                <w:bCs w:val="0"/>
                <w:i w:val="0"/>
                <w:iCs w:val="0"/>
                <w:color w:val="1F1F1F"/>
                <w:sz w:val="17"/>
                <w:szCs w:val="17"/>
              </w:rPr>
              <w:t>19,273</w:t>
            </w:r>
          </w:p>
        </w:tc>
        <w:tc>
          <w:tcPr>
            <w:tcW w:w="1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0176AD2B">
            <w:pPr>
              <w:spacing w:before="55" w:after="55"/>
              <w:jc w:val="center"/>
            </w:pPr>
            <w:r>
              <w:rPr>
                <w:rFonts w:ascii="Arial" w:hAnsi="Arial" w:eastAsia="Arial" w:cs="Arial"/>
                <w:b w:val="0"/>
                <w:bCs w:val="0"/>
                <w:i w:val="0"/>
                <w:iCs w:val="0"/>
                <w:color w:val="1F1F1F"/>
                <w:sz w:val="17"/>
                <w:szCs w:val="17"/>
              </w:rPr>
              <w:t>75.5%</w:t>
            </w:r>
          </w:p>
        </w:tc>
        <w:tc>
          <w:tcPr>
            <w:tcW w:w="136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22B3693F">
            <w:pPr>
              <w:spacing w:before="55" w:after="55"/>
              <w:jc w:val="center"/>
            </w:pPr>
            <w:r>
              <w:rPr>
                <w:rFonts w:ascii="Arial" w:hAnsi="Arial" w:eastAsia="Arial" w:cs="Arial"/>
                <w:b w:val="0"/>
                <w:bCs w:val="0"/>
                <w:i w:val="0"/>
                <w:iCs w:val="0"/>
                <w:color w:val="1F1F1F"/>
                <w:sz w:val="17"/>
                <w:szCs w:val="17"/>
              </w:rPr>
              <w:t>28.5%</w:t>
            </w:r>
          </w:p>
        </w:tc>
      </w:tr>
      <w:tr w14:paraId="4F13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4B0BB3E4">
            <w:pPr>
              <w:spacing w:before="55" w:after="55"/>
              <w:jc w:val="left"/>
            </w:pPr>
            <w:r>
              <w:rPr>
                <w:rFonts w:ascii="Arial" w:hAnsi="Arial" w:eastAsia="Arial" w:cs="Arial"/>
                <w:b w:val="0"/>
                <w:bCs w:val="0"/>
                <w:i w:val="0"/>
                <w:iCs w:val="0"/>
                <w:color w:val="1F1F1F"/>
                <w:sz w:val="17"/>
                <w:szCs w:val="17"/>
              </w:rPr>
              <w:t>Oregon</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B8CDF10">
            <w:pPr>
              <w:spacing w:before="55" w:after="55"/>
              <w:jc w:val="center"/>
            </w:pPr>
            <w:r>
              <w:rPr>
                <w:rFonts w:ascii="Arial" w:hAnsi="Arial" w:eastAsia="Arial" w:cs="Arial"/>
                <w:b w:val="0"/>
                <w:bCs w:val="0"/>
                <w:i w:val="0"/>
                <w:iCs w:val="0"/>
                <w:color w:val="1F1F1F"/>
                <w:sz w:val="17"/>
                <w:szCs w:val="17"/>
              </w:rPr>
              <w:t>$107,291</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7FCA6313">
            <w:pPr>
              <w:spacing w:before="55" w:after="55"/>
              <w:jc w:val="center"/>
            </w:pPr>
            <w:r>
              <w:rPr>
                <w:rFonts w:ascii="Arial" w:hAnsi="Arial" w:eastAsia="Arial" w:cs="Arial"/>
                <w:b w:val="0"/>
                <w:bCs w:val="0"/>
                <w:i w:val="0"/>
                <w:iCs w:val="0"/>
                <w:color w:val="1F1F1F"/>
                <w:sz w:val="17"/>
                <w:szCs w:val="17"/>
              </w:rPr>
              <w:t>$81,489</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7E3CE82B">
            <w:pPr>
              <w:spacing w:before="55" w:after="55"/>
              <w:jc w:val="center"/>
            </w:pPr>
            <w:r>
              <w:rPr>
                <w:rFonts w:ascii="Arial" w:hAnsi="Arial" w:eastAsia="Arial" w:cs="Arial"/>
                <w:b w:val="0"/>
                <w:bCs w:val="0"/>
                <w:i w:val="0"/>
                <w:iCs w:val="0"/>
                <w:color w:val="1F1F1F"/>
                <w:sz w:val="17"/>
                <w:szCs w:val="17"/>
              </w:rPr>
              <w:t>9,200</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2063C403">
            <w:pPr>
              <w:spacing w:before="55" w:after="55"/>
              <w:jc w:val="center"/>
            </w:pPr>
            <w:r>
              <w:rPr>
                <w:rFonts w:ascii="Arial" w:hAnsi="Arial" w:eastAsia="Arial" w:cs="Arial"/>
                <w:b w:val="0"/>
                <w:bCs w:val="0"/>
                <w:i w:val="0"/>
                <w:iCs w:val="0"/>
                <w:color w:val="1F1F1F"/>
                <w:sz w:val="17"/>
                <w:szCs w:val="17"/>
              </w:rPr>
              <w:t>76.0%</w:t>
            </w:r>
          </w:p>
        </w:tc>
        <w:tc>
          <w:tcPr>
            <w:tcW w:w="13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3A674204">
            <w:pPr>
              <w:spacing w:before="55" w:after="55"/>
              <w:jc w:val="center"/>
            </w:pPr>
            <w:r>
              <w:rPr>
                <w:rFonts w:ascii="Arial" w:hAnsi="Arial" w:eastAsia="Arial" w:cs="Arial"/>
                <w:b w:val="0"/>
                <w:bCs w:val="0"/>
                <w:i w:val="0"/>
                <w:iCs w:val="0"/>
                <w:color w:val="1F1F1F"/>
                <w:sz w:val="17"/>
                <w:szCs w:val="17"/>
              </w:rPr>
              <w:t>15.1%</w:t>
            </w:r>
          </w:p>
        </w:tc>
      </w:tr>
      <w:tr w14:paraId="313BF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59487AD4">
            <w:pPr>
              <w:spacing w:before="55" w:after="55"/>
              <w:jc w:val="left"/>
            </w:pPr>
            <w:r>
              <w:rPr>
                <w:rFonts w:ascii="Arial" w:hAnsi="Arial" w:eastAsia="Arial" w:cs="Arial"/>
                <w:b w:val="0"/>
                <w:bCs w:val="0"/>
                <w:i w:val="0"/>
                <w:iCs w:val="0"/>
                <w:color w:val="1F1F1F"/>
                <w:sz w:val="17"/>
                <w:szCs w:val="17"/>
              </w:rPr>
              <w:t>Arizona</w:t>
            </w:r>
          </w:p>
        </w:tc>
        <w:tc>
          <w:tcPr>
            <w:tcW w:w="18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5E0B9D47">
            <w:pPr>
              <w:spacing w:before="55" w:after="55"/>
              <w:jc w:val="center"/>
            </w:pPr>
            <w:r>
              <w:rPr>
                <w:rFonts w:ascii="Arial" w:hAnsi="Arial" w:eastAsia="Arial" w:cs="Arial"/>
                <w:b w:val="0"/>
                <w:bCs w:val="0"/>
                <w:i w:val="0"/>
                <w:iCs w:val="0"/>
                <w:color w:val="1F1F1F"/>
                <w:sz w:val="17"/>
                <w:szCs w:val="17"/>
              </w:rPr>
              <w:t>$76,498</w:t>
            </w:r>
          </w:p>
        </w:tc>
        <w:tc>
          <w:tcPr>
            <w:tcW w:w="18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1C56A10F">
            <w:pPr>
              <w:spacing w:before="55" w:after="55"/>
              <w:jc w:val="center"/>
            </w:pPr>
            <w:r>
              <w:rPr>
                <w:rFonts w:ascii="Arial" w:hAnsi="Arial" w:eastAsia="Arial" w:cs="Arial"/>
                <w:b w:val="0"/>
                <w:bCs w:val="0"/>
                <w:i w:val="0"/>
                <w:iCs w:val="0"/>
                <w:color w:val="1F1F1F"/>
                <w:sz w:val="17"/>
                <w:szCs w:val="17"/>
              </w:rPr>
              <w:t>$57,355</w:t>
            </w:r>
          </w:p>
        </w:tc>
        <w:tc>
          <w:tcPr>
            <w:tcW w:w="16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0087570B">
            <w:pPr>
              <w:spacing w:before="55" w:after="55"/>
              <w:jc w:val="center"/>
            </w:pPr>
            <w:r>
              <w:rPr>
                <w:rFonts w:ascii="Arial" w:hAnsi="Arial" w:eastAsia="Arial" w:cs="Arial"/>
                <w:b w:val="0"/>
                <w:bCs w:val="0"/>
                <w:i w:val="0"/>
                <w:iCs w:val="0"/>
                <w:color w:val="1F1F1F"/>
                <w:sz w:val="17"/>
                <w:szCs w:val="17"/>
              </w:rPr>
              <w:t>7,764</w:t>
            </w:r>
          </w:p>
        </w:tc>
        <w:tc>
          <w:tcPr>
            <w:tcW w:w="14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016C5CF8">
            <w:pPr>
              <w:spacing w:before="55" w:after="55"/>
              <w:jc w:val="center"/>
            </w:pPr>
            <w:r>
              <w:rPr>
                <w:rFonts w:ascii="Arial" w:hAnsi="Arial" w:eastAsia="Arial" w:cs="Arial"/>
                <w:b w:val="0"/>
                <w:bCs w:val="0"/>
                <w:i w:val="0"/>
                <w:iCs w:val="0"/>
                <w:color w:val="1F1F1F"/>
                <w:sz w:val="17"/>
                <w:szCs w:val="17"/>
              </w:rPr>
              <w:t>75.0%</w:t>
            </w:r>
          </w:p>
        </w:tc>
        <w:tc>
          <w:tcPr>
            <w:tcW w:w="136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22C31D73">
            <w:pPr>
              <w:spacing w:before="55" w:after="55"/>
              <w:jc w:val="center"/>
            </w:pPr>
            <w:r>
              <w:rPr>
                <w:rFonts w:ascii="Arial" w:hAnsi="Arial" w:eastAsia="Arial" w:cs="Arial"/>
                <w:b w:val="0"/>
                <w:bCs w:val="0"/>
                <w:i w:val="0"/>
                <w:iCs w:val="0"/>
                <w:color w:val="1F1F1F"/>
                <w:sz w:val="17"/>
                <w:szCs w:val="17"/>
              </w:rPr>
              <w:t>10.8%</w:t>
            </w:r>
          </w:p>
        </w:tc>
      </w:tr>
      <w:tr w14:paraId="3F986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78F6FF60">
            <w:pPr>
              <w:spacing w:before="55" w:after="55"/>
              <w:jc w:val="left"/>
            </w:pPr>
            <w:r>
              <w:rPr>
                <w:rFonts w:ascii="Arial" w:hAnsi="Arial" w:eastAsia="Arial" w:cs="Arial"/>
                <w:b w:val="0"/>
                <w:bCs w:val="0"/>
                <w:i w:val="0"/>
                <w:iCs w:val="0"/>
                <w:color w:val="1F1F1F"/>
                <w:sz w:val="17"/>
                <w:szCs w:val="17"/>
              </w:rPr>
              <w:t>Nevada</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1D54F025">
            <w:pPr>
              <w:spacing w:before="55" w:after="55"/>
              <w:jc w:val="center"/>
            </w:pPr>
            <w:r>
              <w:rPr>
                <w:rFonts w:ascii="Arial" w:hAnsi="Arial" w:eastAsia="Arial" w:cs="Arial"/>
                <w:b w:val="0"/>
                <w:bCs w:val="0"/>
                <w:i w:val="0"/>
                <w:iCs w:val="0"/>
                <w:color w:val="1F1F1F"/>
                <w:sz w:val="17"/>
                <w:szCs w:val="17"/>
              </w:rPr>
              <w:t>$35,417</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2C2BCBAB">
            <w:pPr>
              <w:spacing w:before="55" w:after="55"/>
              <w:jc w:val="center"/>
            </w:pPr>
            <w:r>
              <w:rPr>
                <w:rFonts w:ascii="Arial" w:hAnsi="Arial" w:eastAsia="Arial" w:cs="Arial"/>
                <w:b w:val="0"/>
                <w:bCs w:val="0"/>
                <w:i w:val="0"/>
                <w:iCs w:val="0"/>
                <w:color w:val="1F1F1F"/>
                <w:sz w:val="17"/>
                <w:szCs w:val="17"/>
              </w:rPr>
              <w:t>$26,579</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DB9B768">
            <w:pPr>
              <w:spacing w:before="55" w:after="55"/>
              <w:jc w:val="center"/>
            </w:pPr>
            <w:r>
              <w:rPr>
                <w:rFonts w:ascii="Arial" w:hAnsi="Arial" w:eastAsia="Arial" w:cs="Arial"/>
                <w:b w:val="0"/>
                <w:bCs w:val="0"/>
                <w:i w:val="0"/>
                <w:iCs w:val="0"/>
                <w:color w:val="1F1F1F"/>
                <w:sz w:val="17"/>
                <w:szCs w:val="17"/>
              </w:rPr>
              <w:t>3,462</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21A4F7D6">
            <w:pPr>
              <w:spacing w:before="55" w:after="55"/>
              <w:jc w:val="center"/>
            </w:pPr>
            <w:r>
              <w:rPr>
                <w:rFonts w:ascii="Arial" w:hAnsi="Arial" w:eastAsia="Arial" w:cs="Arial"/>
                <w:b w:val="0"/>
                <w:bCs w:val="0"/>
                <w:i w:val="0"/>
                <w:iCs w:val="0"/>
                <w:color w:val="1F1F1F"/>
                <w:sz w:val="17"/>
                <w:szCs w:val="17"/>
              </w:rPr>
              <w:t>75.0%</w:t>
            </w:r>
          </w:p>
        </w:tc>
        <w:tc>
          <w:tcPr>
            <w:tcW w:w="13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236B6884">
            <w:pPr>
              <w:spacing w:before="55" w:after="55"/>
              <w:jc w:val="center"/>
            </w:pPr>
            <w:r>
              <w:rPr>
                <w:rFonts w:ascii="Arial" w:hAnsi="Arial" w:eastAsia="Arial" w:cs="Arial"/>
                <w:b w:val="0"/>
                <w:bCs w:val="0"/>
                <w:i w:val="0"/>
                <w:iCs w:val="0"/>
                <w:color w:val="1F1F1F"/>
                <w:sz w:val="17"/>
                <w:szCs w:val="17"/>
              </w:rPr>
              <w:t>5.0%</w:t>
            </w:r>
          </w:p>
        </w:tc>
      </w:tr>
    </w:tbl>
    <w:p w14:paraId="70113C9B">
      <w:pPr>
        <w:spacing w:before="20" w:after="20"/>
      </w:pPr>
    </w:p>
    <w:p w14:paraId="5032C175">
      <w:pPr>
        <w:pStyle w:val="3"/>
        <w:pBdr>
          <w:bottom w:val="single" w:color="2E75B6" w:sz="4" w:space="2"/>
        </w:pBdr>
        <w:spacing w:before="200" w:after="80"/>
      </w:pPr>
      <w:r>
        <w:rPr>
          <w:rFonts w:ascii="Arial" w:hAnsi="Arial" w:eastAsia="Arial" w:cs="Arial"/>
          <w:b/>
          <w:bCs/>
          <w:color w:val="1F3864"/>
          <w:sz w:val="26"/>
          <w:szCs w:val="26"/>
        </w:rPr>
        <w:t>5.3  Revenue by Category (SUMIF + Margin + Share)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8"/>
        <w:gridCol w:w="1658"/>
        <w:gridCol w:w="1658"/>
        <w:gridCol w:w="1466"/>
        <w:gridCol w:w="1133"/>
        <w:gridCol w:w="1087"/>
      </w:tblGrid>
      <w:tr w14:paraId="5BB90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7F74B084">
            <w:pPr>
              <w:spacing w:before="55" w:after="55"/>
              <w:jc w:val="center"/>
            </w:pPr>
            <w:r>
              <w:rPr>
                <w:rFonts w:ascii="Arial" w:hAnsi="Arial" w:eastAsia="Arial" w:cs="Arial"/>
                <w:b/>
                <w:bCs/>
                <w:i w:val="0"/>
                <w:iCs w:val="0"/>
                <w:color w:val="FFFFFF"/>
                <w:sz w:val="17"/>
                <w:szCs w:val="17"/>
              </w:rPr>
              <w:t>Category</w:t>
            </w:r>
          </w:p>
        </w:tc>
        <w:tc>
          <w:tcPr>
            <w:tcW w:w="180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46C795BF">
            <w:pPr>
              <w:spacing w:before="55" w:after="55"/>
              <w:jc w:val="center"/>
            </w:pPr>
            <w:r>
              <w:rPr>
                <w:rFonts w:ascii="Arial" w:hAnsi="Arial" w:eastAsia="Arial" w:cs="Arial"/>
                <w:b/>
                <w:bCs/>
                <w:i w:val="0"/>
                <w:iCs w:val="0"/>
                <w:color w:val="FFFFFF"/>
                <w:sz w:val="17"/>
                <w:szCs w:val="17"/>
              </w:rPr>
              <w:t>Revenue ($)</w:t>
            </w:r>
          </w:p>
        </w:tc>
        <w:tc>
          <w:tcPr>
            <w:tcW w:w="180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22B78B80">
            <w:pPr>
              <w:spacing w:before="55" w:after="55"/>
              <w:jc w:val="center"/>
            </w:pPr>
            <w:r>
              <w:rPr>
                <w:rFonts w:ascii="Arial" w:hAnsi="Arial" w:eastAsia="Arial" w:cs="Arial"/>
                <w:b/>
                <w:bCs/>
                <w:i w:val="0"/>
                <w:iCs w:val="0"/>
                <w:color w:val="FFFFFF"/>
                <w:sz w:val="17"/>
                <w:szCs w:val="17"/>
              </w:rPr>
              <w:t>Profit ($)</w:t>
            </w:r>
          </w:p>
        </w:tc>
        <w:tc>
          <w:tcPr>
            <w:tcW w:w="160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6396883D">
            <w:pPr>
              <w:spacing w:before="55" w:after="55"/>
              <w:jc w:val="center"/>
            </w:pPr>
            <w:r>
              <w:rPr>
                <w:rFonts w:ascii="Arial" w:hAnsi="Arial" w:eastAsia="Arial" w:cs="Arial"/>
                <w:b/>
                <w:bCs/>
                <w:i w:val="0"/>
                <w:iCs w:val="0"/>
                <w:color w:val="FFFFFF"/>
                <w:sz w:val="17"/>
                <w:szCs w:val="17"/>
              </w:rPr>
              <w:t>Orders</w:t>
            </w:r>
          </w:p>
        </w:tc>
        <w:tc>
          <w:tcPr>
            <w:tcW w:w="120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78B3217A">
            <w:pPr>
              <w:spacing w:before="55" w:after="55"/>
              <w:jc w:val="center"/>
            </w:pPr>
            <w:r>
              <w:rPr>
                <w:rFonts w:ascii="Arial" w:hAnsi="Arial" w:eastAsia="Arial" w:cs="Arial"/>
                <w:b/>
                <w:bCs/>
                <w:i w:val="0"/>
                <w:iCs w:val="0"/>
                <w:color w:val="FFFFFF"/>
                <w:sz w:val="17"/>
                <w:szCs w:val="17"/>
              </w:rPr>
              <w:t>Margin</w:t>
            </w:r>
          </w:p>
        </w:tc>
        <w:tc>
          <w:tcPr>
            <w:tcW w:w="1160" w:type="dxa"/>
            <w:tcBorders>
              <w:top w:val="single" w:color="CCCCCC" w:sz="4" w:space="0"/>
              <w:left w:val="single" w:color="CCCCCC" w:sz="4" w:space="0"/>
              <w:bottom w:val="single" w:color="CCCCCC" w:sz="4" w:space="0"/>
              <w:right w:val="single" w:color="CCCCCC" w:sz="4" w:space="0"/>
            </w:tcBorders>
            <w:shd w:val="clear" w:color="auto" w:fill="1F3864"/>
            <w:tcMar>
              <w:top w:w="75" w:type="dxa"/>
              <w:left w:w="120" w:type="dxa"/>
              <w:bottom w:w="75" w:type="dxa"/>
              <w:right w:w="120" w:type="dxa"/>
            </w:tcMar>
            <w:vAlign w:val="center"/>
          </w:tcPr>
          <w:p w14:paraId="7014B4C6">
            <w:pPr>
              <w:spacing w:before="55" w:after="55"/>
              <w:jc w:val="center"/>
            </w:pPr>
            <w:r>
              <w:rPr>
                <w:rFonts w:ascii="Arial" w:hAnsi="Arial" w:eastAsia="Arial" w:cs="Arial"/>
                <w:b/>
                <w:bCs/>
                <w:i w:val="0"/>
                <w:iCs w:val="0"/>
                <w:color w:val="FFFFFF"/>
                <w:sz w:val="17"/>
                <w:szCs w:val="17"/>
              </w:rPr>
              <w:t>Rev Share</w:t>
            </w:r>
          </w:p>
        </w:tc>
      </w:tr>
      <w:tr w14:paraId="556CE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64B29535">
            <w:pPr>
              <w:spacing w:before="55" w:after="55"/>
              <w:jc w:val="left"/>
            </w:pPr>
            <w:r>
              <w:rPr>
                <w:rFonts w:ascii="Arial" w:hAnsi="Arial" w:eastAsia="Arial" w:cs="Arial"/>
                <w:b/>
                <w:bCs/>
                <w:i w:val="0"/>
                <w:iCs w:val="0"/>
                <w:color w:val="1F1F1F"/>
                <w:sz w:val="17"/>
                <w:szCs w:val="17"/>
              </w:rPr>
              <w:t>Household Appliances</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D648A10">
            <w:pPr>
              <w:spacing w:before="55" w:after="55"/>
              <w:jc w:val="center"/>
            </w:pPr>
            <w:r>
              <w:rPr>
                <w:rFonts w:ascii="Arial" w:hAnsi="Arial" w:eastAsia="Arial" w:cs="Arial"/>
                <w:b/>
                <w:bCs/>
                <w:i w:val="0"/>
                <w:iCs w:val="0"/>
                <w:color w:val="217346"/>
                <w:sz w:val="17"/>
                <w:szCs w:val="17"/>
              </w:rPr>
              <w:t>$437,958</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890830E">
            <w:pPr>
              <w:spacing w:before="55" w:after="55"/>
              <w:jc w:val="center"/>
            </w:pPr>
            <w:r>
              <w:rPr>
                <w:rFonts w:ascii="Arial" w:hAnsi="Arial" w:eastAsia="Arial" w:cs="Arial"/>
                <w:b w:val="0"/>
                <w:bCs w:val="0"/>
                <w:i w:val="0"/>
                <w:iCs w:val="0"/>
                <w:color w:val="1F1F1F"/>
                <w:sz w:val="17"/>
                <w:szCs w:val="17"/>
              </w:rPr>
              <w:t>$342,625</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4B1533B">
            <w:pPr>
              <w:spacing w:before="55" w:after="55"/>
              <w:jc w:val="center"/>
            </w:pPr>
            <w:r>
              <w:rPr>
                <w:rFonts w:ascii="Arial" w:hAnsi="Arial" w:eastAsia="Arial" w:cs="Arial"/>
                <w:b w:val="0"/>
                <w:bCs w:val="0"/>
                <w:i w:val="0"/>
                <w:iCs w:val="0"/>
                <w:color w:val="1F1F1F"/>
                <w:sz w:val="17"/>
                <w:szCs w:val="17"/>
              </w:rPr>
              <w:t>5,922</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F3290FF">
            <w:pPr>
              <w:spacing w:before="55" w:after="55"/>
              <w:jc w:val="center"/>
            </w:pPr>
            <w:r>
              <w:rPr>
                <w:rFonts w:ascii="Arial" w:hAnsi="Arial" w:eastAsia="Arial" w:cs="Arial"/>
                <w:b w:val="0"/>
                <w:bCs w:val="0"/>
                <w:i w:val="0"/>
                <w:iCs w:val="0"/>
                <w:color w:val="1F1F1F"/>
                <w:sz w:val="17"/>
                <w:szCs w:val="17"/>
              </w:rPr>
              <w:t>78.2%</w:t>
            </w:r>
          </w:p>
        </w:tc>
        <w:tc>
          <w:tcPr>
            <w:tcW w:w="11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66FE5AF7">
            <w:pPr>
              <w:spacing w:before="55" w:after="55"/>
              <w:jc w:val="center"/>
            </w:pPr>
            <w:r>
              <w:rPr>
                <w:rFonts w:ascii="Arial" w:hAnsi="Arial" w:eastAsia="Arial" w:cs="Arial"/>
                <w:b w:val="0"/>
                <w:bCs w:val="0"/>
                <w:i w:val="0"/>
                <w:iCs w:val="0"/>
                <w:color w:val="1F1F1F"/>
                <w:sz w:val="17"/>
                <w:szCs w:val="17"/>
              </w:rPr>
              <w:t>61.8%</w:t>
            </w:r>
          </w:p>
        </w:tc>
      </w:tr>
      <w:tr w14:paraId="29797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10F4FD9C">
            <w:pPr>
              <w:spacing w:before="55" w:after="55"/>
              <w:jc w:val="left"/>
            </w:pPr>
            <w:r>
              <w:rPr>
                <w:rFonts w:ascii="Arial" w:hAnsi="Arial" w:eastAsia="Arial" w:cs="Arial"/>
                <w:b w:val="0"/>
                <w:bCs w:val="0"/>
                <w:i w:val="0"/>
                <w:iCs w:val="0"/>
                <w:color w:val="1F1F1F"/>
                <w:sz w:val="17"/>
                <w:szCs w:val="17"/>
              </w:rPr>
              <w:t>Food and Beverage</w:t>
            </w:r>
          </w:p>
        </w:tc>
        <w:tc>
          <w:tcPr>
            <w:tcW w:w="18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7161C9E7">
            <w:pPr>
              <w:spacing w:before="55" w:after="55"/>
              <w:jc w:val="center"/>
            </w:pPr>
            <w:r>
              <w:rPr>
                <w:rFonts w:ascii="Arial" w:hAnsi="Arial" w:eastAsia="Arial" w:cs="Arial"/>
                <w:b w:val="0"/>
                <w:bCs w:val="0"/>
                <w:i w:val="0"/>
                <w:iCs w:val="0"/>
                <w:color w:val="1F1F1F"/>
                <w:sz w:val="17"/>
                <w:szCs w:val="17"/>
              </w:rPr>
              <w:t>$189,282</w:t>
            </w:r>
          </w:p>
        </w:tc>
        <w:tc>
          <w:tcPr>
            <w:tcW w:w="18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11BD050F">
            <w:pPr>
              <w:spacing w:before="55" w:after="55"/>
              <w:jc w:val="center"/>
            </w:pPr>
            <w:r>
              <w:rPr>
                <w:rFonts w:ascii="Arial" w:hAnsi="Arial" w:eastAsia="Arial" w:cs="Arial"/>
                <w:b w:val="0"/>
                <w:bCs w:val="0"/>
                <w:i w:val="0"/>
                <w:iCs w:val="0"/>
                <w:color w:val="1F1F1F"/>
                <w:sz w:val="17"/>
                <w:szCs w:val="17"/>
              </w:rPr>
              <w:t>$131,258</w:t>
            </w:r>
          </w:p>
        </w:tc>
        <w:tc>
          <w:tcPr>
            <w:tcW w:w="16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2869495E">
            <w:pPr>
              <w:spacing w:before="55" w:after="55"/>
              <w:jc w:val="center"/>
            </w:pPr>
            <w:r>
              <w:rPr>
                <w:rFonts w:ascii="Arial" w:hAnsi="Arial" w:eastAsia="Arial" w:cs="Arial"/>
                <w:b w:val="0"/>
                <w:bCs w:val="0"/>
                <w:i w:val="0"/>
                <w:iCs w:val="0"/>
                <w:color w:val="1F1F1F"/>
                <w:sz w:val="17"/>
                <w:szCs w:val="17"/>
              </w:rPr>
              <w:t>46,667</w:t>
            </w:r>
          </w:p>
        </w:tc>
        <w:tc>
          <w:tcPr>
            <w:tcW w:w="120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7EF62475">
            <w:pPr>
              <w:spacing w:before="55" w:after="55"/>
              <w:jc w:val="center"/>
            </w:pPr>
            <w:r>
              <w:rPr>
                <w:rFonts w:ascii="Arial" w:hAnsi="Arial" w:eastAsia="Arial" w:cs="Arial"/>
                <w:b w:val="0"/>
                <w:bCs w:val="0"/>
                <w:i w:val="0"/>
                <w:iCs w:val="0"/>
                <w:color w:val="1F1F1F"/>
                <w:sz w:val="17"/>
                <w:szCs w:val="17"/>
              </w:rPr>
              <w:t>69.3%</w:t>
            </w:r>
          </w:p>
        </w:tc>
        <w:tc>
          <w:tcPr>
            <w:tcW w:w="1160" w:type="dxa"/>
            <w:tcBorders>
              <w:top w:val="single" w:color="CCCCCC" w:sz="4" w:space="0"/>
              <w:left w:val="single" w:color="CCCCCC" w:sz="4" w:space="0"/>
              <w:bottom w:val="single" w:color="CCCCCC" w:sz="4" w:space="0"/>
              <w:right w:val="single" w:color="CCCCCC" w:sz="4" w:space="0"/>
            </w:tcBorders>
            <w:shd w:val="clear" w:color="auto" w:fill="F5F5F5"/>
            <w:tcMar>
              <w:top w:w="75" w:type="dxa"/>
              <w:left w:w="120" w:type="dxa"/>
              <w:bottom w:w="75" w:type="dxa"/>
              <w:right w:w="120" w:type="dxa"/>
            </w:tcMar>
            <w:vAlign w:val="center"/>
          </w:tcPr>
          <w:p w14:paraId="68D244D7">
            <w:pPr>
              <w:spacing w:before="55" w:after="55"/>
              <w:jc w:val="center"/>
            </w:pPr>
            <w:r>
              <w:rPr>
                <w:rFonts w:ascii="Arial" w:hAnsi="Arial" w:eastAsia="Arial" w:cs="Arial"/>
                <w:b w:val="0"/>
                <w:bCs w:val="0"/>
                <w:i w:val="0"/>
                <w:iCs w:val="0"/>
                <w:color w:val="1F1F1F"/>
                <w:sz w:val="17"/>
                <w:szCs w:val="17"/>
              </w:rPr>
              <w:t>26.7%</w:t>
            </w:r>
          </w:p>
        </w:tc>
      </w:tr>
      <w:tr w14:paraId="4FAA8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80B79D1">
            <w:pPr>
              <w:spacing w:before="55" w:after="55"/>
              <w:jc w:val="left"/>
            </w:pPr>
            <w:r>
              <w:rPr>
                <w:rFonts w:ascii="Arial" w:hAnsi="Arial" w:eastAsia="Arial" w:cs="Arial"/>
                <w:b w:val="0"/>
                <w:bCs w:val="0"/>
                <w:i w:val="0"/>
                <w:iCs w:val="0"/>
                <w:color w:val="1F1F1F"/>
                <w:sz w:val="17"/>
                <w:szCs w:val="17"/>
              </w:rPr>
              <w:t>Clothing</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6BFB8237">
            <w:pPr>
              <w:spacing w:before="55" w:after="55"/>
              <w:jc w:val="center"/>
            </w:pPr>
            <w:r>
              <w:rPr>
                <w:rFonts w:ascii="Arial" w:hAnsi="Arial" w:eastAsia="Arial" w:cs="Arial"/>
                <w:b w:val="0"/>
                <w:bCs w:val="0"/>
                <w:i w:val="0"/>
                <w:iCs w:val="0"/>
                <w:color w:val="1F1F1F"/>
                <w:sz w:val="17"/>
                <w:szCs w:val="17"/>
              </w:rPr>
              <w:t>$81,358</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453CF2DD">
            <w:pPr>
              <w:spacing w:before="55" w:after="55"/>
              <w:jc w:val="center"/>
            </w:pPr>
            <w:r>
              <w:rPr>
                <w:rFonts w:ascii="Arial" w:hAnsi="Arial" w:eastAsia="Arial" w:cs="Arial"/>
                <w:b w:val="0"/>
                <w:bCs w:val="0"/>
                <w:i w:val="0"/>
                <w:iCs w:val="0"/>
                <w:color w:val="1F1F1F"/>
                <w:sz w:val="17"/>
                <w:szCs w:val="17"/>
              </w:rPr>
              <w:t>$60,877</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111063F2">
            <w:pPr>
              <w:spacing w:before="55" w:after="55"/>
              <w:jc w:val="center"/>
            </w:pPr>
            <w:r>
              <w:rPr>
                <w:rFonts w:ascii="Arial" w:hAnsi="Arial" w:eastAsia="Arial" w:cs="Arial"/>
                <w:b w:val="0"/>
                <w:bCs w:val="0"/>
                <w:i w:val="0"/>
                <w:iCs w:val="0"/>
                <w:color w:val="1F1F1F"/>
                <w:sz w:val="17"/>
                <w:szCs w:val="17"/>
              </w:rPr>
              <w:t>14,786</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3DD102A1">
            <w:pPr>
              <w:spacing w:before="55" w:after="55"/>
              <w:jc w:val="center"/>
            </w:pPr>
            <w:r>
              <w:rPr>
                <w:rFonts w:ascii="Arial" w:hAnsi="Arial" w:eastAsia="Arial" w:cs="Arial"/>
                <w:b w:val="0"/>
                <w:bCs w:val="0"/>
                <w:i w:val="0"/>
                <w:iCs w:val="0"/>
                <w:color w:val="1F1F1F"/>
                <w:sz w:val="17"/>
                <w:szCs w:val="17"/>
              </w:rPr>
              <w:t>74.8%</w:t>
            </w:r>
          </w:p>
        </w:tc>
        <w:tc>
          <w:tcPr>
            <w:tcW w:w="11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6144614E">
            <w:pPr>
              <w:spacing w:before="55" w:after="55"/>
              <w:jc w:val="center"/>
            </w:pPr>
            <w:r>
              <w:rPr>
                <w:rFonts w:ascii="Arial" w:hAnsi="Arial" w:eastAsia="Arial" w:cs="Arial"/>
                <w:b w:val="0"/>
                <w:bCs w:val="0"/>
                <w:i w:val="0"/>
                <w:iCs w:val="0"/>
                <w:color w:val="1F1F1F"/>
                <w:sz w:val="17"/>
                <w:szCs w:val="17"/>
              </w:rPr>
              <w:t>11.5%</w:t>
            </w:r>
          </w:p>
        </w:tc>
      </w:tr>
    </w:tbl>
    <w:p w14:paraId="52B760DB">
      <w:pPr>
        <w:spacing w:before="20" w:after="20"/>
      </w:pPr>
    </w:p>
    <w:p w14:paraId="37613910">
      <w:pPr>
        <w:pBdr>
          <w:bottom w:val="single" w:color="2E75B6" w:sz="6" w:space="1"/>
        </w:pBdr>
        <w:spacing w:before="80" w:after="80"/>
      </w:pPr>
    </w:p>
    <w:p w14:paraId="3D938239">
      <w:pPr>
        <w:pStyle w:val="2"/>
        <w:shd w:val="clear" w:fill="1F3864"/>
        <w:spacing w:before="260" w:after="140"/>
      </w:pPr>
      <w:r>
        <w:rPr>
          <w:rFonts w:ascii="Arial" w:hAnsi="Arial" w:eastAsia="Arial" w:cs="Arial"/>
          <w:b/>
          <w:bCs/>
          <w:color w:val="FFFFFF"/>
          <w:sz w:val="40"/>
          <w:szCs w:val="40"/>
        </w:rPr>
        <w:t>6.  Key Findings</w:t>
      </w:r>
    </w:p>
    <w:p w14:paraId="6B213967">
      <w:pPr>
        <w:spacing w:before="20" w:after="20"/>
      </w:pPr>
    </w:p>
    <w:p w14:paraId="6A8D146D">
      <w:pPr>
        <w:spacing w:before="55" w:after="55" w:line="296" w:lineRule="auto"/>
      </w:pPr>
      <w:r>
        <w:rPr>
          <w:rFonts w:ascii="Arial" w:hAnsi="Arial" w:eastAsia="Arial" w:cs="Arial"/>
          <w:b w:val="0"/>
          <w:bCs w:val="0"/>
          <w:i w:val="0"/>
          <w:iCs w:val="0"/>
          <w:color w:val="1F1F1F"/>
          <w:sz w:val="20"/>
          <w:szCs w:val="20"/>
        </w:rPr>
        <w:t>Eight findings derived directly from the Excel formula outputs. Each is supported by specific formula-calculated numbers and carries a business implication.</w:t>
      </w:r>
    </w:p>
    <w:p w14:paraId="641B9A65">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0"/>
        <w:gridCol w:w="8700"/>
      </w:tblGrid>
      <w:tr w14:paraId="19ED4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1F3864" w:sz="4" w:space="0"/>
              <w:left w:val="single" w:color="1F3864" w:sz="4" w:space="0"/>
              <w:bottom w:val="single" w:color="1F3864" w:sz="4" w:space="0"/>
              <w:right w:val="single" w:color="1F3864" w:sz="4" w:space="0"/>
            </w:tcBorders>
            <w:shd w:val="clear" w:color="auto" w:fill="1F3864"/>
            <w:tcMar>
              <w:top w:w="75" w:type="dxa"/>
              <w:left w:w="120" w:type="dxa"/>
              <w:bottom w:w="75" w:type="dxa"/>
              <w:right w:w="120" w:type="dxa"/>
            </w:tcMar>
            <w:vAlign w:val="center"/>
          </w:tcPr>
          <w:p w14:paraId="4F476D70">
            <w:pPr>
              <w:spacing w:before="75" w:after="75"/>
              <w:jc w:val="center"/>
            </w:pPr>
            <w:r>
              <w:rPr>
                <w:rFonts w:ascii="Arial" w:hAnsi="Arial" w:eastAsia="Arial" w:cs="Arial"/>
                <w:b/>
                <w:bCs/>
                <w:i w:val="0"/>
                <w:iCs w:val="0"/>
                <w:color w:val="FFFFFF"/>
                <w:sz w:val="18"/>
                <w:szCs w:val="18"/>
              </w:rPr>
              <w:t>F1</w:t>
            </w:r>
          </w:p>
        </w:tc>
        <w:tc>
          <w:tcPr>
            <w:tcW w:w="8700" w:type="dxa"/>
            <w:tcBorders>
              <w:top w:val="single" w:color="2E75B6" w:sz="4" w:space="0"/>
              <w:left w:val="single" w:color="2E75B6" w:sz="4" w:space="0"/>
              <w:bottom w:val="single" w:color="2E75B6" w:sz="4" w:space="0"/>
              <w:right w:val="single" w:color="2E75B6" w:sz="4" w:space="0"/>
            </w:tcBorders>
            <w:shd w:val="clear" w:color="auto" w:fill="DEEAF1"/>
            <w:tcMar>
              <w:top w:w="75" w:type="dxa"/>
              <w:left w:w="120" w:type="dxa"/>
              <w:bottom w:w="75" w:type="dxa"/>
              <w:right w:w="120" w:type="dxa"/>
            </w:tcMar>
            <w:vAlign w:val="center"/>
          </w:tcPr>
          <w:p w14:paraId="4000E383">
            <w:pPr>
              <w:spacing w:before="75" w:after="75"/>
            </w:pPr>
            <w:r>
              <w:rPr>
                <w:rFonts w:ascii="Arial" w:hAnsi="Arial" w:eastAsia="Arial" w:cs="Arial"/>
                <w:b/>
                <w:bCs/>
                <w:i w:val="0"/>
                <w:iCs w:val="0"/>
                <w:color w:val="1F3864"/>
                <w:sz w:val="20"/>
                <w:szCs w:val="20"/>
              </w:rPr>
              <w:t>California Leads Revenue — Oregon Leads Profit Margin</w:t>
            </w:r>
          </w:p>
        </w:tc>
      </w:tr>
      <w:tr w14:paraId="24BB5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nil"/>
              <w:left w:val="nil"/>
              <w:bottom w:val="nil"/>
              <w:right w:val="nil"/>
            </w:tcBorders>
            <w:shd w:val="clear" w:color="auto" w:fill="FFFFFF"/>
            <w:tcMar>
              <w:top w:w="75" w:type="dxa"/>
              <w:left w:w="120" w:type="dxa"/>
              <w:bottom w:w="75" w:type="dxa"/>
              <w:right w:w="120" w:type="dxa"/>
            </w:tcMar>
            <w:vAlign w:val="center"/>
          </w:tcPr>
          <w:p w14:paraId="6C3D13D7">
            <w:pPr>
              <w:spacing w:before="55" w:after="55"/>
              <w:jc w:val="left"/>
            </w:pPr>
          </w:p>
        </w:tc>
        <w:tc>
          <w:tcPr>
            <w:tcW w:w="87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7DD21C7">
            <w:pPr>
              <w:spacing w:before="75" w:after="55"/>
            </w:pPr>
            <w:r>
              <w:rPr>
                <w:rFonts w:ascii="Arial" w:hAnsi="Arial" w:eastAsia="Arial" w:cs="Arial"/>
                <w:b w:val="0"/>
                <w:bCs w:val="0"/>
                <w:i w:val="0"/>
                <w:iCs w:val="0"/>
                <w:color w:val="1F1F1F"/>
                <w:sz w:val="18"/>
                <w:szCs w:val="18"/>
              </w:rPr>
              <w:t>California generated $287,310 (40.5% of total revenue via SUMIF), the highest of all 5 states. However, Oregon achieved the best profit margin at 76.0% vs California's 75.4% (calculated as Profit/Revenue per state). The AVERAGEIF formula confirms Oregon also scores consistently on customer reviews.</w:t>
            </w:r>
          </w:p>
          <w:p w14:paraId="79038C7E">
            <w:pPr>
              <w:spacing w:before="40" w:after="75"/>
            </w:pPr>
            <w:r>
              <w:rPr>
                <w:rFonts w:ascii="Arial" w:hAnsi="Arial" w:eastAsia="Arial" w:cs="Arial"/>
                <w:b/>
                <w:bCs/>
                <w:i w:val="0"/>
                <w:iCs w:val="0"/>
                <w:color w:val="2E75B6"/>
                <w:sz w:val="18"/>
                <w:szCs w:val="18"/>
              </w:rPr>
              <w:t xml:space="preserve">Business Implication: </w:t>
            </w:r>
            <w:r>
              <w:rPr>
                <w:rFonts w:ascii="Arial" w:hAnsi="Arial" w:eastAsia="Arial" w:cs="Arial"/>
                <w:b w:val="0"/>
                <w:bCs w:val="0"/>
                <w:i w:val="0"/>
                <w:iCs w:val="0"/>
                <w:color w:val="1F1F1F"/>
                <w:sz w:val="18"/>
                <w:szCs w:val="18"/>
              </w:rPr>
              <w:t>Revenue volume and margin efficiency are different metrics. Margin optimisation in California — the highest-volume state — could unlock significant additional profit without requiring more orders.</w:t>
            </w:r>
          </w:p>
        </w:tc>
      </w:tr>
    </w:tbl>
    <w:p w14:paraId="78762456">
      <w:pPr>
        <w:spacing w:before="20" w:after="20"/>
      </w:pPr>
    </w:p>
    <w:p w14:paraId="5936B299">
      <w:pPr>
        <w:spacing w:before="20" w:after="20"/>
      </w:pPr>
    </w:p>
    <w:p w14:paraId="1BE13D9B">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0"/>
        <w:gridCol w:w="8700"/>
      </w:tblGrid>
      <w:tr w14:paraId="7A38B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60" w:type="dxa"/>
            <w:tcBorders>
              <w:top w:val="single" w:color="2E75B6" w:sz="4" w:space="0"/>
              <w:left w:val="single" w:color="2E75B6" w:sz="4" w:space="0"/>
              <w:bottom w:val="single" w:color="2E75B6" w:sz="4" w:space="0"/>
              <w:right w:val="single" w:color="2E75B6" w:sz="4" w:space="0"/>
            </w:tcBorders>
            <w:shd w:val="clear" w:color="auto" w:fill="2E75B6"/>
            <w:tcMar>
              <w:top w:w="75" w:type="dxa"/>
              <w:left w:w="120" w:type="dxa"/>
              <w:bottom w:w="75" w:type="dxa"/>
              <w:right w:w="120" w:type="dxa"/>
            </w:tcMar>
            <w:vAlign w:val="center"/>
          </w:tcPr>
          <w:p w14:paraId="2A981B3E">
            <w:pPr>
              <w:spacing w:before="75" w:after="75"/>
              <w:jc w:val="center"/>
            </w:pPr>
            <w:r>
              <w:rPr>
                <w:rFonts w:ascii="Arial" w:hAnsi="Arial" w:eastAsia="Arial" w:cs="Arial"/>
                <w:b/>
                <w:bCs/>
                <w:i w:val="0"/>
                <w:iCs w:val="0"/>
                <w:color w:val="FFFFFF"/>
                <w:sz w:val="18"/>
                <w:szCs w:val="18"/>
              </w:rPr>
              <w:t>F2</w:t>
            </w:r>
          </w:p>
        </w:tc>
        <w:tc>
          <w:tcPr>
            <w:tcW w:w="8700" w:type="dxa"/>
            <w:tcBorders>
              <w:top w:val="single" w:color="2E75B6" w:sz="4" w:space="0"/>
              <w:left w:val="single" w:color="2E75B6" w:sz="4" w:space="0"/>
              <w:bottom w:val="single" w:color="2E75B6" w:sz="4" w:space="0"/>
              <w:right w:val="single" w:color="2E75B6" w:sz="4" w:space="0"/>
            </w:tcBorders>
            <w:shd w:val="clear" w:color="auto" w:fill="DEEAF1"/>
            <w:tcMar>
              <w:top w:w="75" w:type="dxa"/>
              <w:left w:w="120" w:type="dxa"/>
              <w:bottom w:w="75" w:type="dxa"/>
              <w:right w:w="120" w:type="dxa"/>
            </w:tcMar>
            <w:vAlign w:val="center"/>
          </w:tcPr>
          <w:p w14:paraId="3ABD8590">
            <w:pPr>
              <w:spacing w:before="75" w:after="75"/>
            </w:pPr>
            <w:r>
              <w:rPr>
                <w:rFonts w:ascii="Arial" w:hAnsi="Arial" w:eastAsia="Arial" w:cs="Arial"/>
                <w:b/>
                <w:bCs/>
                <w:i w:val="0"/>
                <w:iCs w:val="0"/>
                <w:color w:val="1F3864"/>
                <w:sz w:val="20"/>
                <w:szCs w:val="20"/>
              </w:rPr>
              <w:t>Household Appliances: 8.8% of Orders, 61.8% of Revenue</w:t>
            </w:r>
          </w:p>
        </w:tc>
      </w:tr>
      <w:tr w14:paraId="5352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nil"/>
              <w:left w:val="nil"/>
              <w:bottom w:val="nil"/>
              <w:right w:val="nil"/>
            </w:tcBorders>
            <w:shd w:val="clear" w:color="auto" w:fill="FFFFFF"/>
            <w:tcMar>
              <w:top w:w="75" w:type="dxa"/>
              <w:left w:w="120" w:type="dxa"/>
              <w:bottom w:w="75" w:type="dxa"/>
              <w:right w:w="120" w:type="dxa"/>
            </w:tcMar>
            <w:vAlign w:val="center"/>
          </w:tcPr>
          <w:p w14:paraId="2726342E">
            <w:pPr>
              <w:spacing w:before="55" w:after="55"/>
              <w:jc w:val="left"/>
            </w:pPr>
          </w:p>
        </w:tc>
        <w:tc>
          <w:tcPr>
            <w:tcW w:w="87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28F49392">
            <w:pPr>
              <w:spacing w:before="75" w:after="55"/>
            </w:pPr>
            <w:r>
              <w:rPr>
                <w:rFonts w:ascii="Arial" w:hAnsi="Arial" w:eastAsia="Arial" w:cs="Arial"/>
                <w:b w:val="0"/>
                <w:bCs w:val="0"/>
                <w:i w:val="0"/>
                <w:iCs w:val="0"/>
                <w:color w:val="1F1F1F"/>
                <w:sz w:val="18"/>
                <w:szCs w:val="18"/>
              </w:rPr>
              <w:t>COUNTIF shows Household Appliances has only 5,922 orders (8.8% of total). Yet SUMIF returns $437,958 — 61.8% of total revenue. The average revenue per order formula (=Revenue/Orders) returns $74.31 for this category vs $4.05 for Food &amp; Beverage. TV alone generates $232,166 from just 937 orders.</w:t>
            </w:r>
          </w:p>
          <w:p w14:paraId="6C691332">
            <w:pPr>
              <w:spacing w:before="40" w:after="75"/>
            </w:pPr>
            <w:r>
              <w:rPr>
                <w:rFonts w:ascii="Arial" w:hAnsi="Arial" w:eastAsia="Arial" w:cs="Arial"/>
                <w:b/>
                <w:bCs/>
                <w:i w:val="0"/>
                <w:iCs w:val="0"/>
                <w:color w:val="2E75B6"/>
                <w:sz w:val="18"/>
                <w:szCs w:val="18"/>
              </w:rPr>
              <w:t xml:space="preserve">Business Implication: </w:t>
            </w:r>
            <w:r>
              <w:rPr>
                <w:rFonts w:ascii="Arial" w:hAnsi="Arial" w:eastAsia="Arial" w:cs="Arial"/>
                <w:b w:val="0"/>
                <w:bCs w:val="0"/>
                <w:i w:val="0"/>
                <w:iCs w:val="0"/>
                <w:color w:val="1F1F1F"/>
                <w:sz w:val="18"/>
                <w:szCs w:val="18"/>
              </w:rPr>
              <w:t>High-value, low-volume products drive the business disproportionately. Protecting TV stock and expanding the premium appliance range should be a top operational priority.</w:t>
            </w:r>
          </w:p>
        </w:tc>
      </w:tr>
    </w:tbl>
    <w:p w14:paraId="71A9B0F2">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0"/>
        <w:gridCol w:w="8700"/>
      </w:tblGrid>
      <w:tr w14:paraId="5D4C9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217346" w:sz="4" w:space="0"/>
              <w:left w:val="single" w:color="217346" w:sz="4" w:space="0"/>
              <w:bottom w:val="single" w:color="217346" w:sz="4" w:space="0"/>
              <w:right w:val="single" w:color="217346" w:sz="4" w:space="0"/>
            </w:tcBorders>
            <w:shd w:val="clear" w:color="auto" w:fill="217346"/>
            <w:tcMar>
              <w:top w:w="75" w:type="dxa"/>
              <w:left w:w="120" w:type="dxa"/>
              <w:bottom w:w="75" w:type="dxa"/>
              <w:right w:w="120" w:type="dxa"/>
            </w:tcMar>
            <w:vAlign w:val="center"/>
          </w:tcPr>
          <w:p w14:paraId="18979A56">
            <w:pPr>
              <w:spacing w:before="75" w:after="75"/>
              <w:jc w:val="center"/>
            </w:pPr>
            <w:r>
              <w:rPr>
                <w:rFonts w:ascii="Arial" w:hAnsi="Arial" w:eastAsia="Arial" w:cs="Arial"/>
                <w:b/>
                <w:bCs/>
                <w:i w:val="0"/>
                <w:iCs w:val="0"/>
                <w:color w:val="FFFFFF"/>
                <w:sz w:val="18"/>
                <w:szCs w:val="18"/>
              </w:rPr>
              <w:t>F3</w:t>
            </w:r>
          </w:p>
        </w:tc>
        <w:tc>
          <w:tcPr>
            <w:tcW w:w="8700" w:type="dxa"/>
            <w:tcBorders>
              <w:top w:val="single" w:color="2E75B6" w:sz="4" w:space="0"/>
              <w:left w:val="single" w:color="2E75B6" w:sz="4" w:space="0"/>
              <w:bottom w:val="single" w:color="2E75B6" w:sz="4" w:space="0"/>
              <w:right w:val="single" w:color="2E75B6" w:sz="4" w:space="0"/>
            </w:tcBorders>
            <w:shd w:val="clear" w:color="auto" w:fill="E2EFDA"/>
            <w:tcMar>
              <w:top w:w="75" w:type="dxa"/>
              <w:left w:w="120" w:type="dxa"/>
              <w:bottom w:w="75" w:type="dxa"/>
              <w:right w:w="120" w:type="dxa"/>
            </w:tcMar>
            <w:vAlign w:val="center"/>
          </w:tcPr>
          <w:p w14:paraId="2175AC36">
            <w:pPr>
              <w:spacing w:before="75" w:after="75"/>
            </w:pPr>
            <w:r>
              <w:rPr>
                <w:rFonts w:ascii="Arial" w:hAnsi="Arial" w:eastAsia="Arial" w:cs="Arial"/>
                <w:b/>
                <w:bCs/>
                <w:i w:val="0"/>
                <w:iCs w:val="0"/>
                <w:color w:val="1F3864"/>
                <w:sz w:val="20"/>
                <w:szCs w:val="20"/>
              </w:rPr>
              <w:t>Food &amp; Beverage: 69.3% of Orders, Only 26.7% of Revenue</w:t>
            </w:r>
          </w:p>
        </w:tc>
      </w:tr>
      <w:tr w14:paraId="45F6D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nil"/>
              <w:left w:val="nil"/>
              <w:bottom w:val="nil"/>
              <w:right w:val="nil"/>
            </w:tcBorders>
            <w:shd w:val="clear" w:color="auto" w:fill="FFFFFF"/>
            <w:tcMar>
              <w:top w:w="75" w:type="dxa"/>
              <w:left w:w="120" w:type="dxa"/>
              <w:bottom w:w="75" w:type="dxa"/>
              <w:right w:w="120" w:type="dxa"/>
            </w:tcMar>
            <w:vAlign w:val="center"/>
          </w:tcPr>
          <w:p w14:paraId="03743875">
            <w:pPr>
              <w:spacing w:before="55" w:after="55"/>
              <w:jc w:val="left"/>
            </w:pPr>
          </w:p>
        </w:tc>
        <w:tc>
          <w:tcPr>
            <w:tcW w:w="87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18997EDE">
            <w:pPr>
              <w:spacing w:before="75" w:after="55"/>
            </w:pPr>
            <w:r>
              <w:rPr>
                <w:rFonts w:ascii="Arial" w:hAnsi="Arial" w:eastAsia="Arial" w:cs="Arial"/>
                <w:b w:val="0"/>
                <w:bCs w:val="0"/>
                <w:i w:val="0"/>
                <w:iCs w:val="0"/>
                <w:color w:val="1F1F1F"/>
                <w:sz w:val="18"/>
                <w:szCs w:val="18"/>
              </w:rPr>
              <w:t>COUNTIF shows 46,667 Food &amp; Beverage orders (69.3% of total), but SUMIF returns only $189,282 (26.7% of revenue). The margin formula returns 69.3% — the lowest of all three categories. Beverages alone drive 21,888 orders but at very low per-order revenue ($3.30 average).</w:t>
            </w:r>
          </w:p>
          <w:p w14:paraId="1623BF96">
            <w:pPr>
              <w:spacing w:before="40" w:after="75"/>
            </w:pPr>
            <w:r>
              <w:rPr>
                <w:rFonts w:ascii="Arial" w:hAnsi="Arial" w:eastAsia="Arial" w:cs="Arial"/>
                <w:b/>
                <w:bCs/>
                <w:i w:val="0"/>
                <w:iCs w:val="0"/>
                <w:color w:val="2E75B6"/>
                <w:sz w:val="18"/>
                <w:szCs w:val="18"/>
              </w:rPr>
              <w:t xml:space="preserve">Business Implication: </w:t>
            </w:r>
            <w:r>
              <w:rPr>
                <w:rFonts w:ascii="Arial" w:hAnsi="Arial" w:eastAsia="Arial" w:cs="Arial"/>
                <w:b w:val="0"/>
                <w:bCs w:val="0"/>
                <w:i w:val="0"/>
                <w:iCs w:val="0"/>
                <w:color w:val="1F1F1F"/>
                <w:sz w:val="18"/>
                <w:szCs w:val="18"/>
              </w:rPr>
              <w:t>This category drives frequency but not value. Improving pricing, upselling, and delivery efficiency for Beverages and Bread &amp; Cakes would significantly lift overall profitability.</w:t>
            </w:r>
          </w:p>
        </w:tc>
      </w:tr>
    </w:tbl>
    <w:p w14:paraId="508D66F7">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0"/>
        <w:gridCol w:w="8700"/>
      </w:tblGrid>
      <w:tr w14:paraId="7575A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ED7D31" w:sz="4" w:space="0"/>
              <w:left w:val="single" w:color="ED7D31" w:sz="4" w:space="0"/>
              <w:bottom w:val="single" w:color="ED7D31" w:sz="4" w:space="0"/>
              <w:right w:val="single" w:color="ED7D31" w:sz="4" w:space="0"/>
            </w:tcBorders>
            <w:shd w:val="clear" w:color="auto" w:fill="ED7D31"/>
            <w:tcMar>
              <w:top w:w="75" w:type="dxa"/>
              <w:left w:w="120" w:type="dxa"/>
              <w:bottom w:w="75" w:type="dxa"/>
              <w:right w:w="120" w:type="dxa"/>
            </w:tcMar>
            <w:vAlign w:val="center"/>
          </w:tcPr>
          <w:p w14:paraId="7E418B32">
            <w:pPr>
              <w:spacing w:before="75" w:after="75"/>
              <w:jc w:val="center"/>
            </w:pPr>
            <w:r>
              <w:rPr>
                <w:rFonts w:ascii="Arial" w:hAnsi="Arial" w:eastAsia="Arial" w:cs="Arial"/>
                <w:b/>
                <w:bCs/>
                <w:i w:val="0"/>
                <w:iCs w:val="0"/>
                <w:color w:val="FFFFFF"/>
                <w:sz w:val="18"/>
                <w:szCs w:val="18"/>
              </w:rPr>
              <w:t>F4</w:t>
            </w:r>
          </w:p>
        </w:tc>
        <w:tc>
          <w:tcPr>
            <w:tcW w:w="8700" w:type="dxa"/>
            <w:tcBorders>
              <w:top w:val="single" w:color="2E75B6" w:sz="4" w:space="0"/>
              <w:left w:val="single" w:color="2E75B6" w:sz="4" w:space="0"/>
              <w:bottom w:val="single" w:color="2E75B6" w:sz="4" w:space="0"/>
              <w:right w:val="single" w:color="2E75B6" w:sz="4" w:space="0"/>
            </w:tcBorders>
            <w:shd w:val="clear" w:color="auto" w:fill="FFF2CC"/>
            <w:tcMar>
              <w:top w:w="75" w:type="dxa"/>
              <w:left w:w="120" w:type="dxa"/>
              <w:bottom w:w="75" w:type="dxa"/>
              <w:right w:w="120" w:type="dxa"/>
            </w:tcMar>
            <w:vAlign w:val="center"/>
          </w:tcPr>
          <w:p w14:paraId="23D684EF">
            <w:pPr>
              <w:spacing w:before="75" w:after="75"/>
            </w:pPr>
            <w:r>
              <w:rPr>
                <w:rFonts w:ascii="Arial" w:hAnsi="Arial" w:eastAsia="Arial" w:cs="Arial"/>
                <w:b/>
                <w:bCs/>
                <w:i w:val="0"/>
                <w:iCs w:val="0"/>
                <w:color w:val="1F3864"/>
                <w:sz w:val="20"/>
                <w:szCs w:val="20"/>
              </w:rPr>
              <w:t>2015 Revenue Dipped −2.7% Across All States — Recovered +13.4% in 2016</w:t>
            </w:r>
          </w:p>
        </w:tc>
      </w:tr>
      <w:tr w14:paraId="1F505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nil"/>
              <w:left w:val="nil"/>
              <w:bottom w:val="nil"/>
              <w:right w:val="nil"/>
            </w:tcBorders>
            <w:shd w:val="clear" w:color="auto" w:fill="FFFFFF"/>
            <w:tcMar>
              <w:top w:w="75" w:type="dxa"/>
              <w:left w:w="120" w:type="dxa"/>
              <w:bottom w:w="75" w:type="dxa"/>
              <w:right w:w="120" w:type="dxa"/>
            </w:tcMar>
            <w:vAlign w:val="center"/>
          </w:tcPr>
          <w:p w14:paraId="1102771D">
            <w:pPr>
              <w:spacing w:before="55" w:after="55"/>
              <w:jc w:val="left"/>
            </w:pPr>
          </w:p>
        </w:tc>
        <w:tc>
          <w:tcPr>
            <w:tcW w:w="87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390DF0B9">
            <w:pPr>
              <w:spacing w:before="75" w:after="55"/>
            </w:pPr>
            <w:r>
              <w:rPr>
                <w:rFonts w:ascii="Arial" w:hAnsi="Arial" w:eastAsia="Arial" w:cs="Arial"/>
                <w:b w:val="0"/>
                <w:bCs w:val="0"/>
                <w:i w:val="0"/>
                <w:iCs w:val="0"/>
                <w:color w:val="1F1F1F"/>
                <w:sz w:val="18"/>
                <w:szCs w:val="18"/>
              </w:rPr>
              <w:t>The YoY growth formula =(B_2015-B_2014)/B_2014 returns −2.7% for 2015. Checking SUMIFS by state confirms the dip occurred in all 5 states simultaneously. The 2016 recovery formula returns +13.4% — the strongest growth year in the dataset.</w:t>
            </w:r>
          </w:p>
          <w:p w14:paraId="57BC02CF">
            <w:pPr>
              <w:spacing w:before="40" w:after="75"/>
            </w:pPr>
            <w:r>
              <w:rPr>
                <w:rFonts w:ascii="Arial" w:hAnsi="Arial" w:eastAsia="Arial" w:cs="Arial"/>
                <w:b/>
                <w:bCs/>
                <w:i w:val="0"/>
                <w:iCs w:val="0"/>
                <w:color w:val="2E75B6"/>
                <w:sz w:val="18"/>
                <w:szCs w:val="18"/>
              </w:rPr>
              <w:t xml:space="preserve">Business Implication: </w:t>
            </w:r>
            <w:r>
              <w:rPr>
                <w:rFonts w:ascii="Arial" w:hAnsi="Arial" w:eastAsia="Arial" w:cs="Arial"/>
                <w:b w:val="0"/>
                <w:bCs w:val="0"/>
                <w:i w:val="0"/>
                <w:iCs w:val="0"/>
                <w:color w:val="1F1F1F"/>
                <w:sz w:val="18"/>
                <w:szCs w:val="18"/>
              </w:rPr>
              <w:t>A simultaneous decline across all states rules out a regional issue — this was a systemic cause. Understanding what drove the 2016 recovery is equally important to sustain it.</w:t>
            </w:r>
          </w:p>
        </w:tc>
      </w:tr>
    </w:tbl>
    <w:p w14:paraId="19472839">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0"/>
        <w:gridCol w:w="8700"/>
      </w:tblGrid>
      <w:tr w14:paraId="1AB19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7030A0" w:sz="4" w:space="0"/>
              <w:left w:val="single" w:color="7030A0" w:sz="4" w:space="0"/>
              <w:bottom w:val="single" w:color="7030A0" w:sz="4" w:space="0"/>
              <w:right w:val="single" w:color="7030A0" w:sz="4" w:space="0"/>
            </w:tcBorders>
            <w:shd w:val="clear" w:color="auto" w:fill="7030A0"/>
            <w:tcMar>
              <w:top w:w="75" w:type="dxa"/>
              <w:left w:w="120" w:type="dxa"/>
              <w:bottom w:w="75" w:type="dxa"/>
              <w:right w:w="120" w:type="dxa"/>
            </w:tcMar>
            <w:vAlign w:val="center"/>
          </w:tcPr>
          <w:p w14:paraId="1EA7FBF3">
            <w:pPr>
              <w:spacing w:before="75" w:after="75"/>
              <w:jc w:val="center"/>
            </w:pPr>
            <w:r>
              <w:rPr>
                <w:rFonts w:ascii="Arial" w:hAnsi="Arial" w:eastAsia="Arial" w:cs="Arial"/>
                <w:b/>
                <w:bCs/>
                <w:i w:val="0"/>
                <w:iCs w:val="0"/>
                <w:color w:val="FFFFFF"/>
                <w:sz w:val="18"/>
                <w:szCs w:val="18"/>
              </w:rPr>
              <w:t>F5</w:t>
            </w:r>
          </w:p>
        </w:tc>
        <w:tc>
          <w:tcPr>
            <w:tcW w:w="8700" w:type="dxa"/>
            <w:tcBorders>
              <w:top w:val="single" w:color="2E75B6" w:sz="4" w:space="0"/>
              <w:left w:val="single" w:color="2E75B6" w:sz="4" w:space="0"/>
              <w:bottom w:val="single" w:color="2E75B6" w:sz="4" w:space="0"/>
              <w:right w:val="single" w:color="2E75B6" w:sz="4" w:space="0"/>
            </w:tcBorders>
            <w:shd w:val="clear" w:color="auto" w:fill="EAD1F5"/>
            <w:tcMar>
              <w:top w:w="75" w:type="dxa"/>
              <w:left w:w="120" w:type="dxa"/>
              <w:bottom w:w="75" w:type="dxa"/>
              <w:right w:w="120" w:type="dxa"/>
            </w:tcMar>
            <w:vAlign w:val="center"/>
          </w:tcPr>
          <w:p w14:paraId="239F0766">
            <w:pPr>
              <w:spacing w:before="75" w:after="75"/>
            </w:pPr>
            <w:r>
              <w:rPr>
                <w:rFonts w:ascii="Arial" w:hAnsi="Arial" w:eastAsia="Arial" w:cs="Arial"/>
                <w:b/>
                <w:bCs/>
                <w:i w:val="0"/>
                <w:iCs w:val="0"/>
                <w:color w:val="1F3864"/>
                <w:sz w:val="20"/>
                <w:szCs w:val="20"/>
              </w:rPr>
              <w:t>Review Score 4 Customers Are the Most Frequent Buyers</w:t>
            </w:r>
          </w:p>
        </w:tc>
      </w:tr>
      <w:tr w14:paraId="72AAB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nil"/>
              <w:left w:val="nil"/>
              <w:bottom w:val="nil"/>
              <w:right w:val="nil"/>
            </w:tcBorders>
            <w:shd w:val="clear" w:color="auto" w:fill="FFFFFF"/>
            <w:tcMar>
              <w:top w:w="75" w:type="dxa"/>
              <w:left w:w="120" w:type="dxa"/>
              <w:bottom w:w="75" w:type="dxa"/>
              <w:right w:w="120" w:type="dxa"/>
            </w:tcMar>
            <w:vAlign w:val="center"/>
          </w:tcPr>
          <w:p w14:paraId="0C7FC82C">
            <w:pPr>
              <w:spacing w:before="55" w:after="55"/>
              <w:jc w:val="left"/>
            </w:pPr>
          </w:p>
        </w:tc>
        <w:tc>
          <w:tcPr>
            <w:tcW w:w="87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327B618C">
            <w:pPr>
              <w:spacing w:before="75" w:after="55"/>
            </w:pPr>
            <w:r>
              <w:rPr>
                <w:rFonts w:ascii="Arial" w:hAnsi="Arial" w:eastAsia="Arial" w:cs="Arial"/>
                <w:b w:val="0"/>
                <w:bCs w:val="0"/>
                <w:i w:val="0"/>
                <w:iCs w:val="0"/>
                <w:color w:val="1F1F1F"/>
                <w:sz w:val="18"/>
                <w:szCs w:val="18"/>
              </w:rPr>
              <w:t>COUNTIF by review score shows: Score 4 = 22,491 orders (33.4%), Score 5 = 17,848 (26.5%), Score 3 = 13,392 (19.9%), Score 1–2 = 13,644 (20.2%). SUMIF by score shows Score 4 generates the most revenue ($238,164 — 33.6% of total). Score 1–2 customers together generate only 20.5% of revenue despite 20.2% of orders.</w:t>
            </w:r>
          </w:p>
          <w:p w14:paraId="1DA60E4D">
            <w:pPr>
              <w:spacing w:before="40" w:after="75"/>
            </w:pPr>
            <w:r>
              <w:rPr>
                <w:rFonts w:ascii="Arial" w:hAnsi="Arial" w:eastAsia="Arial" w:cs="Arial"/>
                <w:b/>
                <w:bCs/>
                <w:i w:val="0"/>
                <w:iCs w:val="0"/>
                <w:color w:val="2E75B6"/>
                <w:sz w:val="18"/>
                <w:szCs w:val="18"/>
              </w:rPr>
              <w:t xml:space="preserve">Business Implication: </w:t>
            </w:r>
            <w:r>
              <w:rPr>
                <w:rFonts w:ascii="Arial" w:hAnsi="Arial" w:eastAsia="Arial" w:cs="Arial"/>
                <w:b w:val="0"/>
                <w:bCs w:val="0"/>
                <w:i w:val="0"/>
                <w:iCs w:val="0"/>
                <w:color w:val="1F1F1F"/>
                <w:sz w:val="18"/>
                <w:szCs w:val="18"/>
              </w:rPr>
              <w:t>Score 4 is the loyalty sweet spot — these customers buy most frequently. Converting low-scorers (1–2) to score 3+ would have measurable revenue impact given their current under-representation.</w:t>
            </w:r>
          </w:p>
        </w:tc>
      </w:tr>
    </w:tbl>
    <w:p w14:paraId="47474744">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0"/>
        <w:gridCol w:w="8700"/>
      </w:tblGrid>
      <w:tr w14:paraId="2395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1F3864" w:sz="4" w:space="0"/>
              <w:left w:val="single" w:color="1F3864" w:sz="4" w:space="0"/>
              <w:bottom w:val="single" w:color="1F3864" w:sz="4" w:space="0"/>
              <w:right w:val="single" w:color="1F3864" w:sz="4" w:space="0"/>
            </w:tcBorders>
            <w:shd w:val="clear" w:color="auto" w:fill="1F3864"/>
            <w:tcMar>
              <w:top w:w="75" w:type="dxa"/>
              <w:left w:w="120" w:type="dxa"/>
              <w:bottom w:w="75" w:type="dxa"/>
              <w:right w:w="120" w:type="dxa"/>
            </w:tcMar>
            <w:vAlign w:val="center"/>
          </w:tcPr>
          <w:p w14:paraId="3C81205A">
            <w:pPr>
              <w:spacing w:before="75" w:after="75"/>
              <w:jc w:val="center"/>
            </w:pPr>
            <w:r>
              <w:rPr>
                <w:rFonts w:ascii="Arial" w:hAnsi="Arial" w:eastAsia="Arial" w:cs="Arial"/>
                <w:b/>
                <w:bCs/>
                <w:i w:val="0"/>
                <w:iCs w:val="0"/>
                <w:color w:val="FFFFFF"/>
                <w:sz w:val="18"/>
                <w:szCs w:val="18"/>
              </w:rPr>
              <w:t>F6</w:t>
            </w:r>
          </w:p>
        </w:tc>
        <w:tc>
          <w:tcPr>
            <w:tcW w:w="8700" w:type="dxa"/>
            <w:tcBorders>
              <w:top w:val="single" w:color="2E75B6" w:sz="4" w:space="0"/>
              <w:left w:val="single" w:color="2E75B6" w:sz="4" w:space="0"/>
              <w:bottom w:val="single" w:color="2E75B6" w:sz="4" w:space="0"/>
              <w:right w:val="single" w:color="2E75B6" w:sz="4" w:space="0"/>
            </w:tcBorders>
            <w:shd w:val="clear" w:color="auto" w:fill="DEEAF1"/>
            <w:tcMar>
              <w:top w:w="75" w:type="dxa"/>
              <w:left w:w="120" w:type="dxa"/>
              <w:bottom w:w="75" w:type="dxa"/>
              <w:right w:w="120" w:type="dxa"/>
            </w:tcMar>
            <w:vAlign w:val="center"/>
          </w:tcPr>
          <w:p w14:paraId="05157C50">
            <w:pPr>
              <w:spacing w:before="75" w:after="75"/>
            </w:pPr>
            <w:r>
              <w:rPr>
                <w:rFonts w:ascii="Arial" w:hAnsi="Arial" w:eastAsia="Arial" w:cs="Arial"/>
                <w:b/>
                <w:bCs/>
                <w:i w:val="0"/>
                <w:iCs w:val="0"/>
                <w:color w:val="1F3864"/>
                <w:sz w:val="20"/>
                <w:szCs w:val="20"/>
              </w:rPr>
              <w:t>Adult Customers (Age 30–50) Drive 59.3% of Revenue</w:t>
            </w:r>
          </w:p>
        </w:tc>
      </w:tr>
      <w:tr w14:paraId="63CCE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nil"/>
              <w:left w:val="nil"/>
              <w:bottom w:val="nil"/>
              <w:right w:val="nil"/>
            </w:tcBorders>
            <w:shd w:val="clear" w:color="auto" w:fill="FFFFFF"/>
            <w:tcMar>
              <w:top w:w="75" w:type="dxa"/>
              <w:left w:w="120" w:type="dxa"/>
              <w:bottom w:w="75" w:type="dxa"/>
              <w:right w:w="120" w:type="dxa"/>
            </w:tcMar>
            <w:vAlign w:val="center"/>
          </w:tcPr>
          <w:p w14:paraId="76436BCE">
            <w:pPr>
              <w:spacing w:before="55" w:after="55"/>
              <w:jc w:val="left"/>
            </w:pPr>
          </w:p>
        </w:tc>
        <w:tc>
          <w:tcPr>
            <w:tcW w:w="87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43B454AF">
            <w:pPr>
              <w:spacing w:before="75" w:after="55"/>
            </w:pPr>
            <w:r>
              <w:rPr>
                <w:rFonts w:ascii="Arial" w:hAnsi="Arial" w:eastAsia="Arial" w:cs="Arial"/>
                <w:b w:val="0"/>
                <w:bCs w:val="0"/>
                <w:i w:val="0"/>
                <w:iCs w:val="0"/>
                <w:color w:val="1F1F1F"/>
                <w:sz w:val="18"/>
                <w:szCs w:val="18"/>
              </w:rPr>
              <w:t>SUMPRODUCT with age boundary conditions returns: 26–35 age group = $211,787 (29.9%) and 36–45 = $213,380 (30.1%) together accounting for $425,167 (60.0% of total revenue). The 17–25 group contributes $109,541 (15.5%) and 65+ only $3,563 (0.5%).</w:t>
            </w:r>
          </w:p>
          <w:p w14:paraId="56E782F9">
            <w:pPr>
              <w:spacing w:before="40" w:after="75"/>
            </w:pPr>
            <w:r>
              <w:rPr>
                <w:rFonts w:ascii="Arial" w:hAnsi="Arial" w:eastAsia="Arial" w:cs="Arial"/>
                <w:b/>
                <w:bCs/>
                <w:i w:val="0"/>
                <w:iCs w:val="0"/>
                <w:color w:val="2E75B6"/>
                <w:sz w:val="18"/>
                <w:szCs w:val="18"/>
              </w:rPr>
              <w:t xml:space="preserve">Business Implication: </w:t>
            </w:r>
            <w:r>
              <w:rPr>
                <w:rFonts w:ascii="Arial" w:hAnsi="Arial" w:eastAsia="Arial" w:cs="Arial"/>
                <w:b w:val="0"/>
                <w:bCs w:val="0"/>
                <w:i w:val="0"/>
                <w:iCs w:val="0"/>
                <w:color w:val="1F1F1F"/>
                <w:sz w:val="18"/>
                <w:szCs w:val="18"/>
              </w:rPr>
              <w:t>Product selection, pricing, and marketing messaging should be primarily designed for the 26–45 age range which represents 60% of purchasing power.</w:t>
            </w:r>
          </w:p>
        </w:tc>
      </w:tr>
    </w:tbl>
    <w:p w14:paraId="4FBD9478">
      <w:pPr>
        <w:spacing w:before="20" w:after="20"/>
      </w:pPr>
    </w:p>
    <w:p w14:paraId="33B4C49D">
      <w:pPr>
        <w:spacing w:before="20" w:after="20"/>
      </w:pPr>
    </w:p>
    <w:p w14:paraId="32109DAE">
      <w:pPr>
        <w:spacing w:before="20" w:after="20"/>
      </w:pPr>
    </w:p>
    <w:p w14:paraId="0B035E7C">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0"/>
        <w:gridCol w:w="8700"/>
      </w:tblGrid>
      <w:tr w14:paraId="26CD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217346" w:sz="4" w:space="0"/>
              <w:left w:val="single" w:color="217346" w:sz="4" w:space="0"/>
              <w:bottom w:val="single" w:color="217346" w:sz="4" w:space="0"/>
              <w:right w:val="single" w:color="217346" w:sz="4" w:space="0"/>
            </w:tcBorders>
            <w:shd w:val="clear" w:color="auto" w:fill="217346"/>
            <w:tcMar>
              <w:top w:w="75" w:type="dxa"/>
              <w:left w:w="120" w:type="dxa"/>
              <w:bottom w:w="75" w:type="dxa"/>
              <w:right w:w="120" w:type="dxa"/>
            </w:tcMar>
            <w:vAlign w:val="center"/>
          </w:tcPr>
          <w:p w14:paraId="041E2327">
            <w:pPr>
              <w:spacing w:before="75" w:after="75"/>
              <w:jc w:val="center"/>
            </w:pPr>
            <w:r>
              <w:rPr>
                <w:rFonts w:ascii="Arial" w:hAnsi="Arial" w:eastAsia="Arial" w:cs="Arial"/>
                <w:b/>
                <w:bCs/>
                <w:i w:val="0"/>
                <w:iCs w:val="0"/>
                <w:color w:val="FFFFFF"/>
                <w:sz w:val="18"/>
                <w:szCs w:val="18"/>
              </w:rPr>
              <w:t>F7</w:t>
            </w:r>
          </w:p>
        </w:tc>
        <w:tc>
          <w:tcPr>
            <w:tcW w:w="8700" w:type="dxa"/>
            <w:tcBorders>
              <w:top w:val="single" w:color="2E75B6" w:sz="4" w:space="0"/>
              <w:left w:val="single" w:color="2E75B6" w:sz="4" w:space="0"/>
              <w:bottom w:val="single" w:color="2E75B6" w:sz="4" w:space="0"/>
              <w:right w:val="single" w:color="2E75B6" w:sz="4" w:space="0"/>
            </w:tcBorders>
            <w:shd w:val="clear" w:color="auto" w:fill="E2EFDA"/>
            <w:tcMar>
              <w:top w:w="75" w:type="dxa"/>
              <w:left w:w="120" w:type="dxa"/>
              <w:bottom w:w="75" w:type="dxa"/>
              <w:right w:w="120" w:type="dxa"/>
            </w:tcMar>
            <w:vAlign w:val="center"/>
          </w:tcPr>
          <w:p w14:paraId="0209EE9F">
            <w:pPr>
              <w:spacing w:before="75" w:after="75"/>
            </w:pPr>
            <w:r>
              <w:rPr>
                <w:rFonts w:ascii="Arial" w:hAnsi="Arial" w:eastAsia="Arial" w:cs="Arial"/>
                <w:b/>
                <w:bCs/>
                <w:i w:val="0"/>
                <w:iCs w:val="0"/>
                <w:color w:val="1F3864"/>
                <w:sz w:val="20"/>
                <w:szCs w:val="20"/>
              </w:rPr>
              <w:t>College-Educated Customers Generate the Most Revenue</w:t>
            </w:r>
          </w:p>
        </w:tc>
      </w:tr>
      <w:tr w14:paraId="29146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nil"/>
              <w:left w:val="nil"/>
              <w:bottom w:val="nil"/>
              <w:right w:val="nil"/>
            </w:tcBorders>
            <w:shd w:val="clear" w:color="auto" w:fill="FFFFFF"/>
            <w:tcMar>
              <w:top w:w="75" w:type="dxa"/>
              <w:left w:w="120" w:type="dxa"/>
              <w:bottom w:w="75" w:type="dxa"/>
              <w:right w:w="120" w:type="dxa"/>
            </w:tcMar>
            <w:vAlign w:val="center"/>
          </w:tcPr>
          <w:p w14:paraId="76B7EE68">
            <w:pPr>
              <w:spacing w:before="55" w:after="55"/>
              <w:jc w:val="left"/>
            </w:pPr>
          </w:p>
        </w:tc>
        <w:tc>
          <w:tcPr>
            <w:tcW w:w="87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621B3E7C">
            <w:pPr>
              <w:spacing w:before="75" w:after="55"/>
            </w:pPr>
            <w:r>
              <w:rPr>
                <w:rFonts w:ascii="Arial" w:hAnsi="Arial" w:eastAsia="Arial" w:cs="Arial"/>
                <w:b w:val="0"/>
                <w:bCs w:val="0"/>
                <w:i w:val="0"/>
                <w:iCs w:val="0"/>
                <w:color w:val="1F1F1F"/>
                <w:sz w:val="18"/>
                <w:szCs w:val="18"/>
              </w:rPr>
              <w:t>SUMIF on the pre-joined education helper column R returns: College = $257,611 (36.3% share), High School = $148,020 (20.9%), Bachelor = $106,340 (15.0%), Master = $96,278 (13.6%), Uneducated = $55,723 (7.9%), Doctorate = $44,626 (6.3%). COUNTIF confirms College also has the most orders (24,278).</w:t>
            </w:r>
          </w:p>
          <w:p w14:paraId="74C077EA">
            <w:pPr>
              <w:spacing w:before="40" w:after="75"/>
            </w:pPr>
            <w:r>
              <w:rPr>
                <w:rFonts w:ascii="Arial" w:hAnsi="Arial" w:eastAsia="Arial" w:cs="Arial"/>
                <w:b/>
                <w:bCs/>
                <w:i w:val="0"/>
                <w:iCs w:val="0"/>
                <w:color w:val="2E75B6"/>
                <w:sz w:val="18"/>
                <w:szCs w:val="18"/>
              </w:rPr>
              <w:t xml:space="preserve">Business Implication: </w:t>
            </w:r>
            <w:r>
              <w:rPr>
                <w:rFonts w:ascii="Arial" w:hAnsi="Arial" w:eastAsia="Arial" w:cs="Arial"/>
                <w:b w:val="0"/>
                <w:bCs w:val="0"/>
                <w:i w:val="0"/>
                <w:iCs w:val="0"/>
                <w:color w:val="1F1F1F"/>
                <w:sz w:val="18"/>
                <w:szCs w:val="18"/>
              </w:rPr>
              <w:t>Marketing channels that reach College-educated demographics (professional networks, targeted digital) offer the highest revenue return per acquisition effort.</w:t>
            </w:r>
          </w:p>
        </w:tc>
      </w:tr>
    </w:tbl>
    <w:p w14:paraId="0F7D0E31">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0"/>
        <w:gridCol w:w="8700"/>
      </w:tblGrid>
      <w:tr w14:paraId="29A37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ED7D31" w:sz="4" w:space="0"/>
              <w:left w:val="single" w:color="ED7D31" w:sz="4" w:space="0"/>
              <w:bottom w:val="single" w:color="ED7D31" w:sz="4" w:space="0"/>
              <w:right w:val="single" w:color="ED7D31" w:sz="4" w:space="0"/>
            </w:tcBorders>
            <w:shd w:val="clear" w:color="auto" w:fill="ED7D31"/>
            <w:tcMar>
              <w:top w:w="75" w:type="dxa"/>
              <w:left w:w="120" w:type="dxa"/>
              <w:bottom w:w="75" w:type="dxa"/>
              <w:right w:w="120" w:type="dxa"/>
            </w:tcMar>
            <w:vAlign w:val="center"/>
          </w:tcPr>
          <w:p w14:paraId="1412FF1F">
            <w:pPr>
              <w:spacing w:before="75" w:after="75"/>
              <w:jc w:val="center"/>
            </w:pPr>
            <w:r>
              <w:rPr>
                <w:rFonts w:ascii="Arial" w:hAnsi="Arial" w:eastAsia="Arial" w:cs="Arial"/>
                <w:b/>
                <w:bCs/>
                <w:i w:val="0"/>
                <w:iCs w:val="0"/>
                <w:color w:val="FFFFFF"/>
                <w:sz w:val="18"/>
                <w:szCs w:val="18"/>
              </w:rPr>
              <w:t>F8</w:t>
            </w:r>
          </w:p>
        </w:tc>
        <w:tc>
          <w:tcPr>
            <w:tcW w:w="8700" w:type="dxa"/>
            <w:tcBorders>
              <w:top w:val="single" w:color="2E75B6" w:sz="4" w:space="0"/>
              <w:left w:val="single" w:color="2E75B6" w:sz="4" w:space="0"/>
              <w:bottom w:val="single" w:color="2E75B6" w:sz="4" w:space="0"/>
              <w:right w:val="single" w:color="2E75B6" w:sz="4" w:space="0"/>
            </w:tcBorders>
            <w:shd w:val="clear" w:color="auto" w:fill="FFF2CC"/>
            <w:tcMar>
              <w:top w:w="75" w:type="dxa"/>
              <w:left w:w="120" w:type="dxa"/>
              <w:bottom w:w="75" w:type="dxa"/>
              <w:right w:w="120" w:type="dxa"/>
            </w:tcMar>
            <w:vAlign w:val="center"/>
          </w:tcPr>
          <w:p w14:paraId="404B8D6D">
            <w:pPr>
              <w:spacing w:before="75" w:after="75"/>
            </w:pPr>
            <w:r>
              <w:rPr>
                <w:rFonts w:ascii="Arial" w:hAnsi="Arial" w:eastAsia="Arial" w:cs="Arial"/>
                <w:b/>
                <w:bCs/>
                <w:i w:val="0"/>
                <w:iCs w:val="0"/>
                <w:color w:val="1F3864"/>
                <w:sz w:val="20"/>
                <w:szCs w:val="20"/>
              </w:rPr>
              <w:t>Customers Without Pets Generate 57.4% of Revenue</w:t>
            </w:r>
          </w:p>
        </w:tc>
      </w:tr>
      <w:tr w14:paraId="0612A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nil"/>
              <w:left w:val="nil"/>
              <w:bottom w:val="nil"/>
              <w:right w:val="nil"/>
            </w:tcBorders>
            <w:shd w:val="clear" w:color="auto" w:fill="FFFFFF"/>
            <w:tcMar>
              <w:top w:w="75" w:type="dxa"/>
              <w:left w:w="120" w:type="dxa"/>
              <w:bottom w:w="75" w:type="dxa"/>
              <w:right w:w="120" w:type="dxa"/>
            </w:tcMar>
            <w:vAlign w:val="center"/>
          </w:tcPr>
          <w:p w14:paraId="2F3E85F7">
            <w:pPr>
              <w:spacing w:before="55" w:after="55"/>
              <w:jc w:val="left"/>
            </w:pPr>
          </w:p>
        </w:tc>
        <w:tc>
          <w:tcPr>
            <w:tcW w:w="87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601A2947">
            <w:pPr>
              <w:spacing w:before="75" w:after="55"/>
            </w:pPr>
            <w:r>
              <w:rPr>
                <w:rFonts w:ascii="Arial" w:hAnsi="Arial" w:eastAsia="Arial" w:cs="Arial"/>
                <w:b w:val="0"/>
                <w:bCs w:val="0"/>
                <w:i w:val="0"/>
                <w:iCs w:val="0"/>
                <w:color w:val="1F1F1F"/>
                <w:sz w:val="18"/>
                <w:szCs w:val="18"/>
              </w:rPr>
              <w:t>SUMIF on the pets helper column T returns: No pets = $406,625 (57.4%), Dog = $151,695 (21.4%), Cat = $101,321 (14.3%), Cat and dog = $48,957 (6.9%). Despite 56.9% of customers owning a pet (COUNTIF from Customers_Data), no pet-related product category exists in the current range.</w:t>
            </w:r>
          </w:p>
          <w:p w14:paraId="7AC812A9">
            <w:pPr>
              <w:spacing w:before="40" w:after="75"/>
            </w:pPr>
            <w:r>
              <w:rPr>
                <w:rFonts w:ascii="Arial" w:hAnsi="Arial" w:eastAsia="Arial" w:cs="Arial"/>
                <w:b/>
                <w:bCs/>
                <w:i w:val="0"/>
                <w:iCs w:val="0"/>
                <w:color w:val="2E75B6"/>
                <w:sz w:val="18"/>
                <w:szCs w:val="18"/>
              </w:rPr>
              <w:t xml:space="preserve">Business Implication: </w:t>
            </w:r>
            <w:r>
              <w:rPr>
                <w:rFonts w:ascii="Arial" w:hAnsi="Arial" w:eastAsia="Arial" w:cs="Arial"/>
                <w:b w:val="0"/>
                <w:bCs w:val="0"/>
                <w:i w:val="0"/>
                <w:iCs w:val="0"/>
                <w:color w:val="1F1F1F"/>
                <w:sz w:val="18"/>
                <w:szCs w:val="18"/>
              </w:rPr>
              <w:t>Introducing a pet food or accessories sub-category within Food &amp; Beverage could serve the majority of the customer base with zero customer acquisition cost.</w:t>
            </w:r>
          </w:p>
        </w:tc>
      </w:tr>
    </w:tbl>
    <w:p w14:paraId="2D1E3C40">
      <w:pPr>
        <w:spacing w:before="20" w:after="20"/>
      </w:pPr>
    </w:p>
    <w:p w14:paraId="00579CC7">
      <w:pPr>
        <w:pBdr>
          <w:bottom w:val="single" w:color="2E75B6" w:sz="6" w:space="1"/>
        </w:pBdr>
        <w:spacing w:before="80" w:after="80"/>
      </w:pPr>
    </w:p>
    <w:p w14:paraId="76E422A8">
      <w:pPr>
        <w:pStyle w:val="2"/>
        <w:shd w:val="clear" w:fill="1F3864"/>
        <w:spacing w:before="260" w:after="140"/>
      </w:pPr>
      <w:r>
        <w:rPr>
          <w:rFonts w:ascii="Arial" w:hAnsi="Arial" w:eastAsia="Arial" w:cs="Arial"/>
          <w:b/>
          <w:bCs/>
          <w:color w:val="FFFFFF"/>
          <w:sz w:val="40"/>
          <w:szCs w:val="40"/>
        </w:rPr>
        <w:t>7.  Recommendations</w:t>
      </w:r>
    </w:p>
    <w:p w14:paraId="5FDB3F6B">
      <w:pPr>
        <w:spacing w:before="20" w:after="20"/>
      </w:pPr>
    </w:p>
    <w:p w14:paraId="49AF4B4F">
      <w:pPr>
        <w:spacing w:before="55" w:after="55" w:line="296" w:lineRule="auto"/>
      </w:pPr>
      <w:r>
        <w:rPr>
          <w:rFonts w:ascii="Arial" w:hAnsi="Arial" w:eastAsia="Arial" w:cs="Arial"/>
          <w:b w:val="0"/>
          <w:bCs w:val="0"/>
          <w:i w:val="0"/>
          <w:iCs w:val="0"/>
          <w:color w:val="1F1F1F"/>
          <w:sz w:val="20"/>
          <w:szCs w:val="20"/>
        </w:rPr>
        <w:t>Eight data-backed recommendations derived from the Excel formula outputs, prioritised by business impact and execution effort.</w:t>
      </w:r>
    </w:p>
    <w:p w14:paraId="0BC5061E">
      <w:pPr>
        <w:spacing w:before="20" w:after="20"/>
      </w:pPr>
    </w:p>
    <w:p w14:paraId="3B841496">
      <w:pPr>
        <w:pStyle w:val="3"/>
        <w:pBdr>
          <w:bottom w:val="single" w:color="2E75B6" w:sz="4" w:space="2"/>
        </w:pBdr>
        <w:spacing w:before="200" w:after="80"/>
      </w:pPr>
      <w:r>
        <w:rPr>
          <w:rFonts w:ascii="Arial" w:hAnsi="Arial" w:eastAsia="Arial" w:cs="Arial"/>
          <w:b/>
          <w:bCs/>
          <w:color w:val="C00000"/>
          <w:sz w:val="26"/>
          <w:szCs w:val="26"/>
        </w:rPr>
        <w:t>Priority 1 — HIGH IMPACT  (Action within 30 days)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8"/>
        <w:gridCol w:w="1759"/>
        <w:gridCol w:w="3755"/>
        <w:gridCol w:w="2198"/>
        <w:gridCol w:w="1200"/>
      </w:tblGrid>
      <w:tr w14:paraId="22BF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CCCCCC" w:sz="4" w:space="0"/>
              <w:left w:val="single" w:color="CCCCCC" w:sz="4" w:space="0"/>
              <w:bottom w:val="single" w:color="CCCCCC" w:sz="4" w:space="0"/>
              <w:right w:val="single" w:color="CCCCCC" w:sz="4" w:space="0"/>
            </w:tcBorders>
            <w:shd w:val="clear" w:color="auto" w:fill="C00000"/>
            <w:tcMar>
              <w:top w:w="75" w:type="dxa"/>
              <w:left w:w="120" w:type="dxa"/>
              <w:bottom w:w="75" w:type="dxa"/>
              <w:right w:w="120" w:type="dxa"/>
            </w:tcMar>
            <w:vAlign w:val="center"/>
          </w:tcPr>
          <w:p w14:paraId="0F96FBB0">
            <w:pPr>
              <w:spacing w:before="55" w:after="55"/>
              <w:jc w:val="center"/>
            </w:pPr>
            <w:r>
              <w:rPr>
                <w:rFonts w:ascii="Arial" w:hAnsi="Arial" w:eastAsia="Arial" w:cs="Arial"/>
                <w:b/>
                <w:bCs/>
                <w:i w:val="0"/>
                <w:iCs w:val="0"/>
                <w:color w:val="FFFFFF"/>
                <w:sz w:val="17"/>
                <w:szCs w:val="17"/>
              </w:rPr>
              <w:t>P</w:t>
            </w:r>
          </w:p>
        </w:tc>
        <w:tc>
          <w:tcPr>
            <w:tcW w:w="1760" w:type="dxa"/>
            <w:tcBorders>
              <w:top w:val="single" w:color="CCCCCC" w:sz="4" w:space="0"/>
              <w:left w:val="single" w:color="CCCCCC" w:sz="4" w:space="0"/>
              <w:bottom w:val="single" w:color="CCCCCC" w:sz="4" w:space="0"/>
              <w:right w:val="single" w:color="CCCCCC" w:sz="4" w:space="0"/>
            </w:tcBorders>
            <w:shd w:val="clear" w:color="auto" w:fill="C00000"/>
            <w:tcMar>
              <w:top w:w="75" w:type="dxa"/>
              <w:left w:w="120" w:type="dxa"/>
              <w:bottom w:w="75" w:type="dxa"/>
              <w:right w:w="120" w:type="dxa"/>
            </w:tcMar>
            <w:vAlign w:val="center"/>
          </w:tcPr>
          <w:p w14:paraId="347C88FB">
            <w:pPr>
              <w:spacing w:before="55" w:after="55"/>
              <w:jc w:val="center"/>
            </w:pPr>
            <w:r>
              <w:rPr>
                <w:rFonts w:ascii="Arial" w:hAnsi="Arial" w:eastAsia="Arial" w:cs="Arial"/>
                <w:b/>
                <w:bCs/>
                <w:i w:val="0"/>
                <w:iCs w:val="0"/>
                <w:color w:val="FFFFFF"/>
                <w:sz w:val="17"/>
                <w:szCs w:val="17"/>
              </w:rPr>
              <w:t>Recommendation</w:t>
            </w:r>
          </w:p>
        </w:tc>
        <w:tc>
          <w:tcPr>
            <w:tcW w:w="3760" w:type="dxa"/>
            <w:tcBorders>
              <w:top w:val="single" w:color="CCCCCC" w:sz="4" w:space="0"/>
              <w:left w:val="single" w:color="CCCCCC" w:sz="4" w:space="0"/>
              <w:bottom w:val="single" w:color="CCCCCC" w:sz="4" w:space="0"/>
              <w:right w:val="single" w:color="CCCCCC" w:sz="4" w:space="0"/>
            </w:tcBorders>
            <w:shd w:val="clear" w:color="auto" w:fill="C00000"/>
            <w:tcMar>
              <w:top w:w="75" w:type="dxa"/>
              <w:left w:w="120" w:type="dxa"/>
              <w:bottom w:w="75" w:type="dxa"/>
              <w:right w:w="120" w:type="dxa"/>
            </w:tcMar>
            <w:vAlign w:val="center"/>
          </w:tcPr>
          <w:p w14:paraId="0EE5C9CE">
            <w:pPr>
              <w:spacing w:before="55" w:after="55"/>
              <w:jc w:val="center"/>
            </w:pPr>
            <w:r>
              <w:rPr>
                <w:rFonts w:ascii="Arial" w:hAnsi="Arial" w:eastAsia="Arial" w:cs="Arial"/>
                <w:b/>
                <w:bCs/>
                <w:i w:val="0"/>
                <w:iCs w:val="0"/>
                <w:color w:val="FFFFFF"/>
                <w:sz w:val="17"/>
                <w:szCs w:val="17"/>
              </w:rPr>
              <w:t>Action</w:t>
            </w:r>
          </w:p>
        </w:tc>
        <w:tc>
          <w:tcPr>
            <w:tcW w:w="2200" w:type="dxa"/>
            <w:tcBorders>
              <w:top w:val="single" w:color="CCCCCC" w:sz="4" w:space="0"/>
              <w:left w:val="single" w:color="CCCCCC" w:sz="4" w:space="0"/>
              <w:bottom w:val="single" w:color="CCCCCC" w:sz="4" w:space="0"/>
              <w:right w:val="single" w:color="CCCCCC" w:sz="4" w:space="0"/>
            </w:tcBorders>
            <w:shd w:val="clear" w:color="auto" w:fill="C00000"/>
            <w:tcMar>
              <w:top w:w="75" w:type="dxa"/>
              <w:left w:w="120" w:type="dxa"/>
              <w:bottom w:w="75" w:type="dxa"/>
              <w:right w:w="120" w:type="dxa"/>
            </w:tcMar>
            <w:vAlign w:val="center"/>
          </w:tcPr>
          <w:p w14:paraId="739E25FC">
            <w:pPr>
              <w:spacing w:before="55" w:after="55"/>
              <w:jc w:val="center"/>
            </w:pPr>
            <w:r>
              <w:rPr>
                <w:rFonts w:ascii="Arial" w:hAnsi="Arial" w:eastAsia="Arial" w:cs="Arial"/>
                <w:b/>
                <w:bCs/>
                <w:i w:val="0"/>
                <w:iCs w:val="0"/>
                <w:color w:val="FFFFFF"/>
                <w:sz w:val="17"/>
                <w:szCs w:val="17"/>
              </w:rPr>
              <w:t>Success Metric</w:t>
            </w:r>
          </w:p>
        </w:tc>
        <w:tc>
          <w:tcPr>
            <w:tcW w:w="1200" w:type="dxa"/>
            <w:tcBorders>
              <w:top w:val="single" w:color="CCCCCC" w:sz="4" w:space="0"/>
              <w:left w:val="single" w:color="CCCCCC" w:sz="4" w:space="0"/>
              <w:bottom w:val="single" w:color="CCCCCC" w:sz="4" w:space="0"/>
              <w:right w:val="single" w:color="CCCCCC" w:sz="4" w:space="0"/>
            </w:tcBorders>
            <w:shd w:val="clear" w:color="auto" w:fill="C00000"/>
            <w:tcMar>
              <w:top w:w="75" w:type="dxa"/>
              <w:left w:w="120" w:type="dxa"/>
              <w:bottom w:w="75" w:type="dxa"/>
              <w:right w:w="120" w:type="dxa"/>
            </w:tcMar>
            <w:vAlign w:val="center"/>
          </w:tcPr>
          <w:p w14:paraId="4B901447">
            <w:pPr>
              <w:spacing w:before="55" w:after="55"/>
              <w:jc w:val="center"/>
            </w:pPr>
            <w:r>
              <w:rPr>
                <w:rFonts w:ascii="Arial" w:hAnsi="Arial" w:eastAsia="Arial" w:cs="Arial"/>
                <w:b/>
                <w:bCs/>
                <w:i w:val="0"/>
                <w:iCs w:val="0"/>
                <w:color w:val="FFFFFF"/>
                <w:sz w:val="17"/>
                <w:szCs w:val="17"/>
              </w:rPr>
              <w:t>Owner</w:t>
            </w:r>
          </w:p>
        </w:tc>
      </w:tr>
      <w:tr w14:paraId="767E6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EA00813">
            <w:pPr>
              <w:spacing w:before="55" w:after="55"/>
              <w:jc w:val="center"/>
            </w:pPr>
            <w:r>
              <w:rPr>
                <w:rFonts w:ascii="Arial" w:hAnsi="Arial" w:eastAsia="Arial" w:cs="Arial"/>
                <w:b/>
                <w:bCs/>
                <w:i w:val="0"/>
                <w:iCs w:val="0"/>
                <w:color w:val="C00000"/>
                <w:sz w:val="17"/>
                <w:szCs w:val="17"/>
              </w:rPr>
              <w:t>P1</w:t>
            </w:r>
          </w:p>
        </w:tc>
        <w:tc>
          <w:tcPr>
            <w:tcW w:w="17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38BB1773">
            <w:pPr>
              <w:spacing w:before="55" w:after="55"/>
              <w:jc w:val="left"/>
            </w:pPr>
            <w:r>
              <w:rPr>
                <w:rFonts w:ascii="Arial" w:hAnsi="Arial" w:eastAsia="Arial" w:cs="Arial"/>
                <w:b/>
                <w:bCs/>
                <w:i w:val="0"/>
                <w:iCs w:val="0"/>
                <w:color w:val="1F1F1F"/>
                <w:sz w:val="17"/>
                <w:szCs w:val="17"/>
              </w:rPr>
              <w:t>Protect TV Supply Chain</w:t>
            </w:r>
          </w:p>
        </w:tc>
        <w:tc>
          <w:tcPr>
            <w:tcW w:w="37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18A130D9">
            <w:pPr>
              <w:spacing w:before="55" w:after="55"/>
              <w:jc w:val="left"/>
            </w:pPr>
            <w:r>
              <w:rPr>
                <w:rFonts w:ascii="Arial" w:hAnsi="Arial" w:eastAsia="Arial" w:cs="Arial"/>
                <w:b w:val="0"/>
                <w:bCs w:val="0"/>
                <w:i w:val="0"/>
                <w:iCs w:val="0"/>
                <w:color w:val="1F1F1F"/>
                <w:sz w:val="17"/>
                <w:szCs w:val="17"/>
              </w:rPr>
              <w:t>Set minimum stock thresholds for TV. TV alone = 32.8% of total revenue from only 937 orders (confirmed by SUMIF). One stockout event has outsized impact.</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748723FF">
            <w:pPr>
              <w:spacing w:before="55" w:after="55"/>
              <w:jc w:val="left"/>
            </w:pPr>
            <w:r>
              <w:rPr>
                <w:rFonts w:ascii="Arial" w:hAnsi="Arial" w:eastAsia="Arial" w:cs="Arial"/>
                <w:b w:val="0"/>
                <w:bCs w:val="0"/>
                <w:i/>
                <w:iCs/>
                <w:color w:val="217346"/>
                <w:sz w:val="17"/>
                <w:szCs w:val="17"/>
              </w:rPr>
              <w:t>Zero TV stockout events; TV revenue maintained at $232K+ annually</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47BFB671">
            <w:pPr>
              <w:spacing w:before="55" w:after="55"/>
              <w:jc w:val="left"/>
            </w:pPr>
            <w:r>
              <w:rPr>
                <w:rFonts w:ascii="Arial" w:hAnsi="Arial" w:eastAsia="Arial" w:cs="Arial"/>
                <w:b w:val="0"/>
                <w:bCs w:val="0"/>
                <w:i w:val="0"/>
                <w:iCs w:val="0"/>
                <w:color w:val="1F3864"/>
                <w:sz w:val="17"/>
                <w:szCs w:val="17"/>
              </w:rPr>
              <w:t>Supply Chain</w:t>
            </w:r>
          </w:p>
        </w:tc>
      </w:tr>
      <w:tr w14:paraId="1D0B6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CCCCCC" w:sz="4" w:space="0"/>
              <w:left w:val="single" w:color="CCCCCC" w:sz="4" w:space="0"/>
              <w:bottom w:val="single" w:color="CCCCCC" w:sz="4" w:space="0"/>
              <w:right w:val="single" w:color="CCCCCC" w:sz="4" w:space="0"/>
            </w:tcBorders>
            <w:shd w:val="clear" w:color="auto" w:fill="FCE4D6"/>
            <w:tcMar>
              <w:top w:w="75" w:type="dxa"/>
              <w:left w:w="120" w:type="dxa"/>
              <w:bottom w:w="75" w:type="dxa"/>
              <w:right w:w="120" w:type="dxa"/>
            </w:tcMar>
            <w:vAlign w:val="center"/>
          </w:tcPr>
          <w:p w14:paraId="21782394">
            <w:pPr>
              <w:spacing w:before="55" w:after="55"/>
              <w:jc w:val="center"/>
            </w:pPr>
            <w:r>
              <w:rPr>
                <w:rFonts w:ascii="Arial" w:hAnsi="Arial" w:eastAsia="Arial" w:cs="Arial"/>
                <w:b/>
                <w:bCs/>
                <w:i w:val="0"/>
                <w:iCs w:val="0"/>
                <w:color w:val="C00000"/>
                <w:sz w:val="17"/>
                <w:szCs w:val="17"/>
              </w:rPr>
              <w:t>P2</w:t>
            </w:r>
          </w:p>
        </w:tc>
        <w:tc>
          <w:tcPr>
            <w:tcW w:w="1760" w:type="dxa"/>
            <w:tcBorders>
              <w:top w:val="single" w:color="CCCCCC" w:sz="4" w:space="0"/>
              <w:left w:val="single" w:color="CCCCCC" w:sz="4" w:space="0"/>
              <w:bottom w:val="single" w:color="CCCCCC" w:sz="4" w:space="0"/>
              <w:right w:val="single" w:color="CCCCCC" w:sz="4" w:space="0"/>
            </w:tcBorders>
            <w:shd w:val="clear" w:color="auto" w:fill="FCE4D6"/>
            <w:tcMar>
              <w:top w:w="75" w:type="dxa"/>
              <w:left w:w="120" w:type="dxa"/>
              <w:bottom w:w="75" w:type="dxa"/>
              <w:right w:w="120" w:type="dxa"/>
            </w:tcMar>
            <w:vAlign w:val="center"/>
          </w:tcPr>
          <w:p w14:paraId="0D85D793">
            <w:pPr>
              <w:spacing w:before="55" w:after="55"/>
              <w:jc w:val="left"/>
            </w:pPr>
            <w:r>
              <w:rPr>
                <w:rFonts w:ascii="Arial" w:hAnsi="Arial" w:eastAsia="Arial" w:cs="Arial"/>
                <w:b/>
                <w:bCs/>
                <w:i w:val="0"/>
                <w:iCs w:val="0"/>
                <w:color w:val="1F1F1F"/>
                <w:sz w:val="17"/>
                <w:szCs w:val="17"/>
              </w:rPr>
              <w:t>Recover Low-Review Customers</w:t>
            </w:r>
          </w:p>
        </w:tc>
        <w:tc>
          <w:tcPr>
            <w:tcW w:w="3760" w:type="dxa"/>
            <w:tcBorders>
              <w:top w:val="single" w:color="CCCCCC" w:sz="4" w:space="0"/>
              <w:left w:val="single" w:color="CCCCCC" w:sz="4" w:space="0"/>
              <w:bottom w:val="single" w:color="CCCCCC" w:sz="4" w:space="0"/>
              <w:right w:val="single" w:color="CCCCCC" w:sz="4" w:space="0"/>
            </w:tcBorders>
            <w:shd w:val="clear" w:color="auto" w:fill="FCE4D6"/>
            <w:tcMar>
              <w:top w:w="75" w:type="dxa"/>
              <w:left w:w="120" w:type="dxa"/>
              <w:bottom w:w="75" w:type="dxa"/>
              <w:right w:w="120" w:type="dxa"/>
            </w:tcMar>
            <w:vAlign w:val="center"/>
          </w:tcPr>
          <w:p w14:paraId="49EEE965">
            <w:pPr>
              <w:spacing w:before="55" w:after="55"/>
              <w:jc w:val="left"/>
            </w:pPr>
            <w:r>
              <w:rPr>
                <w:rFonts w:ascii="Arial" w:hAnsi="Arial" w:eastAsia="Arial" w:cs="Arial"/>
                <w:b w:val="0"/>
                <w:bCs w:val="0"/>
                <w:i w:val="0"/>
                <w:iCs w:val="0"/>
                <w:color w:val="1F1F1F"/>
                <w:sz w:val="17"/>
                <w:szCs w:val="17"/>
              </w:rPr>
              <w:t>Contact all customers with review score 1–2 (13,644 orders identified by COUNTIF). Offer service recovery vouchers within 48 hours of review submission.</w:t>
            </w:r>
          </w:p>
        </w:tc>
        <w:tc>
          <w:tcPr>
            <w:tcW w:w="2200" w:type="dxa"/>
            <w:tcBorders>
              <w:top w:val="single" w:color="CCCCCC" w:sz="4" w:space="0"/>
              <w:left w:val="single" w:color="CCCCCC" w:sz="4" w:space="0"/>
              <w:bottom w:val="single" w:color="CCCCCC" w:sz="4" w:space="0"/>
              <w:right w:val="single" w:color="CCCCCC" w:sz="4" w:space="0"/>
            </w:tcBorders>
            <w:shd w:val="clear" w:color="auto" w:fill="FCE4D6"/>
            <w:tcMar>
              <w:top w:w="75" w:type="dxa"/>
              <w:left w:w="120" w:type="dxa"/>
              <w:bottom w:w="75" w:type="dxa"/>
              <w:right w:w="120" w:type="dxa"/>
            </w:tcMar>
            <w:vAlign w:val="center"/>
          </w:tcPr>
          <w:p w14:paraId="2E846B15">
            <w:pPr>
              <w:spacing w:before="55" w:after="55"/>
              <w:jc w:val="left"/>
            </w:pPr>
            <w:r>
              <w:rPr>
                <w:rFonts w:ascii="Arial" w:hAnsi="Arial" w:eastAsia="Arial" w:cs="Arial"/>
                <w:b w:val="0"/>
                <w:bCs w:val="0"/>
                <w:i/>
                <w:iCs/>
                <w:color w:val="217346"/>
                <w:sz w:val="17"/>
                <w:szCs w:val="17"/>
              </w:rPr>
              <w:t>Avg review score lifts from 3.59 to 3.75 within 6 months</w:t>
            </w:r>
          </w:p>
        </w:tc>
        <w:tc>
          <w:tcPr>
            <w:tcW w:w="1200" w:type="dxa"/>
            <w:tcBorders>
              <w:top w:val="single" w:color="CCCCCC" w:sz="4" w:space="0"/>
              <w:left w:val="single" w:color="CCCCCC" w:sz="4" w:space="0"/>
              <w:bottom w:val="single" w:color="CCCCCC" w:sz="4" w:space="0"/>
              <w:right w:val="single" w:color="CCCCCC" w:sz="4" w:space="0"/>
            </w:tcBorders>
            <w:shd w:val="clear" w:color="auto" w:fill="FCE4D6"/>
            <w:tcMar>
              <w:top w:w="75" w:type="dxa"/>
              <w:left w:w="120" w:type="dxa"/>
              <w:bottom w:w="75" w:type="dxa"/>
              <w:right w:w="120" w:type="dxa"/>
            </w:tcMar>
            <w:vAlign w:val="center"/>
          </w:tcPr>
          <w:p w14:paraId="18C3A072">
            <w:pPr>
              <w:spacing w:before="55" w:after="55"/>
              <w:jc w:val="left"/>
            </w:pPr>
            <w:r>
              <w:rPr>
                <w:rFonts w:ascii="Arial" w:hAnsi="Arial" w:eastAsia="Arial" w:cs="Arial"/>
                <w:b w:val="0"/>
                <w:bCs w:val="0"/>
                <w:i w:val="0"/>
                <w:iCs w:val="0"/>
                <w:color w:val="1F3864"/>
                <w:sz w:val="17"/>
                <w:szCs w:val="17"/>
              </w:rPr>
              <w:t>Customer Experience</w:t>
            </w:r>
          </w:p>
        </w:tc>
      </w:tr>
      <w:tr w14:paraId="2061E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2272E17">
            <w:pPr>
              <w:spacing w:before="55" w:after="55"/>
              <w:jc w:val="center"/>
            </w:pPr>
            <w:r>
              <w:rPr>
                <w:rFonts w:ascii="Arial" w:hAnsi="Arial" w:eastAsia="Arial" w:cs="Arial"/>
                <w:b/>
                <w:bCs/>
                <w:i w:val="0"/>
                <w:iCs w:val="0"/>
                <w:color w:val="C00000"/>
                <w:sz w:val="17"/>
                <w:szCs w:val="17"/>
              </w:rPr>
              <w:t>P3</w:t>
            </w:r>
          </w:p>
        </w:tc>
        <w:tc>
          <w:tcPr>
            <w:tcW w:w="17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65638029">
            <w:pPr>
              <w:spacing w:before="55" w:after="55"/>
              <w:jc w:val="left"/>
            </w:pPr>
            <w:r>
              <w:rPr>
                <w:rFonts w:ascii="Arial" w:hAnsi="Arial" w:eastAsia="Arial" w:cs="Arial"/>
                <w:b/>
                <w:bCs/>
                <w:i w:val="0"/>
                <w:iCs w:val="0"/>
                <w:color w:val="1F1F1F"/>
                <w:sz w:val="17"/>
                <w:szCs w:val="17"/>
              </w:rPr>
              <w:t>Margin Audit for California</w:t>
            </w:r>
          </w:p>
        </w:tc>
        <w:tc>
          <w:tcPr>
            <w:tcW w:w="37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12B1287C">
            <w:pPr>
              <w:spacing w:before="55" w:after="55"/>
              <w:jc w:val="left"/>
            </w:pPr>
            <w:r>
              <w:rPr>
                <w:rFonts w:ascii="Arial" w:hAnsi="Arial" w:eastAsia="Arial" w:cs="Arial"/>
                <w:b w:val="0"/>
                <w:bCs w:val="0"/>
                <w:i w:val="0"/>
                <w:iCs w:val="0"/>
                <w:color w:val="1F1F1F"/>
                <w:sz w:val="17"/>
                <w:szCs w:val="17"/>
              </w:rPr>
              <w:t>California drives 40.5% of revenue at only 75.4% margin vs Oregon's 76.0%. A 0.6% margin improvement on $287K = ~$1,700 additional annual profit.</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7EC5EB3A">
            <w:pPr>
              <w:spacing w:before="55" w:after="55"/>
              <w:jc w:val="left"/>
            </w:pPr>
            <w:r>
              <w:rPr>
                <w:rFonts w:ascii="Arial" w:hAnsi="Arial" w:eastAsia="Arial" w:cs="Arial"/>
                <w:b w:val="0"/>
                <w:bCs w:val="0"/>
                <w:i/>
                <w:iCs/>
                <w:color w:val="217346"/>
                <w:sz w:val="17"/>
                <w:szCs w:val="17"/>
              </w:rPr>
              <w:t>CA margin ≥ 76.0% within 2 quarters</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6DF2FFF">
            <w:pPr>
              <w:spacing w:before="55" w:after="55"/>
              <w:jc w:val="left"/>
            </w:pPr>
            <w:r>
              <w:rPr>
                <w:rFonts w:ascii="Arial" w:hAnsi="Arial" w:eastAsia="Arial" w:cs="Arial"/>
                <w:b w:val="0"/>
                <w:bCs w:val="0"/>
                <w:i w:val="0"/>
                <w:iCs w:val="0"/>
                <w:color w:val="1F3864"/>
                <w:sz w:val="17"/>
                <w:szCs w:val="17"/>
              </w:rPr>
              <w:t>Finance &amp; Ops</w:t>
            </w:r>
          </w:p>
        </w:tc>
      </w:tr>
    </w:tbl>
    <w:p w14:paraId="488ECFA3">
      <w:pPr>
        <w:spacing w:before="20" w:after="20"/>
      </w:pPr>
    </w:p>
    <w:p w14:paraId="559AF27A">
      <w:pPr>
        <w:pStyle w:val="3"/>
        <w:pBdr>
          <w:bottom w:val="single" w:color="2E75B6" w:sz="4" w:space="2"/>
        </w:pBdr>
        <w:spacing w:before="200" w:after="80"/>
        <w:rPr>
          <w:rFonts w:ascii="Arial" w:hAnsi="Arial" w:eastAsia="Arial" w:cs="Arial"/>
          <w:b/>
          <w:bCs/>
          <w:color w:val="7F6000"/>
          <w:sz w:val="26"/>
          <w:szCs w:val="26"/>
        </w:rPr>
      </w:pPr>
    </w:p>
    <w:p w14:paraId="0BD02B17">
      <w:pPr>
        <w:pStyle w:val="3"/>
        <w:pBdr>
          <w:bottom w:val="single" w:color="2E75B6" w:sz="4" w:space="2"/>
        </w:pBdr>
        <w:spacing w:before="200" w:after="80"/>
        <w:rPr>
          <w:rFonts w:ascii="Arial" w:hAnsi="Arial" w:eastAsia="Arial" w:cs="Arial"/>
          <w:b/>
          <w:bCs/>
          <w:color w:val="7F6000"/>
          <w:sz w:val="26"/>
          <w:szCs w:val="26"/>
        </w:rPr>
      </w:pPr>
    </w:p>
    <w:p w14:paraId="6A72578D">
      <w:pPr>
        <w:pStyle w:val="3"/>
        <w:pBdr>
          <w:bottom w:val="single" w:color="2E75B6" w:sz="4" w:space="2"/>
        </w:pBdr>
        <w:spacing w:before="200" w:after="80"/>
      </w:pPr>
      <w:r>
        <w:rPr>
          <w:rFonts w:ascii="Arial" w:hAnsi="Arial" w:eastAsia="Arial" w:cs="Arial"/>
          <w:b/>
          <w:bCs/>
          <w:color w:val="7F6000"/>
          <w:sz w:val="26"/>
          <w:szCs w:val="26"/>
        </w:rPr>
        <w:t>Priority 2 — MEDIUM IMPACT  (Plan within 60–90 days)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8"/>
        <w:gridCol w:w="1759"/>
        <w:gridCol w:w="3734"/>
        <w:gridCol w:w="2186"/>
        <w:gridCol w:w="1233"/>
      </w:tblGrid>
      <w:tr w14:paraId="2360C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CCCCCC" w:sz="4" w:space="0"/>
              <w:left w:val="single" w:color="CCCCCC" w:sz="4" w:space="0"/>
              <w:bottom w:val="single" w:color="CCCCCC" w:sz="4" w:space="0"/>
              <w:right w:val="single" w:color="CCCCCC" w:sz="4" w:space="0"/>
            </w:tcBorders>
            <w:shd w:val="clear" w:color="auto" w:fill="7F6000"/>
            <w:tcMar>
              <w:top w:w="75" w:type="dxa"/>
              <w:left w:w="120" w:type="dxa"/>
              <w:bottom w:w="75" w:type="dxa"/>
              <w:right w:w="120" w:type="dxa"/>
            </w:tcMar>
            <w:vAlign w:val="center"/>
          </w:tcPr>
          <w:p w14:paraId="6F0CA928">
            <w:pPr>
              <w:spacing w:before="55" w:after="55"/>
              <w:jc w:val="center"/>
            </w:pPr>
            <w:r>
              <w:rPr>
                <w:rFonts w:ascii="Arial" w:hAnsi="Arial" w:eastAsia="Arial" w:cs="Arial"/>
                <w:b/>
                <w:bCs/>
                <w:i w:val="0"/>
                <w:iCs w:val="0"/>
                <w:color w:val="FFFFFF"/>
                <w:sz w:val="17"/>
                <w:szCs w:val="17"/>
              </w:rPr>
              <w:t>P</w:t>
            </w:r>
          </w:p>
        </w:tc>
        <w:tc>
          <w:tcPr>
            <w:tcW w:w="1760" w:type="dxa"/>
            <w:tcBorders>
              <w:top w:val="single" w:color="CCCCCC" w:sz="4" w:space="0"/>
              <w:left w:val="single" w:color="CCCCCC" w:sz="4" w:space="0"/>
              <w:bottom w:val="single" w:color="CCCCCC" w:sz="4" w:space="0"/>
              <w:right w:val="single" w:color="CCCCCC" w:sz="4" w:space="0"/>
            </w:tcBorders>
            <w:shd w:val="clear" w:color="auto" w:fill="7F6000"/>
            <w:tcMar>
              <w:top w:w="75" w:type="dxa"/>
              <w:left w:w="120" w:type="dxa"/>
              <w:bottom w:w="75" w:type="dxa"/>
              <w:right w:w="120" w:type="dxa"/>
            </w:tcMar>
            <w:vAlign w:val="center"/>
          </w:tcPr>
          <w:p w14:paraId="6D470833">
            <w:pPr>
              <w:spacing w:before="55" w:after="55"/>
              <w:jc w:val="center"/>
            </w:pPr>
            <w:r>
              <w:rPr>
                <w:rFonts w:ascii="Arial" w:hAnsi="Arial" w:eastAsia="Arial" w:cs="Arial"/>
                <w:b/>
                <w:bCs/>
                <w:i w:val="0"/>
                <w:iCs w:val="0"/>
                <w:color w:val="FFFFFF"/>
                <w:sz w:val="17"/>
                <w:szCs w:val="17"/>
              </w:rPr>
              <w:t>Recommendation</w:t>
            </w:r>
          </w:p>
        </w:tc>
        <w:tc>
          <w:tcPr>
            <w:tcW w:w="3760" w:type="dxa"/>
            <w:tcBorders>
              <w:top w:val="single" w:color="CCCCCC" w:sz="4" w:space="0"/>
              <w:left w:val="single" w:color="CCCCCC" w:sz="4" w:space="0"/>
              <w:bottom w:val="single" w:color="CCCCCC" w:sz="4" w:space="0"/>
              <w:right w:val="single" w:color="CCCCCC" w:sz="4" w:space="0"/>
            </w:tcBorders>
            <w:shd w:val="clear" w:color="auto" w:fill="7F6000"/>
            <w:tcMar>
              <w:top w:w="75" w:type="dxa"/>
              <w:left w:w="120" w:type="dxa"/>
              <w:bottom w:w="75" w:type="dxa"/>
              <w:right w:w="120" w:type="dxa"/>
            </w:tcMar>
            <w:vAlign w:val="center"/>
          </w:tcPr>
          <w:p w14:paraId="593DAE80">
            <w:pPr>
              <w:spacing w:before="55" w:after="55"/>
              <w:jc w:val="center"/>
            </w:pPr>
            <w:r>
              <w:rPr>
                <w:rFonts w:ascii="Arial" w:hAnsi="Arial" w:eastAsia="Arial" w:cs="Arial"/>
                <w:b/>
                <w:bCs/>
                <w:i w:val="0"/>
                <w:iCs w:val="0"/>
                <w:color w:val="FFFFFF"/>
                <w:sz w:val="17"/>
                <w:szCs w:val="17"/>
              </w:rPr>
              <w:t>Action</w:t>
            </w:r>
          </w:p>
        </w:tc>
        <w:tc>
          <w:tcPr>
            <w:tcW w:w="2200" w:type="dxa"/>
            <w:tcBorders>
              <w:top w:val="single" w:color="CCCCCC" w:sz="4" w:space="0"/>
              <w:left w:val="single" w:color="CCCCCC" w:sz="4" w:space="0"/>
              <w:bottom w:val="single" w:color="CCCCCC" w:sz="4" w:space="0"/>
              <w:right w:val="single" w:color="CCCCCC" w:sz="4" w:space="0"/>
            </w:tcBorders>
            <w:shd w:val="clear" w:color="auto" w:fill="7F6000"/>
            <w:tcMar>
              <w:top w:w="75" w:type="dxa"/>
              <w:left w:w="120" w:type="dxa"/>
              <w:bottom w:w="75" w:type="dxa"/>
              <w:right w:w="120" w:type="dxa"/>
            </w:tcMar>
            <w:vAlign w:val="center"/>
          </w:tcPr>
          <w:p w14:paraId="4D2B3933">
            <w:pPr>
              <w:spacing w:before="55" w:after="55"/>
              <w:jc w:val="center"/>
            </w:pPr>
            <w:r>
              <w:rPr>
                <w:rFonts w:ascii="Arial" w:hAnsi="Arial" w:eastAsia="Arial" w:cs="Arial"/>
                <w:b/>
                <w:bCs/>
                <w:i w:val="0"/>
                <w:iCs w:val="0"/>
                <w:color w:val="FFFFFF"/>
                <w:sz w:val="17"/>
                <w:szCs w:val="17"/>
              </w:rPr>
              <w:t>Success Metric</w:t>
            </w:r>
          </w:p>
        </w:tc>
        <w:tc>
          <w:tcPr>
            <w:tcW w:w="1200" w:type="dxa"/>
            <w:tcBorders>
              <w:top w:val="single" w:color="CCCCCC" w:sz="4" w:space="0"/>
              <w:left w:val="single" w:color="CCCCCC" w:sz="4" w:space="0"/>
              <w:bottom w:val="single" w:color="CCCCCC" w:sz="4" w:space="0"/>
              <w:right w:val="single" w:color="CCCCCC" w:sz="4" w:space="0"/>
            </w:tcBorders>
            <w:shd w:val="clear" w:color="auto" w:fill="7F6000"/>
            <w:tcMar>
              <w:top w:w="75" w:type="dxa"/>
              <w:left w:w="120" w:type="dxa"/>
              <w:bottom w:w="75" w:type="dxa"/>
              <w:right w:w="120" w:type="dxa"/>
            </w:tcMar>
            <w:vAlign w:val="center"/>
          </w:tcPr>
          <w:p w14:paraId="12B7860D">
            <w:pPr>
              <w:spacing w:before="55" w:after="55"/>
              <w:jc w:val="center"/>
            </w:pPr>
            <w:r>
              <w:rPr>
                <w:rFonts w:ascii="Arial" w:hAnsi="Arial" w:eastAsia="Arial" w:cs="Arial"/>
                <w:b/>
                <w:bCs/>
                <w:i w:val="0"/>
                <w:iCs w:val="0"/>
                <w:color w:val="FFFFFF"/>
                <w:sz w:val="17"/>
                <w:szCs w:val="17"/>
              </w:rPr>
              <w:t>Owner</w:t>
            </w:r>
          </w:p>
        </w:tc>
      </w:tr>
      <w:tr w14:paraId="7EB2C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D144EC3">
            <w:pPr>
              <w:spacing w:before="55" w:after="55"/>
              <w:jc w:val="center"/>
            </w:pPr>
            <w:r>
              <w:rPr>
                <w:rFonts w:ascii="Arial" w:hAnsi="Arial" w:eastAsia="Arial" w:cs="Arial"/>
                <w:b/>
                <w:bCs/>
                <w:i w:val="0"/>
                <w:iCs w:val="0"/>
                <w:color w:val="7F6000"/>
                <w:sz w:val="17"/>
                <w:szCs w:val="17"/>
              </w:rPr>
              <w:t>P4</w:t>
            </w:r>
          </w:p>
        </w:tc>
        <w:tc>
          <w:tcPr>
            <w:tcW w:w="17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430FC036">
            <w:pPr>
              <w:spacing w:before="55" w:after="55"/>
              <w:jc w:val="left"/>
            </w:pPr>
            <w:r>
              <w:rPr>
                <w:rFonts w:ascii="Arial" w:hAnsi="Arial" w:eastAsia="Arial" w:cs="Arial"/>
                <w:b/>
                <w:bCs/>
                <w:i w:val="0"/>
                <w:iCs w:val="0"/>
                <w:color w:val="1F1F1F"/>
                <w:sz w:val="17"/>
                <w:szCs w:val="17"/>
              </w:rPr>
              <w:t>Expand Nevada Market</w:t>
            </w:r>
          </w:p>
        </w:tc>
        <w:tc>
          <w:tcPr>
            <w:tcW w:w="37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6A9EA8C8">
            <w:pPr>
              <w:spacing w:before="55" w:after="55"/>
              <w:jc w:val="left"/>
            </w:pPr>
            <w:r>
              <w:rPr>
                <w:rFonts w:ascii="Arial" w:hAnsi="Arial" w:eastAsia="Arial" w:cs="Arial"/>
                <w:b w:val="0"/>
                <w:bCs w:val="0"/>
                <w:i w:val="0"/>
                <w:iCs w:val="0"/>
                <w:color w:val="1F1F1F"/>
                <w:sz w:val="17"/>
                <w:szCs w:val="17"/>
              </w:rPr>
              <w:t>Nevada's 75.0% margin is competitive but only 3,462 orders (5.0% share per COUNTIF). Pilot a digital acquisition campaign.</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68B556BF">
            <w:pPr>
              <w:spacing w:before="55" w:after="55"/>
              <w:jc w:val="left"/>
            </w:pPr>
            <w:r>
              <w:rPr>
                <w:rFonts w:ascii="Arial" w:hAnsi="Arial" w:eastAsia="Arial" w:cs="Arial"/>
                <w:b w:val="0"/>
                <w:bCs w:val="0"/>
                <w:i/>
                <w:iCs/>
                <w:color w:val="217346"/>
                <w:sz w:val="17"/>
                <w:szCs w:val="17"/>
              </w:rPr>
              <w:t>Nevada revenue +25% ($8,900+) within 12 months</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70610028">
            <w:pPr>
              <w:spacing w:before="55" w:after="55"/>
              <w:jc w:val="left"/>
            </w:pPr>
            <w:r>
              <w:rPr>
                <w:rFonts w:ascii="Arial" w:hAnsi="Arial" w:eastAsia="Arial" w:cs="Arial"/>
                <w:b w:val="0"/>
                <w:bCs w:val="0"/>
                <w:i w:val="0"/>
                <w:iCs w:val="0"/>
                <w:color w:val="1F3864"/>
                <w:sz w:val="17"/>
                <w:szCs w:val="17"/>
              </w:rPr>
              <w:t>Strategy</w:t>
            </w:r>
          </w:p>
        </w:tc>
      </w:tr>
      <w:tr w14:paraId="2FA82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CCCCCC" w:sz="4" w:space="0"/>
              <w:left w:val="single" w:color="CCCCCC" w:sz="4" w:space="0"/>
              <w:bottom w:val="single" w:color="CCCCCC" w:sz="4" w:space="0"/>
              <w:right w:val="single" w:color="CCCCCC" w:sz="4" w:space="0"/>
            </w:tcBorders>
            <w:shd w:val="clear" w:color="auto" w:fill="FFF2CC"/>
            <w:tcMar>
              <w:top w:w="75" w:type="dxa"/>
              <w:left w:w="120" w:type="dxa"/>
              <w:bottom w:w="75" w:type="dxa"/>
              <w:right w:w="120" w:type="dxa"/>
            </w:tcMar>
            <w:vAlign w:val="center"/>
          </w:tcPr>
          <w:p w14:paraId="21E61D82">
            <w:pPr>
              <w:spacing w:before="55" w:after="55"/>
              <w:jc w:val="center"/>
            </w:pPr>
            <w:r>
              <w:rPr>
                <w:rFonts w:ascii="Arial" w:hAnsi="Arial" w:eastAsia="Arial" w:cs="Arial"/>
                <w:b/>
                <w:bCs/>
                <w:i w:val="0"/>
                <w:iCs w:val="0"/>
                <w:color w:val="7F6000"/>
                <w:sz w:val="17"/>
                <w:szCs w:val="17"/>
              </w:rPr>
              <w:t>P5</w:t>
            </w:r>
          </w:p>
        </w:tc>
        <w:tc>
          <w:tcPr>
            <w:tcW w:w="1760" w:type="dxa"/>
            <w:tcBorders>
              <w:top w:val="single" w:color="CCCCCC" w:sz="4" w:space="0"/>
              <w:left w:val="single" w:color="CCCCCC" w:sz="4" w:space="0"/>
              <w:bottom w:val="single" w:color="CCCCCC" w:sz="4" w:space="0"/>
              <w:right w:val="single" w:color="CCCCCC" w:sz="4" w:space="0"/>
            </w:tcBorders>
            <w:shd w:val="clear" w:color="auto" w:fill="FFF2CC"/>
            <w:tcMar>
              <w:top w:w="75" w:type="dxa"/>
              <w:left w:w="120" w:type="dxa"/>
              <w:bottom w:w="75" w:type="dxa"/>
              <w:right w:w="120" w:type="dxa"/>
            </w:tcMar>
            <w:vAlign w:val="center"/>
          </w:tcPr>
          <w:p w14:paraId="3D8A18A3">
            <w:pPr>
              <w:spacing w:before="55" w:after="55"/>
              <w:jc w:val="left"/>
            </w:pPr>
            <w:r>
              <w:rPr>
                <w:rFonts w:ascii="Arial" w:hAnsi="Arial" w:eastAsia="Arial" w:cs="Arial"/>
                <w:b/>
                <w:bCs/>
                <w:i w:val="0"/>
                <w:iCs w:val="0"/>
                <w:color w:val="1F1F1F"/>
                <w:sz w:val="17"/>
                <w:szCs w:val="17"/>
              </w:rPr>
              <w:t>Increase Food &amp; Beverage Pricing</w:t>
            </w:r>
          </w:p>
        </w:tc>
        <w:tc>
          <w:tcPr>
            <w:tcW w:w="3760" w:type="dxa"/>
            <w:tcBorders>
              <w:top w:val="single" w:color="CCCCCC" w:sz="4" w:space="0"/>
              <w:left w:val="single" w:color="CCCCCC" w:sz="4" w:space="0"/>
              <w:bottom w:val="single" w:color="CCCCCC" w:sz="4" w:space="0"/>
              <w:right w:val="single" w:color="CCCCCC" w:sz="4" w:space="0"/>
            </w:tcBorders>
            <w:shd w:val="clear" w:color="auto" w:fill="FFF2CC"/>
            <w:tcMar>
              <w:top w:w="75" w:type="dxa"/>
              <w:left w:w="120" w:type="dxa"/>
              <w:bottom w:w="75" w:type="dxa"/>
              <w:right w:w="120" w:type="dxa"/>
            </w:tcMar>
            <w:vAlign w:val="center"/>
          </w:tcPr>
          <w:p w14:paraId="53645584">
            <w:pPr>
              <w:spacing w:before="55" w:after="55"/>
              <w:jc w:val="left"/>
            </w:pPr>
            <w:r>
              <w:rPr>
                <w:rFonts w:ascii="Arial" w:hAnsi="Arial" w:eastAsia="Arial" w:cs="Arial"/>
                <w:b w:val="0"/>
                <w:bCs w:val="0"/>
                <w:i w:val="0"/>
                <w:iCs w:val="0"/>
                <w:color w:val="1F1F1F"/>
                <w:sz w:val="17"/>
                <w:szCs w:val="17"/>
              </w:rPr>
              <w:t>F&amp;B margin = 69.3% (lowest by SUMIF/Revenue calc). A 2% margin improvement across 46,667 orders adds ~$9,400 annual profit.</w:t>
            </w:r>
          </w:p>
        </w:tc>
        <w:tc>
          <w:tcPr>
            <w:tcW w:w="2200" w:type="dxa"/>
            <w:tcBorders>
              <w:top w:val="single" w:color="CCCCCC" w:sz="4" w:space="0"/>
              <w:left w:val="single" w:color="CCCCCC" w:sz="4" w:space="0"/>
              <w:bottom w:val="single" w:color="CCCCCC" w:sz="4" w:space="0"/>
              <w:right w:val="single" w:color="CCCCCC" w:sz="4" w:space="0"/>
            </w:tcBorders>
            <w:shd w:val="clear" w:color="auto" w:fill="FFF2CC"/>
            <w:tcMar>
              <w:top w:w="75" w:type="dxa"/>
              <w:left w:w="120" w:type="dxa"/>
              <w:bottom w:w="75" w:type="dxa"/>
              <w:right w:w="120" w:type="dxa"/>
            </w:tcMar>
            <w:vAlign w:val="center"/>
          </w:tcPr>
          <w:p w14:paraId="329AB54C">
            <w:pPr>
              <w:spacing w:before="55" w:after="55"/>
              <w:jc w:val="left"/>
            </w:pPr>
            <w:r>
              <w:rPr>
                <w:rFonts w:ascii="Arial" w:hAnsi="Arial" w:eastAsia="Arial" w:cs="Arial"/>
                <w:b w:val="0"/>
                <w:bCs w:val="0"/>
                <w:i/>
                <w:iCs/>
                <w:color w:val="217346"/>
                <w:sz w:val="17"/>
                <w:szCs w:val="17"/>
              </w:rPr>
              <w:t>F&amp;B margin: 69.3% → 71.3%</w:t>
            </w:r>
          </w:p>
        </w:tc>
        <w:tc>
          <w:tcPr>
            <w:tcW w:w="1200" w:type="dxa"/>
            <w:tcBorders>
              <w:top w:val="single" w:color="CCCCCC" w:sz="4" w:space="0"/>
              <w:left w:val="single" w:color="CCCCCC" w:sz="4" w:space="0"/>
              <w:bottom w:val="single" w:color="CCCCCC" w:sz="4" w:space="0"/>
              <w:right w:val="single" w:color="CCCCCC" w:sz="4" w:space="0"/>
            </w:tcBorders>
            <w:shd w:val="clear" w:color="auto" w:fill="FFF2CC"/>
            <w:tcMar>
              <w:top w:w="75" w:type="dxa"/>
              <w:left w:w="120" w:type="dxa"/>
              <w:bottom w:w="75" w:type="dxa"/>
              <w:right w:w="120" w:type="dxa"/>
            </w:tcMar>
            <w:vAlign w:val="center"/>
          </w:tcPr>
          <w:p w14:paraId="1809FAD7">
            <w:pPr>
              <w:spacing w:before="55" w:after="55"/>
              <w:jc w:val="left"/>
            </w:pPr>
            <w:r>
              <w:rPr>
                <w:rFonts w:ascii="Arial" w:hAnsi="Arial" w:eastAsia="Arial" w:cs="Arial"/>
                <w:b w:val="0"/>
                <w:bCs w:val="0"/>
                <w:i w:val="0"/>
                <w:iCs w:val="0"/>
                <w:color w:val="1F3864"/>
                <w:sz w:val="17"/>
                <w:szCs w:val="17"/>
              </w:rPr>
              <w:t>Pricing</w:t>
            </w:r>
          </w:p>
        </w:tc>
      </w:tr>
      <w:tr w14:paraId="26A6D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CDD75A4">
            <w:pPr>
              <w:spacing w:before="55" w:after="55"/>
              <w:jc w:val="center"/>
            </w:pPr>
            <w:r>
              <w:rPr>
                <w:rFonts w:ascii="Arial" w:hAnsi="Arial" w:eastAsia="Arial" w:cs="Arial"/>
                <w:b/>
                <w:bCs/>
                <w:i w:val="0"/>
                <w:iCs w:val="0"/>
                <w:color w:val="7F6000"/>
                <w:sz w:val="17"/>
                <w:szCs w:val="17"/>
              </w:rPr>
              <w:t>P6</w:t>
            </w:r>
          </w:p>
        </w:tc>
        <w:tc>
          <w:tcPr>
            <w:tcW w:w="17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01950F30">
            <w:pPr>
              <w:spacing w:before="55" w:after="55"/>
              <w:jc w:val="left"/>
            </w:pPr>
            <w:r>
              <w:rPr>
                <w:rFonts w:ascii="Arial" w:hAnsi="Arial" w:eastAsia="Arial" w:cs="Arial"/>
                <w:b/>
                <w:bCs/>
                <w:i w:val="0"/>
                <w:iCs w:val="0"/>
                <w:color w:val="1F1F1F"/>
                <w:sz w:val="17"/>
                <w:szCs w:val="17"/>
              </w:rPr>
              <w:t>Launch Pet Product Sub-Category</w:t>
            </w:r>
          </w:p>
        </w:tc>
        <w:tc>
          <w:tcPr>
            <w:tcW w:w="37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1DF88C63">
            <w:pPr>
              <w:spacing w:before="55" w:after="55"/>
              <w:jc w:val="left"/>
            </w:pPr>
            <w:r>
              <w:rPr>
                <w:rFonts w:ascii="Arial" w:hAnsi="Arial" w:eastAsia="Arial" w:cs="Arial"/>
                <w:b w:val="0"/>
                <w:bCs w:val="0"/>
                <w:i w:val="0"/>
                <w:iCs w:val="0"/>
                <w:color w:val="1F1F1F"/>
                <w:sz w:val="17"/>
                <w:szCs w:val="17"/>
              </w:rPr>
              <w:t>56.9% of customers own a pet (COUNTIF in Customers_Data) but no pet products exist. Pilot 3–5 SKUs in Food &amp; Beverage.</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1FAE7ACF">
            <w:pPr>
              <w:spacing w:before="55" w:after="55"/>
              <w:jc w:val="left"/>
            </w:pPr>
            <w:r>
              <w:rPr>
                <w:rFonts w:ascii="Arial" w:hAnsi="Arial" w:eastAsia="Arial" w:cs="Arial"/>
                <w:b w:val="0"/>
                <w:bCs w:val="0"/>
                <w:i/>
                <w:iCs/>
                <w:color w:val="217346"/>
                <w:sz w:val="17"/>
                <w:szCs w:val="17"/>
              </w:rPr>
              <w:t>New sub-category: $15,000 revenue in Year 1</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74DD5CBA">
            <w:pPr>
              <w:spacing w:before="55" w:after="55"/>
              <w:jc w:val="left"/>
            </w:pPr>
            <w:r>
              <w:rPr>
                <w:rFonts w:ascii="Arial" w:hAnsi="Arial" w:eastAsia="Arial" w:cs="Arial"/>
                <w:b w:val="0"/>
                <w:bCs w:val="0"/>
                <w:i w:val="0"/>
                <w:iCs w:val="0"/>
                <w:color w:val="1F3864"/>
                <w:sz w:val="17"/>
                <w:szCs w:val="17"/>
              </w:rPr>
              <w:t>Product Management</w:t>
            </w:r>
          </w:p>
        </w:tc>
      </w:tr>
      <w:tr w14:paraId="23623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CCCCCC" w:sz="4" w:space="0"/>
              <w:left w:val="single" w:color="CCCCCC" w:sz="4" w:space="0"/>
              <w:bottom w:val="single" w:color="CCCCCC" w:sz="4" w:space="0"/>
              <w:right w:val="single" w:color="CCCCCC" w:sz="4" w:space="0"/>
            </w:tcBorders>
            <w:shd w:val="clear" w:color="auto" w:fill="FFF2CC"/>
            <w:tcMar>
              <w:top w:w="75" w:type="dxa"/>
              <w:left w:w="120" w:type="dxa"/>
              <w:bottom w:w="75" w:type="dxa"/>
              <w:right w:w="120" w:type="dxa"/>
            </w:tcMar>
            <w:vAlign w:val="center"/>
          </w:tcPr>
          <w:p w14:paraId="0F9F8153">
            <w:pPr>
              <w:spacing w:before="55" w:after="55"/>
              <w:jc w:val="center"/>
            </w:pPr>
            <w:r>
              <w:rPr>
                <w:rFonts w:ascii="Arial" w:hAnsi="Arial" w:eastAsia="Arial" w:cs="Arial"/>
                <w:b/>
                <w:bCs/>
                <w:i w:val="0"/>
                <w:iCs w:val="0"/>
                <w:color w:val="7F6000"/>
                <w:sz w:val="17"/>
                <w:szCs w:val="17"/>
              </w:rPr>
              <w:t>P7</w:t>
            </w:r>
          </w:p>
        </w:tc>
        <w:tc>
          <w:tcPr>
            <w:tcW w:w="1760" w:type="dxa"/>
            <w:tcBorders>
              <w:top w:val="single" w:color="CCCCCC" w:sz="4" w:space="0"/>
              <w:left w:val="single" w:color="CCCCCC" w:sz="4" w:space="0"/>
              <w:bottom w:val="single" w:color="CCCCCC" w:sz="4" w:space="0"/>
              <w:right w:val="single" w:color="CCCCCC" w:sz="4" w:space="0"/>
            </w:tcBorders>
            <w:shd w:val="clear" w:color="auto" w:fill="FFF2CC"/>
            <w:tcMar>
              <w:top w:w="75" w:type="dxa"/>
              <w:left w:w="120" w:type="dxa"/>
              <w:bottom w:w="75" w:type="dxa"/>
              <w:right w:w="120" w:type="dxa"/>
            </w:tcMar>
            <w:vAlign w:val="center"/>
          </w:tcPr>
          <w:p w14:paraId="06A038D5">
            <w:pPr>
              <w:spacing w:before="55" w:after="55"/>
              <w:jc w:val="left"/>
            </w:pPr>
            <w:r>
              <w:rPr>
                <w:rFonts w:ascii="Arial" w:hAnsi="Arial" w:eastAsia="Arial" w:cs="Arial"/>
                <w:b/>
                <w:bCs/>
                <w:i w:val="0"/>
                <w:iCs w:val="0"/>
                <w:color w:val="1F1F1F"/>
                <w:sz w:val="17"/>
                <w:szCs w:val="17"/>
              </w:rPr>
              <w:t>Target College-Educated Segment</w:t>
            </w:r>
          </w:p>
        </w:tc>
        <w:tc>
          <w:tcPr>
            <w:tcW w:w="3760" w:type="dxa"/>
            <w:tcBorders>
              <w:top w:val="single" w:color="CCCCCC" w:sz="4" w:space="0"/>
              <w:left w:val="single" w:color="CCCCCC" w:sz="4" w:space="0"/>
              <w:bottom w:val="single" w:color="CCCCCC" w:sz="4" w:space="0"/>
              <w:right w:val="single" w:color="CCCCCC" w:sz="4" w:space="0"/>
            </w:tcBorders>
            <w:shd w:val="clear" w:color="auto" w:fill="FFF2CC"/>
            <w:tcMar>
              <w:top w:w="75" w:type="dxa"/>
              <w:left w:w="120" w:type="dxa"/>
              <w:bottom w:w="75" w:type="dxa"/>
              <w:right w:w="120" w:type="dxa"/>
            </w:tcMar>
            <w:vAlign w:val="center"/>
          </w:tcPr>
          <w:p w14:paraId="60238E5C">
            <w:pPr>
              <w:spacing w:before="55" w:after="55"/>
              <w:jc w:val="left"/>
            </w:pPr>
            <w:r>
              <w:rPr>
                <w:rFonts w:ascii="Arial" w:hAnsi="Arial" w:eastAsia="Arial" w:cs="Arial"/>
                <w:b w:val="0"/>
                <w:bCs w:val="0"/>
                <w:i w:val="0"/>
                <w:iCs w:val="0"/>
                <w:color w:val="1F1F1F"/>
                <w:sz w:val="17"/>
                <w:szCs w:val="17"/>
              </w:rPr>
              <w:t>College customers = $257,611 revenue (36.3% — top by SUMIF on col R). Design specific campaigns for this segment.</w:t>
            </w:r>
          </w:p>
        </w:tc>
        <w:tc>
          <w:tcPr>
            <w:tcW w:w="2200" w:type="dxa"/>
            <w:tcBorders>
              <w:top w:val="single" w:color="CCCCCC" w:sz="4" w:space="0"/>
              <w:left w:val="single" w:color="CCCCCC" w:sz="4" w:space="0"/>
              <w:bottom w:val="single" w:color="CCCCCC" w:sz="4" w:space="0"/>
              <w:right w:val="single" w:color="CCCCCC" w:sz="4" w:space="0"/>
            </w:tcBorders>
            <w:shd w:val="clear" w:color="auto" w:fill="FFF2CC"/>
            <w:tcMar>
              <w:top w:w="75" w:type="dxa"/>
              <w:left w:w="120" w:type="dxa"/>
              <w:bottom w:w="75" w:type="dxa"/>
              <w:right w:w="120" w:type="dxa"/>
            </w:tcMar>
            <w:vAlign w:val="center"/>
          </w:tcPr>
          <w:p w14:paraId="0B3960E4">
            <w:pPr>
              <w:spacing w:before="55" w:after="55"/>
              <w:jc w:val="left"/>
            </w:pPr>
            <w:r>
              <w:rPr>
                <w:rFonts w:ascii="Arial" w:hAnsi="Arial" w:eastAsia="Arial" w:cs="Arial"/>
                <w:b w:val="0"/>
                <w:bCs w:val="0"/>
                <w:i/>
                <w:iCs/>
                <w:color w:val="217346"/>
                <w:sz w:val="17"/>
                <w:szCs w:val="17"/>
              </w:rPr>
              <w:t>Email conversion +15%; cost per acquisition −10%</w:t>
            </w:r>
          </w:p>
        </w:tc>
        <w:tc>
          <w:tcPr>
            <w:tcW w:w="1200" w:type="dxa"/>
            <w:tcBorders>
              <w:top w:val="single" w:color="CCCCCC" w:sz="4" w:space="0"/>
              <w:left w:val="single" w:color="CCCCCC" w:sz="4" w:space="0"/>
              <w:bottom w:val="single" w:color="CCCCCC" w:sz="4" w:space="0"/>
              <w:right w:val="single" w:color="CCCCCC" w:sz="4" w:space="0"/>
            </w:tcBorders>
            <w:shd w:val="clear" w:color="auto" w:fill="FFF2CC"/>
            <w:tcMar>
              <w:top w:w="75" w:type="dxa"/>
              <w:left w:w="120" w:type="dxa"/>
              <w:bottom w:w="75" w:type="dxa"/>
              <w:right w:w="120" w:type="dxa"/>
            </w:tcMar>
            <w:vAlign w:val="center"/>
          </w:tcPr>
          <w:p w14:paraId="0B202EFE">
            <w:pPr>
              <w:spacing w:before="55" w:after="55"/>
              <w:jc w:val="left"/>
            </w:pPr>
            <w:r>
              <w:rPr>
                <w:rFonts w:ascii="Arial" w:hAnsi="Arial" w:eastAsia="Arial" w:cs="Arial"/>
                <w:b w:val="0"/>
                <w:bCs w:val="0"/>
                <w:i w:val="0"/>
                <w:iCs w:val="0"/>
                <w:color w:val="1F3864"/>
                <w:sz w:val="17"/>
                <w:szCs w:val="17"/>
              </w:rPr>
              <w:t>Digital Marketing</w:t>
            </w:r>
          </w:p>
        </w:tc>
      </w:tr>
    </w:tbl>
    <w:p w14:paraId="42EEEE61">
      <w:pPr>
        <w:spacing w:before="20" w:after="20"/>
      </w:pPr>
    </w:p>
    <w:p w14:paraId="14783F8D">
      <w:pPr>
        <w:pStyle w:val="3"/>
        <w:pBdr>
          <w:bottom w:val="single" w:color="2E75B6" w:sz="4" w:space="2"/>
        </w:pBdr>
        <w:spacing w:before="200" w:after="80"/>
      </w:pPr>
      <w:r>
        <w:rPr>
          <w:rFonts w:ascii="Arial" w:hAnsi="Arial" w:eastAsia="Arial" w:cs="Arial"/>
          <w:b/>
          <w:bCs/>
          <w:color w:val="217346"/>
          <w:sz w:val="26"/>
          <w:szCs w:val="26"/>
        </w:rPr>
        <w:t>Priority 3 — STRATEGIC  (6–12 months)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8"/>
        <w:gridCol w:w="1760"/>
        <w:gridCol w:w="3755"/>
        <w:gridCol w:w="2198"/>
        <w:gridCol w:w="1199"/>
      </w:tblGrid>
      <w:tr w14:paraId="4CA7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CCCCCC" w:sz="4" w:space="0"/>
              <w:left w:val="single" w:color="CCCCCC" w:sz="4" w:space="0"/>
              <w:bottom w:val="single" w:color="CCCCCC" w:sz="4" w:space="0"/>
              <w:right w:val="single" w:color="CCCCCC" w:sz="4" w:space="0"/>
            </w:tcBorders>
            <w:shd w:val="clear" w:color="auto" w:fill="217346"/>
            <w:tcMar>
              <w:top w:w="75" w:type="dxa"/>
              <w:left w:w="120" w:type="dxa"/>
              <w:bottom w:w="75" w:type="dxa"/>
              <w:right w:w="120" w:type="dxa"/>
            </w:tcMar>
            <w:vAlign w:val="center"/>
          </w:tcPr>
          <w:p w14:paraId="00DF198C">
            <w:pPr>
              <w:spacing w:before="55" w:after="55"/>
              <w:jc w:val="center"/>
            </w:pPr>
            <w:r>
              <w:rPr>
                <w:rFonts w:ascii="Arial" w:hAnsi="Arial" w:eastAsia="Arial" w:cs="Arial"/>
                <w:b/>
                <w:bCs/>
                <w:i w:val="0"/>
                <w:iCs w:val="0"/>
                <w:color w:val="FFFFFF"/>
                <w:sz w:val="17"/>
                <w:szCs w:val="17"/>
              </w:rPr>
              <w:t>P</w:t>
            </w:r>
          </w:p>
        </w:tc>
        <w:tc>
          <w:tcPr>
            <w:tcW w:w="1760" w:type="dxa"/>
            <w:tcBorders>
              <w:top w:val="single" w:color="CCCCCC" w:sz="4" w:space="0"/>
              <w:left w:val="single" w:color="CCCCCC" w:sz="4" w:space="0"/>
              <w:bottom w:val="single" w:color="CCCCCC" w:sz="4" w:space="0"/>
              <w:right w:val="single" w:color="CCCCCC" w:sz="4" w:space="0"/>
            </w:tcBorders>
            <w:shd w:val="clear" w:color="auto" w:fill="217346"/>
            <w:tcMar>
              <w:top w:w="75" w:type="dxa"/>
              <w:left w:w="120" w:type="dxa"/>
              <w:bottom w:w="75" w:type="dxa"/>
              <w:right w:w="120" w:type="dxa"/>
            </w:tcMar>
            <w:vAlign w:val="center"/>
          </w:tcPr>
          <w:p w14:paraId="43A6F714">
            <w:pPr>
              <w:spacing w:before="55" w:after="55"/>
              <w:jc w:val="center"/>
            </w:pPr>
            <w:r>
              <w:rPr>
                <w:rFonts w:ascii="Arial" w:hAnsi="Arial" w:eastAsia="Arial" w:cs="Arial"/>
                <w:b/>
                <w:bCs/>
                <w:i w:val="0"/>
                <w:iCs w:val="0"/>
                <w:color w:val="FFFFFF"/>
                <w:sz w:val="17"/>
                <w:szCs w:val="17"/>
              </w:rPr>
              <w:t>Recommendation</w:t>
            </w:r>
          </w:p>
        </w:tc>
        <w:tc>
          <w:tcPr>
            <w:tcW w:w="3760" w:type="dxa"/>
            <w:tcBorders>
              <w:top w:val="single" w:color="CCCCCC" w:sz="4" w:space="0"/>
              <w:left w:val="single" w:color="CCCCCC" w:sz="4" w:space="0"/>
              <w:bottom w:val="single" w:color="CCCCCC" w:sz="4" w:space="0"/>
              <w:right w:val="single" w:color="CCCCCC" w:sz="4" w:space="0"/>
            </w:tcBorders>
            <w:shd w:val="clear" w:color="auto" w:fill="217346"/>
            <w:tcMar>
              <w:top w:w="75" w:type="dxa"/>
              <w:left w:w="120" w:type="dxa"/>
              <w:bottom w:w="75" w:type="dxa"/>
              <w:right w:w="120" w:type="dxa"/>
            </w:tcMar>
            <w:vAlign w:val="center"/>
          </w:tcPr>
          <w:p w14:paraId="63977708">
            <w:pPr>
              <w:spacing w:before="55" w:after="55"/>
              <w:jc w:val="center"/>
            </w:pPr>
            <w:r>
              <w:rPr>
                <w:rFonts w:ascii="Arial" w:hAnsi="Arial" w:eastAsia="Arial" w:cs="Arial"/>
                <w:b/>
                <w:bCs/>
                <w:i w:val="0"/>
                <w:iCs w:val="0"/>
                <w:color w:val="FFFFFF"/>
                <w:sz w:val="17"/>
                <w:szCs w:val="17"/>
              </w:rPr>
              <w:t>Action</w:t>
            </w:r>
          </w:p>
        </w:tc>
        <w:tc>
          <w:tcPr>
            <w:tcW w:w="2200" w:type="dxa"/>
            <w:tcBorders>
              <w:top w:val="single" w:color="CCCCCC" w:sz="4" w:space="0"/>
              <w:left w:val="single" w:color="CCCCCC" w:sz="4" w:space="0"/>
              <w:bottom w:val="single" w:color="CCCCCC" w:sz="4" w:space="0"/>
              <w:right w:val="single" w:color="CCCCCC" w:sz="4" w:space="0"/>
            </w:tcBorders>
            <w:shd w:val="clear" w:color="auto" w:fill="217346"/>
            <w:tcMar>
              <w:top w:w="75" w:type="dxa"/>
              <w:left w:w="120" w:type="dxa"/>
              <w:bottom w:w="75" w:type="dxa"/>
              <w:right w:w="120" w:type="dxa"/>
            </w:tcMar>
            <w:vAlign w:val="center"/>
          </w:tcPr>
          <w:p w14:paraId="11106F50">
            <w:pPr>
              <w:spacing w:before="55" w:after="55"/>
              <w:jc w:val="center"/>
            </w:pPr>
            <w:r>
              <w:rPr>
                <w:rFonts w:ascii="Arial" w:hAnsi="Arial" w:eastAsia="Arial" w:cs="Arial"/>
                <w:b/>
                <w:bCs/>
                <w:i w:val="0"/>
                <w:iCs w:val="0"/>
                <w:color w:val="FFFFFF"/>
                <w:sz w:val="17"/>
                <w:szCs w:val="17"/>
              </w:rPr>
              <w:t>Success Metric</w:t>
            </w:r>
          </w:p>
        </w:tc>
        <w:tc>
          <w:tcPr>
            <w:tcW w:w="1200" w:type="dxa"/>
            <w:tcBorders>
              <w:top w:val="single" w:color="CCCCCC" w:sz="4" w:space="0"/>
              <w:left w:val="single" w:color="CCCCCC" w:sz="4" w:space="0"/>
              <w:bottom w:val="single" w:color="CCCCCC" w:sz="4" w:space="0"/>
              <w:right w:val="single" w:color="CCCCCC" w:sz="4" w:space="0"/>
            </w:tcBorders>
            <w:shd w:val="clear" w:color="auto" w:fill="217346"/>
            <w:tcMar>
              <w:top w:w="75" w:type="dxa"/>
              <w:left w:w="120" w:type="dxa"/>
              <w:bottom w:w="75" w:type="dxa"/>
              <w:right w:w="120" w:type="dxa"/>
            </w:tcMar>
            <w:vAlign w:val="center"/>
          </w:tcPr>
          <w:p w14:paraId="537CC4EC">
            <w:pPr>
              <w:spacing w:before="55" w:after="55"/>
              <w:jc w:val="center"/>
            </w:pPr>
            <w:r>
              <w:rPr>
                <w:rFonts w:ascii="Arial" w:hAnsi="Arial" w:eastAsia="Arial" w:cs="Arial"/>
                <w:b/>
                <w:bCs/>
                <w:i w:val="0"/>
                <w:iCs w:val="0"/>
                <w:color w:val="FFFFFF"/>
                <w:sz w:val="17"/>
                <w:szCs w:val="17"/>
              </w:rPr>
              <w:t>Owner</w:t>
            </w:r>
          </w:p>
        </w:tc>
      </w:tr>
      <w:tr w14:paraId="6714F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100A124A">
            <w:pPr>
              <w:spacing w:before="55" w:after="55"/>
              <w:jc w:val="center"/>
            </w:pPr>
            <w:r>
              <w:rPr>
                <w:rFonts w:ascii="Arial" w:hAnsi="Arial" w:eastAsia="Arial" w:cs="Arial"/>
                <w:b/>
                <w:bCs/>
                <w:i w:val="0"/>
                <w:iCs w:val="0"/>
                <w:color w:val="217346"/>
                <w:sz w:val="17"/>
                <w:szCs w:val="17"/>
              </w:rPr>
              <w:t>P8</w:t>
            </w:r>
          </w:p>
        </w:tc>
        <w:tc>
          <w:tcPr>
            <w:tcW w:w="17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3FF1E4AC">
            <w:pPr>
              <w:spacing w:before="55" w:after="55"/>
              <w:jc w:val="left"/>
            </w:pPr>
            <w:r>
              <w:rPr>
                <w:rFonts w:ascii="Arial" w:hAnsi="Arial" w:eastAsia="Arial" w:cs="Arial"/>
                <w:b/>
                <w:bCs/>
                <w:i w:val="0"/>
                <w:iCs w:val="0"/>
                <w:color w:val="1F1F1F"/>
                <w:sz w:val="17"/>
                <w:szCs w:val="17"/>
              </w:rPr>
              <w:t>Revenue Decline Early Warning</w:t>
            </w:r>
          </w:p>
        </w:tc>
        <w:tc>
          <w:tcPr>
            <w:tcW w:w="376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B0561EA">
            <w:pPr>
              <w:spacing w:before="55" w:after="55"/>
              <w:jc w:val="left"/>
            </w:pPr>
            <w:r>
              <w:rPr>
                <w:rFonts w:ascii="Arial" w:hAnsi="Arial" w:eastAsia="Arial" w:cs="Arial"/>
                <w:b w:val="0"/>
                <w:bCs w:val="0"/>
                <w:i w:val="0"/>
                <w:iCs w:val="0"/>
                <w:color w:val="1F1F1F"/>
                <w:sz w:val="17"/>
                <w:szCs w:val="17"/>
              </w:rPr>
              <w:t>Build a live monthly SUMIFS dashboard with automated alerts. The 2015 −2.7% dip was identified retrospectively — real-time monitoring would enable faster response.</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31C4E8B6">
            <w:pPr>
              <w:spacing w:before="55" w:after="55"/>
              <w:jc w:val="left"/>
            </w:pPr>
            <w:r>
              <w:rPr>
                <w:rFonts w:ascii="Arial" w:hAnsi="Arial" w:eastAsia="Arial" w:cs="Arial"/>
                <w:b w:val="0"/>
                <w:bCs w:val="0"/>
                <w:i/>
                <w:iCs/>
                <w:color w:val="217346"/>
                <w:sz w:val="17"/>
                <w:szCs w:val="17"/>
              </w:rPr>
              <w:t>Dashboard live within 60 days; 2015-style dip detected within 30 days of onset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75" w:type="dxa"/>
              <w:left w:w="120" w:type="dxa"/>
              <w:bottom w:w="75" w:type="dxa"/>
              <w:right w:w="120" w:type="dxa"/>
            </w:tcMar>
            <w:vAlign w:val="center"/>
          </w:tcPr>
          <w:p w14:paraId="5F726A11">
            <w:pPr>
              <w:spacing w:before="55" w:after="55"/>
              <w:jc w:val="left"/>
            </w:pPr>
            <w:r>
              <w:rPr>
                <w:rFonts w:ascii="Arial" w:hAnsi="Arial" w:eastAsia="Arial" w:cs="Arial"/>
                <w:b w:val="0"/>
                <w:bCs w:val="0"/>
                <w:i w:val="0"/>
                <w:iCs w:val="0"/>
                <w:color w:val="1F3864"/>
                <w:sz w:val="17"/>
                <w:szCs w:val="17"/>
              </w:rPr>
              <w:t>BI &amp; Analytics</w:t>
            </w:r>
          </w:p>
        </w:tc>
      </w:tr>
    </w:tbl>
    <w:p w14:paraId="441E6EE8">
      <w:pPr>
        <w:spacing w:before="20" w:after="20"/>
      </w:pPr>
    </w:p>
    <w:p w14:paraId="13858C0A">
      <w:pPr>
        <w:pBdr>
          <w:bottom w:val="single" w:color="2E75B6" w:sz="6" w:space="1"/>
        </w:pBdr>
        <w:spacing w:before="80" w:after="80"/>
      </w:pPr>
    </w:p>
    <w:p w14:paraId="1A3E3AE6">
      <w:pPr>
        <w:spacing w:before="80" w:after="80"/>
        <w:jc w:val="center"/>
      </w:pPr>
      <w:r>
        <w:rPr>
          <w:rFonts w:ascii="Arial" w:hAnsi="Arial" w:eastAsia="Arial" w:cs="Arial"/>
          <w:b w:val="0"/>
          <w:bCs w:val="0"/>
          <w:i/>
          <w:iCs/>
          <w:color w:val="595959"/>
          <w:sz w:val="17"/>
          <w:szCs w:val="17"/>
        </w:rPr>
        <w:t>End of Report  |  Excel Dashboard Project Report — Retail Sales &amp; Customer Behaviour Analysis 2013–2016</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14E4E">
    <w:pPr>
      <w:pBdr>
        <w:top w:val="single" w:color="2E75B6" w:sz="4" w:space="1"/>
      </w:pBdr>
      <w:tabs>
        <w:tab w:val="right" w:pos="9360"/>
      </w:tabs>
      <w:spacing w:before="100" w:after="0"/>
      <w:rPr>
        <w:rFonts w:hint="default"/>
        <w:lang w:val="en-IN"/>
      </w:rPr>
    </w:pPr>
    <w:r>
      <w:rPr>
        <w:rFonts w:cs="Arial"/>
        <w:b w:val="0"/>
        <w:bCs w:val="0"/>
        <w:i w:val="0"/>
        <w:iCs w:val="0"/>
        <w:color w:val="595959"/>
        <w:sz w:val="16"/>
        <w:szCs w:val="16"/>
        <w:lang w:val="en-IN"/>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AA80C">
    <w:pPr>
      <w:pBdr>
        <w:bottom w:val="single" w:color="2E75B6" w:sz="4" w:space="1"/>
      </w:pBdr>
      <w:tabs>
        <w:tab w:val="right" w:pos="9360"/>
      </w:tabs>
      <w:spacing w:before="0" w:after="100"/>
      <w:rPr>
        <w:rFonts w:hint="default"/>
        <w:lang w:val="en-IN"/>
      </w:rPr>
    </w:pPr>
    <w:r>
      <w:rPr>
        <w:rFonts w:cs="Arial"/>
        <w:b w:val="0"/>
        <w:bCs w:val="0"/>
        <w:i w:val="0"/>
        <w:iCs w:val="0"/>
        <w:color w:val="595959"/>
        <w:sz w:val="16"/>
        <w:szCs w:val="16"/>
        <w:lang w:val="en-I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80" w:hanging="280"/>
      </w:pPr>
      <w:rPr>
        <w:rFonts w:ascii="Arial" w:hAnsi="Arial" w:eastAsia="Arial" w:cs="Arial"/>
        <w:sz w:val="20"/>
        <w:szCs w:val="20"/>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4FF6E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260" w:after="140"/>
      <w:outlineLvl w:val="0"/>
    </w:pPr>
    <w:rPr>
      <w:rFonts w:ascii="Arial" w:hAnsi="Arial" w:eastAsia="Arial" w:cs="Arial"/>
      <w:b/>
      <w:bCs/>
      <w:color w:val="FFFFFF"/>
      <w:sz w:val="40"/>
      <w:szCs w:val="40"/>
    </w:rPr>
  </w:style>
  <w:style w:type="paragraph" w:styleId="3">
    <w:name w:val="heading 2"/>
    <w:next w:val="1"/>
    <w:uiPriority w:val="0"/>
    <w:pPr>
      <w:spacing w:before="200" w:after="80"/>
      <w:outlineLvl w:val="1"/>
    </w:pPr>
    <w:rPr>
      <w:rFonts w:ascii="Arial" w:hAnsi="Arial" w:eastAsia="Arial" w:cs="Arial"/>
      <w:b/>
      <w:bCs/>
      <w:color w:val="1F3864"/>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15</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2026-06-21T06:10:00Z</dcterms:created>
  <dc:creator>Un-named</dc:creator>
  <cp:lastModifiedBy>Roy Himanshu</cp:lastModifiedBy>
  <dcterms:modified xsi:type="dcterms:W3CDTF">2026-06-21T15:16:32Z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93AAAC93F3E14E939AE39D590E249DE8_12</vt:lpwstr>
  </property>
</Properties>
</file>