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B21B6"/>
          <w:sz w:val="40"/>
          <w:szCs w:val="40"/>
        </w:rPr>
        <w:t xml:space="preserve">Configurable Notification System</w:t>
      </w:r>
    </w:p>
    <w:p>
      <w:pPr>
        <w:spacing w:after="40"/>
      </w:pPr>
      <w:r>
        <w:rPr>
          <w:rFonts w:ascii="Calibri" w:cs="Calibri" w:eastAsia="Calibri" w:hAnsi="Calibri"/>
          <w:color w:val="4B5563"/>
          <w:sz w:val="22"/>
          <w:szCs w:val="22"/>
        </w:rPr>
        <w:t xml:space="preserve">Architecture and key decisions · Tests · Production improvements</w:t>
      </w:r>
    </w:p>
    <w:p>
      <w:pPr>
        <w:spacing w:after="240"/>
      </w:pPr>
      <w:r>
        <w:rPr>
          <w:rFonts w:ascii="Calibri" w:cs="Calibri" w:eastAsia="Calibri" w:hAnsi="Calibri"/>
          <w:color w:val="4B5563"/>
          <w:sz w:val="20"/>
          <w:szCs w:val="20"/>
        </w:rPr>
        <w:t xml:space="preserve">Himanshu Choudhary  ·  </w:t>
      </w:r>
      <w:r>
        <w:rPr>
          <w:rFonts w:ascii="Calibri" w:cs="Calibri" w:eastAsia="Calibri" w:hAnsi="Calibri"/>
          <w:color w:val="4B5563"/>
          <w:sz w:val="20"/>
          <w:szCs w:val="20"/>
        </w:rPr>
        <w:t xml:space="preserve">Full Stack Engineer assignment, AutoOps (by SupplyOnyx)</w:t>
      </w:r>
    </w:p>
    <w:p>
      <w:pPr>
        <w:spacing w:after="240"/>
      </w:pPr>
      <w:r>
        <w:rPr>
          <w:rFonts w:ascii="Calibri" w:cs="Calibri" w:eastAsia="Calibri" w:hAnsi="Calibri"/>
          <w:sz w:val="20"/>
          <w:szCs w:val="20"/>
        </w:rPr>
        <w:t xml:space="preserve">Repository: </w:t>
      </w:r>
      <w:hyperlink w:history="1" r:id="rIdrxkm1ghdpiugrnhfat7pp">
        <w:r>
          <w:rPr>
            <w:rFonts w:ascii="Calibri" w:cs="Calibri" w:eastAsia="Calibri" w:hAnsi="Calibri"/>
            <w:color w:val="2563EB"/>
            <w:sz w:val="20"/>
            <w:szCs w:val="20"/>
            <w:u w:val="single"/>
          </w:rPr>
          <w:t xml:space="preserve">github.com/himanshu60/configurable-notification-system</w:t>
        </w:r>
      </w:hyperlink>
    </w:p>
    <w:p>
      <w:pPr>
        <w:pStyle w:val="Heading1"/>
        <w:spacing w:after="160" w:before="320"/>
      </w:pPr>
      <w:r>
        <w:rPr>
          <w:rFonts w:ascii="Calibri" w:cs="Calibri" w:eastAsia="Calibri" w:hAnsi="Calibri"/>
          <w:b/>
          <w:bCs/>
          <w:color w:val="5B21B6"/>
          <w:sz w:val="30"/>
          <w:szCs w:val="30"/>
        </w:rPr>
        <w:t xml:space="preserve">What it does</w:t>
      </w:r>
    </w:p>
    <w:p>
      <w:pPr>
        <w:spacing w:after="120" w:line="276"/>
      </w:pPr>
      <w:r>
        <w:rPr>
          <w:rFonts w:ascii="Calibri" w:cs="Calibri" w:eastAsia="Calibri" w:hAnsi="Calibri"/>
          <w:sz w:val="21"/>
          <w:szCs w:val="21"/>
        </w:rPr>
        <w:t xml:space="preserve">Users define when they want to be notified (an event plus conditions) and how (channels, recipients and a message template). Firing order.created with order.value = 15000 against a rule that says "notify me when order value is over $10,000" produces the notification — matched, rendered, queued, delivered and recorded in history.</w:t>
      </w:r>
    </w:p>
    <w:p>
      <w:pPr>
        <w:spacing w:after="120" w:line="276"/>
      </w:pPr>
      <w:r>
        <w:rPr>
          <w:rFonts w:ascii="Calibri" w:cs="Calibri" w:eastAsia="Calibri" w:hAnsi="Calibri"/>
          <w:sz w:val="21"/>
          <w:szCs w:val="21"/>
        </w:rPr>
        <w:t xml:space="preserve">Two channels ship: Email (a mock SMTP provider with configurable latency and failure rate) and In-app (an inbox with unread counts). Both sit behind one adapter interface.</w:t>
      </w:r>
    </w:p>
    <w:p>
      <w:pPr>
        <w:pStyle w:val="Heading1"/>
        <w:spacing w:after="160" w:before="320"/>
      </w:pPr>
      <w:r>
        <w:rPr>
          <w:rFonts w:ascii="Calibri" w:cs="Calibri" w:eastAsia="Calibri" w:hAnsi="Calibri"/>
          <w:b/>
          <w:bCs/>
          <w:color w:val="5B21B6"/>
          <w:sz w:val="30"/>
          <w:szCs w:val="30"/>
        </w:rPr>
        <w:t xml:space="preserve">Architecture</w:t>
      </w:r>
    </w:p>
    <w:p>
      <w:pPr>
        <w:pStyle w:val="Heading2"/>
        <w:spacing w:after="100" w:before="240"/>
      </w:pPr>
      <w:r>
        <w:rPr>
          <w:rFonts w:ascii="Calibri" w:cs="Calibri" w:eastAsia="Calibri" w:hAnsi="Calibri"/>
          <w:b/>
          <w:bCs/>
          <w:sz w:val="24"/>
          <w:szCs w:val="24"/>
        </w:rPr>
        <w:t xml:space="preserve">Shape</w:t>
      </w:r>
    </w:p>
    <w:p>
      <w:pPr>
        <w:spacing w:after="120" w:line="276"/>
      </w:pPr>
      <w:r>
        <w:rPr>
          <w:rFonts w:ascii="Calibri" w:cs="Calibri" w:eastAsia="Calibri" w:hAnsi="Calibri"/>
          <w:sz w:val="21"/>
          <w:szCs w:val="21"/>
        </w:rPr>
        <w:t xml:space="preserve">An npm workspaces monorepo with three packages. The Angular client and the Express API both import a shared package that holds the Zod schemas; every TypeScript type is inferred from those schemas, so the two sides cannot disagree about a contract — a change breaks the build rather than production.</w:t>
      </w:r>
    </w:p>
    <w:p>
      <w:pPr>
        <w:shd w:fill="F3F4F6"/>
        <w:spacing w:after="60"/>
      </w:pPr>
      <w:r>
        <w:rPr>
          <w:rFonts w:ascii="Consolas" w:cs="Consolas" w:eastAsia="Consolas" w:hAnsi="Consolas"/>
          <w:sz w:val="18"/>
          <w:szCs w:val="18"/>
        </w:rPr>
        <w:t xml:space="preserve">apps/web  (Angular 22)  →  packages/shared  ←  apps/api  (Express 5)</w:t>
      </w:r>
    </w:p>
    <w:p>
      <w:pPr>
        <w:shd w:fill="F3F4F6"/>
        <w:spacing w:after="60"/>
      </w:pPr>
      <w:r>
        <w:rPr>
          <w:rFonts w:ascii="Consolas" w:cs="Consolas" w:eastAsia="Consolas" w:hAnsi="Consolas"/>
          <w:sz w:val="18"/>
          <w:szCs w:val="18"/>
        </w:rPr>
        <w:t xml:space="preserve">                                                     ↓</w:t>
      </w:r>
    </w:p>
    <w:p>
      <w:pPr>
        <w:shd w:fill="F3F4F6"/>
        <w:spacing w:after="60"/>
      </w:pPr>
      <w:r>
        <w:rPr>
          <w:rFonts w:ascii="Consolas" w:cs="Consolas" w:eastAsia="Consolas" w:hAnsi="Consolas"/>
          <w:sz w:val="18"/>
          <w:szCs w:val="18"/>
        </w:rPr>
        <w:t xml:space="preserve">                                                MongoDB</w:t>
      </w:r>
    </w:p>
    <w:p>
      <w:pPr>
        <w:spacing w:after="120"/>
      </w:pPr>
    </w:p>
    <w:p>
      <w:pPr>
        <w:spacing w:after="120" w:line="276"/>
      </w:pPr>
      <w:r>
        <w:rPr>
          <w:rFonts w:ascii="Calibri" w:cs="Calibri" w:eastAsia="Calibri" w:hAnsi="Calibri"/>
          <w:sz w:val="21"/>
          <w:szCs w:val="21"/>
        </w:rPr>
        <w:t xml:space="preserve">The API is layered: routes handle HTTP, services hold business rules, models handle persistence, and an engine/ folder contains pure functions with no I/O at all. That last part is deliberate — the condition evaluator, template renderer and dedupe key are the parts most likely to be wrong and most valuable to test, so none of them touches a database.</w:t>
      </w:r>
    </w:p>
    <w:p>
      <w:pPr>
        <w:pStyle w:val="Heading2"/>
        <w:spacing w:after="100" w:before="240"/>
      </w:pPr>
      <w:r>
        <w:rPr>
          <w:rFonts w:ascii="Calibri" w:cs="Calibri" w:eastAsia="Calibri" w:hAnsi="Calibri"/>
          <w:b/>
          <w:bCs/>
          <w:sz w:val="24"/>
          <w:szCs w:val="24"/>
        </w:rPr>
        <w:t xml:space="preserve">How a notification happens</w:t>
      </w:r>
    </w:p>
    <w:tbl>
      <w:tblPr>
        <w:tblW w:type="pct" w:w="100%"/>
        <w:tblBorders>
          <w:top w:val="single" w:color="D1D5DB" w:sz="4"/>
          <w:left w:val="single" w:color="D1D5DB" w:sz="4"/>
          <w:bottom w:val="single" w:color="D1D5DB" w:sz="4"/>
          <w:right w:val="single" w:color="D1D5DB" w:sz="4"/>
          <w:insideH w:val="single" w:color="E5E7EB" w:sz="4"/>
          <w:insideV w:val="single" w:color="E5E7EB" w:sz="4"/>
        </w:tblBorders>
      </w:tblPr>
      <w:tblGrid>
        <w:gridCol w:w="100"/>
        <w:gridCol w:w="100"/>
      </w:tblGrid>
      <w:tr>
        <w:trPr>
          <w:tblHeader/>
        </w:trPr>
        <w:tc>
          <w:tcPr>
            <w:tcW w:type="pct" w:w="10%"/>
            <w:shd w:fill="EDE9FE"/>
            <w:tcMar>
              <w:top w:type="dxa" w:w="60"/>
              <w:left w:type="dxa" w:w="100"/>
              <w:bottom w:type="dxa" w:w="60"/>
              <w:right w:type="dxa" w:w="100"/>
            </w:tcMar>
          </w:tcPr>
          <w:p>
            <w:r>
              <w:rPr>
                <w:rFonts w:ascii="Calibri" w:cs="Calibri" w:eastAsia="Calibri" w:hAnsi="Calibri"/>
                <w:b/>
                <w:bCs/>
                <w:sz w:val="19"/>
                <w:szCs w:val="19"/>
              </w:rPr>
              <w:t xml:space="preserve">Step</w:t>
            </w:r>
          </w:p>
        </w:tc>
        <w:tc>
          <w:tcPr>
            <w:tcW w:type="pct" w:w="90%"/>
            <w:shd w:fill="EDE9FE"/>
            <w:tcMar>
              <w:top w:type="dxa" w:w="60"/>
              <w:left w:type="dxa" w:w="100"/>
              <w:bottom w:type="dxa" w:w="60"/>
              <w:right w:type="dxa" w:w="100"/>
            </w:tcMar>
          </w:tcPr>
          <w:p>
            <w:r>
              <w:rPr>
                <w:rFonts w:ascii="Calibri" w:cs="Calibri" w:eastAsia="Calibri" w:hAnsi="Calibri"/>
                <w:b/>
                <w:bCs/>
                <w:sz w:val="19"/>
                <w:szCs w:val="19"/>
              </w:rPr>
              <w:t xml:space="preserve">What happens</w:t>
            </w:r>
          </w:p>
        </w:tc>
      </w:tr>
      <w:tr>
        <w:trPr>
          <w:tblHeader w:val="false"/>
        </w:trPr>
        <w:tc>
          <w:tcPr>
            <w:tcW w:type="pct" w:w="10%"/>
            <w:tcMar>
              <w:top w:type="dxa" w:w="60"/>
              <w:left w:type="dxa" w:w="100"/>
              <w:bottom w:type="dxa" w:w="60"/>
              <w:right w:type="dxa" w:w="100"/>
            </w:tcMar>
          </w:tcPr>
          <w:p>
            <w:r>
              <w:rPr>
                <w:rFonts w:ascii="Calibri" w:cs="Calibri" w:eastAsia="Calibri" w:hAnsi="Calibri"/>
                <w:b w:val="false"/>
                <w:bCs w:val="false"/>
                <w:sz w:val="19"/>
                <w:szCs w:val="19"/>
              </w:rPr>
              <w:t xml:space="preserve">1</w:t>
            </w:r>
          </w:p>
        </w:tc>
        <w:tc>
          <w:tcPr>
            <w:tcW w:type="pct" w:w="90%"/>
            <w:tcMar>
              <w:top w:type="dxa" w:w="60"/>
              <w:left w:type="dxa" w:w="100"/>
              <w:bottom w:type="dxa" w:w="60"/>
              <w:right w:type="dxa" w:w="100"/>
            </w:tcMar>
          </w:tcPr>
          <w:p>
            <w:r>
              <w:rPr>
                <w:rFonts w:ascii="Calibri" w:cs="Calibri" w:eastAsia="Calibri" w:hAnsi="Calibri"/>
                <w:b w:val="false"/>
                <w:bCs w:val="false"/>
                <w:sz w:val="19"/>
                <w:szCs w:val="19"/>
              </w:rPr>
              <w:t xml:space="preserve">Event is inserted. A unique index on eventId makes ingestion idempotent.</w:t>
            </w:r>
          </w:p>
        </w:tc>
      </w:tr>
      <w:tr>
        <w:trPr>
          <w:tblHeader w:val="false"/>
        </w:trPr>
        <w:tc>
          <w:tcPr>
            <w:tcW w:type="pct" w:w="10%"/>
            <w:tcMar>
              <w:top w:type="dxa" w:w="60"/>
              <w:left w:type="dxa" w:w="100"/>
              <w:bottom w:type="dxa" w:w="60"/>
              <w:right w:type="dxa" w:w="100"/>
            </w:tcMar>
          </w:tcPr>
          <w:p>
            <w:r>
              <w:rPr>
                <w:rFonts w:ascii="Calibri" w:cs="Calibri" w:eastAsia="Calibri" w:hAnsi="Calibri"/>
                <w:b w:val="false"/>
                <w:bCs w:val="false"/>
                <w:sz w:val="19"/>
                <w:szCs w:val="19"/>
              </w:rPr>
              <w:t xml:space="preserve">2</w:t>
            </w:r>
          </w:p>
        </w:tc>
        <w:tc>
          <w:tcPr>
            <w:tcW w:type="pct" w:w="90%"/>
            <w:tcMar>
              <w:top w:type="dxa" w:w="60"/>
              <w:left w:type="dxa" w:w="100"/>
              <w:bottom w:type="dxa" w:w="60"/>
              <w:right w:type="dxa" w:w="100"/>
            </w:tcMar>
          </w:tcPr>
          <w:p>
            <w:r>
              <w:rPr>
                <w:rFonts w:ascii="Calibri" w:cs="Calibri" w:eastAsia="Calibri" w:hAnsi="Calibri"/>
                <w:b w:val="false"/>
                <w:bCs w:val="false"/>
                <w:sz w:val="19"/>
                <w:szCs w:val="19"/>
              </w:rPr>
              <w:t xml:space="preserve">Enabled rules for that event type are loaded (indexed query).</w:t>
            </w:r>
          </w:p>
        </w:tc>
      </w:tr>
      <w:tr>
        <w:trPr>
          <w:tblHeader w:val="false"/>
        </w:trPr>
        <w:tc>
          <w:tcPr>
            <w:tcW w:type="pct" w:w="10%"/>
            <w:tcMar>
              <w:top w:type="dxa" w:w="60"/>
              <w:left w:type="dxa" w:w="100"/>
              <w:bottom w:type="dxa" w:w="60"/>
              <w:right w:type="dxa" w:w="100"/>
            </w:tcMar>
          </w:tcPr>
          <w:p>
            <w:r>
              <w:rPr>
                <w:rFonts w:ascii="Calibri" w:cs="Calibri" w:eastAsia="Calibri" w:hAnsi="Calibri"/>
                <w:b w:val="false"/>
                <w:bCs w:val="false"/>
                <w:sz w:val="19"/>
                <w:szCs w:val="19"/>
              </w:rPr>
              <w:t xml:space="preserve">3</w:t>
            </w:r>
          </w:p>
        </w:tc>
        <w:tc>
          <w:tcPr>
            <w:tcW w:type="pct" w:w="90%"/>
            <w:tcMar>
              <w:top w:type="dxa" w:w="60"/>
              <w:left w:type="dxa" w:w="100"/>
              <w:bottom w:type="dxa" w:w="60"/>
              <w:right w:type="dxa" w:w="100"/>
            </w:tcMar>
          </w:tcPr>
          <w:p>
            <w:r>
              <w:rPr>
                <w:rFonts w:ascii="Calibri" w:cs="Calibri" w:eastAsia="Calibri" w:hAnsi="Calibri"/>
                <w:b w:val="false"/>
                <w:bCs w:val="false"/>
                <w:sz w:val="19"/>
                <w:szCs w:val="19"/>
              </w:rPr>
              <w:t xml:space="preserve">Conditions are evaluated against the payload by a pure function.</w:t>
            </w:r>
          </w:p>
        </w:tc>
      </w:tr>
      <w:tr>
        <w:trPr>
          <w:tblHeader w:val="false"/>
        </w:trPr>
        <w:tc>
          <w:tcPr>
            <w:tcW w:type="pct" w:w="10%"/>
            <w:tcMar>
              <w:top w:type="dxa" w:w="60"/>
              <w:left w:type="dxa" w:w="100"/>
              <w:bottom w:type="dxa" w:w="60"/>
              <w:right w:type="dxa" w:w="100"/>
            </w:tcMar>
          </w:tcPr>
          <w:p>
            <w:r>
              <w:rPr>
                <w:rFonts w:ascii="Calibri" w:cs="Calibri" w:eastAsia="Calibri" w:hAnsi="Calibri"/>
                <w:b w:val="false"/>
                <w:bCs w:val="false"/>
                <w:sz w:val="19"/>
                <w:szCs w:val="19"/>
              </w:rPr>
              <w:t xml:space="preserve">4</w:t>
            </w:r>
          </w:p>
        </w:tc>
        <w:tc>
          <w:tcPr>
            <w:tcW w:type="pct" w:w="90%"/>
            <w:tcMar>
              <w:top w:type="dxa" w:w="60"/>
              <w:left w:type="dxa" w:w="100"/>
              <w:bottom w:type="dxa" w:w="60"/>
              <w:right w:type="dxa" w:w="100"/>
            </w:tcMar>
          </w:tcPr>
          <w:p>
            <w:r>
              <w:rPr>
                <w:rFonts w:ascii="Calibri" w:cs="Calibri" w:eastAsia="Calibri" w:hAnsi="Calibri"/>
                <w:b w:val="false"/>
                <w:bCs w:val="false"/>
                <w:sz w:val="19"/>
                <w:szCs w:val="19"/>
              </w:rPr>
              <w:t xml:space="preserve">Recipients are resolved: USER, EMAIL, or ROLE (which fans out to every holder).</w:t>
            </w:r>
          </w:p>
        </w:tc>
      </w:tr>
      <w:tr>
        <w:trPr>
          <w:tblHeader w:val="false"/>
        </w:trPr>
        <w:tc>
          <w:tcPr>
            <w:tcW w:type="pct" w:w="10%"/>
            <w:tcMar>
              <w:top w:type="dxa" w:w="60"/>
              <w:left w:type="dxa" w:w="100"/>
              <w:bottom w:type="dxa" w:w="60"/>
              <w:right w:type="dxa" w:w="100"/>
            </w:tcMar>
          </w:tcPr>
          <w:p>
            <w:r>
              <w:rPr>
                <w:rFonts w:ascii="Calibri" w:cs="Calibri" w:eastAsia="Calibri" w:hAnsi="Calibri"/>
                <w:b w:val="false"/>
                <w:bCs w:val="false"/>
                <w:sz w:val="19"/>
                <w:szCs w:val="19"/>
              </w:rPr>
              <w:t xml:space="preserve">5</w:t>
            </w:r>
          </w:p>
        </w:tc>
        <w:tc>
          <w:tcPr>
            <w:tcW w:type="pct" w:w="90%"/>
            <w:tcMar>
              <w:top w:type="dxa" w:w="60"/>
              <w:left w:type="dxa" w:w="100"/>
              <w:bottom w:type="dxa" w:w="60"/>
              <w:right w:type="dxa" w:w="100"/>
            </w:tcMar>
          </w:tcPr>
          <w:p>
            <w:r>
              <w:rPr>
                <w:rFonts w:ascii="Calibri" w:cs="Calibri" w:eastAsia="Calibri" w:hAnsi="Calibri"/>
                <w:b w:val="false"/>
                <w:bCs w:val="false"/>
                <w:sz w:val="19"/>
                <w:szCs w:val="19"/>
              </w:rPr>
              <w:t xml:space="preserve">Subject and body are rendered from the template.</w:t>
            </w:r>
          </w:p>
        </w:tc>
      </w:tr>
      <w:tr>
        <w:trPr>
          <w:tblHeader w:val="false"/>
        </w:trPr>
        <w:tc>
          <w:tcPr>
            <w:tcW w:type="pct" w:w="10%"/>
            <w:tcMar>
              <w:top w:type="dxa" w:w="60"/>
              <w:left w:type="dxa" w:w="100"/>
              <w:bottom w:type="dxa" w:w="60"/>
              <w:right w:type="dxa" w:w="100"/>
            </w:tcMar>
          </w:tcPr>
          <w:p>
            <w:r>
              <w:rPr>
                <w:rFonts w:ascii="Calibri" w:cs="Calibri" w:eastAsia="Calibri" w:hAnsi="Calibri"/>
                <w:b w:val="false"/>
                <w:bCs w:val="false"/>
                <w:sz w:val="19"/>
                <w:szCs w:val="19"/>
              </w:rPr>
              <w:t xml:space="preserve">6</w:t>
            </w:r>
          </w:p>
        </w:tc>
        <w:tc>
          <w:tcPr>
            <w:tcW w:type="pct" w:w="90%"/>
            <w:tcMar>
              <w:top w:type="dxa" w:w="60"/>
              <w:left w:type="dxa" w:w="100"/>
              <w:bottom w:type="dxa" w:w="60"/>
              <w:right w:type="dxa" w:w="100"/>
            </w:tcMar>
          </w:tcPr>
          <w:p>
            <w:r>
              <w:rPr>
                <w:rFonts w:ascii="Calibri" w:cs="Calibri" w:eastAsia="Calibri" w:hAnsi="Calibri"/>
                <w:b w:val="false"/>
                <w:bCs w:val="false"/>
                <w:sz w:val="19"/>
                <w:szCs w:val="19"/>
              </w:rPr>
              <w:t xml:space="preserve">One PENDING delivery row is written per rule × recipient × channel.</w:t>
            </w:r>
          </w:p>
        </w:tc>
      </w:tr>
      <w:tr>
        <w:trPr>
          <w:tblHeader w:val="false"/>
        </w:trPr>
        <w:tc>
          <w:tcPr>
            <w:tcW w:type="pct" w:w="10%"/>
            <w:tcMar>
              <w:top w:type="dxa" w:w="60"/>
              <w:left w:type="dxa" w:w="100"/>
              <w:bottom w:type="dxa" w:w="60"/>
              <w:right w:type="dxa" w:w="100"/>
            </w:tcMar>
          </w:tcPr>
          <w:p>
            <w:r>
              <w:rPr>
                <w:rFonts w:ascii="Calibri" w:cs="Calibri" w:eastAsia="Calibri" w:hAnsi="Calibri"/>
                <w:b w:val="false"/>
                <w:bCs w:val="false"/>
                <w:sz w:val="19"/>
                <w:szCs w:val="19"/>
              </w:rPr>
              <w:t xml:space="preserve">7</w:t>
            </w:r>
          </w:p>
        </w:tc>
        <w:tc>
          <w:tcPr>
            <w:tcW w:type="pct" w:w="90%"/>
            <w:tcMar>
              <w:top w:type="dxa" w:w="60"/>
              <w:left w:type="dxa" w:w="100"/>
              <w:bottom w:type="dxa" w:w="60"/>
              <w:right w:type="dxa" w:w="100"/>
            </w:tcMar>
          </w:tcPr>
          <w:p>
            <w:r>
              <w:rPr>
                <w:rFonts w:ascii="Calibri" w:cs="Calibri" w:eastAsia="Calibri" w:hAnsi="Calibri"/>
                <w:b w:val="false"/>
                <w:bCs w:val="false"/>
                <w:sz w:val="19"/>
                <w:szCs w:val="19"/>
              </w:rPr>
              <w:t xml:space="preserve">A background worker claims a due row atomically and hands it to the channel adapter.</w:t>
            </w:r>
          </w:p>
        </w:tc>
      </w:tr>
      <w:tr>
        <w:trPr>
          <w:tblHeader w:val="false"/>
        </w:trPr>
        <w:tc>
          <w:tcPr>
            <w:tcW w:type="pct" w:w="10%"/>
            <w:tcMar>
              <w:top w:type="dxa" w:w="60"/>
              <w:left w:type="dxa" w:w="100"/>
              <w:bottom w:type="dxa" w:w="60"/>
              <w:right w:type="dxa" w:w="100"/>
            </w:tcMar>
          </w:tcPr>
          <w:p>
            <w:r>
              <w:rPr>
                <w:rFonts w:ascii="Calibri" w:cs="Calibri" w:eastAsia="Calibri" w:hAnsi="Calibri"/>
                <w:b w:val="false"/>
                <w:bCs w:val="false"/>
                <w:sz w:val="19"/>
                <w:szCs w:val="19"/>
              </w:rPr>
              <w:t xml:space="preserve">8</w:t>
            </w:r>
          </w:p>
        </w:tc>
        <w:tc>
          <w:tcPr>
            <w:tcW w:type="pct" w:w="90%"/>
            <w:tcMar>
              <w:top w:type="dxa" w:w="60"/>
              <w:left w:type="dxa" w:w="100"/>
              <w:bottom w:type="dxa" w:w="60"/>
              <w:right w:type="dxa" w:w="100"/>
            </w:tcMar>
          </w:tcPr>
          <w:p>
            <w:r>
              <w:rPr>
                <w:rFonts w:ascii="Calibri" w:cs="Calibri" w:eastAsia="Calibri" w:hAnsi="Calibri"/>
                <w:b w:val="false"/>
                <w:bCs w:val="false"/>
                <w:sz w:val="19"/>
                <w:szCs w:val="19"/>
              </w:rPr>
              <w:t xml:space="preserve">Outcome recorded: SENT, or FAILED with a backoff retry, or DEAD_LETTER.</w:t>
            </w:r>
          </w:p>
        </w:tc>
      </w:tr>
    </w:tbl>
    <w:p>
      <w:pPr>
        <w:spacing w:after="120"/>
      </w:pPr>
    </w:p>
    <w:p>
      <w:pPr>
        <w:spacing w:after="120" w:line="276"/>
      </w:pPr>
      <w:r>
        <w:rPr>
          <w:rFonts w:ascii="Calibri" w:cs="Calibri" w:eastAsia="Calibri" w:hAnsi="Calibri"/>
          <w:b/>
          <w:bCs/>
          <w:sz w:val="21"/>
          <w:szCs w:val="21"/>
        </w:rPr>
        <w:t xml:space="preserve">The key property: </w:t>
      </w:r>
      <w:r>
        <w:rPr>
          <w:rFonts w:ascii="Calibri" w:cs="Calibri" w:eastAsia="Calibri" w:hAnsi="Calibri"/>
          <w:sz w:val="21"/>
          <w:szCs w:val="21"/>
        </w:rPr>
        <w:t xml:space="preserve">nothing is sent inside the HTTP request. The caller pays only for database writes and gets a fast, predictable response. Every interaction with a flaky provider belongs to the worker, which retries without the producer knowing or caring.</w:t>
      </w:r>
    </w:p>
    <w:p>
      <w:pPr>
        <w:pStyle w:val="Heading1"/>
        <w:spacing w:after="160" w:before="320"/>
      </w:pPr>
      <w:r>
        <w:rPr>
          <w:rFonts w:ascii="Calibri" w:cs="Calibri" w:eastAsia="Calibri" w:hAnsi="Calibri"/>
          <w:b/>
          <w:bCs/>
          <w:color w:val="5B21B6"/>
          <w:sz w:val="30"/>
          <w:szCs w:val="30"/>
        </w:rPr>
        <w:t xml:space="preserve">Key decisions</w:t>
      </w:r>
    </w:p>
    <w:p>
      <w:pPr>
        <w:pStyle w:val="Heading2"/>
        <w:spacing w:after="100" w:before="240"/>
      </w:pPr>
      <w:r>
        <w:rPr>
          <w:rFonts w:ascii="Calibri" w:cs="Calibri" w:eastAsia="Calibri" w:hAnsi="Calibri"/>
          <w:b/>
          <w:bCs/>
          <w:sz w:val="24"/>
          <w:szCs w:val="24"/>
        </w:rPr>
        <w:t xml:space="preserve">1. The event catalog is data, not code</w:t>
      </w:r>
    </w:p>
    <w:p>
      <w:pPr>
        <w:spacing w:after="120" w:line="276"/>
      </w:pPr>
      <w:r>
        <w:rPr>
          <w:rFonts w:ascii="Calibri" w:cs="Calibri" w:eastAsia="Calibri" w:hAnsi="Calibri"/>
          <w:sz w:val="21"/>
          <w:szCs w:val="21"/>
        </w:rPr>
        <w:t xml:space="preserve">A single registry on the server describes each event type: its fields, their types, and the operators each type allows. The API validates rules against it, and the client builds its condition editor from it — the field dropdown comes from the trigger, the operator list from the field type, and the input control from the operator. A number field offers "greater than" and "between" with a numeric input; an enum field offers "is any of" with a multi-select.</w:t>
      </w:r>
    </w:p>
    <w:p>
      <w:pPr>
        <w:spacing w:after="120" w:line="276"/>
      </w:pPr>
      <w:r>
        <w:rPr>
          <w:rFonts w:ascii="Calibri" w:cs="Calibri" w:eastAsia="Calibri" w:hAnsi="Calibri"/>
          <w:sz w:val="21"/>
          <w:szCs w:val="21"/>
        </w:rPr>
        <w:t xml:space="preserve">The consequence: </w:t>
      </w:r>
      <w:r>
        <w:rPr>
          <w:rFonts w:ascii="Calibri" w:cs="Calibri" w:eastAsia="Calibri" w:hAnsi="Calibri"/>
          <w:b/>
          <w:bCs/>
          <w:sz w:val="21"/>
          <w:szCs w:val="21"/>
        </w:rPr>
        <w:t xml:space="preserve">adding a new trigger is one catalog entry and zero frontend changes.</w:t>
      </w:r>
      <w:r>
        <w:rPr>
          <w:rFonts w:ascii="Calibri" w:cs="Calibri" w:eastAsia="Calibri" w:hAnsi="Calibri"/>
          <w:sz w:val="21"/>
          <w:szCs w:val="21"/>
        </w:rPr>
        <w:t xml:space="preserve"> This is the single design decision the UI is built around, and the component tests assert it.</w:t>
      </w:r>
    </w:p>
    <w:p>
      <w:pPr>
        <w:pStyle w:val="Heading2"/>
        <w:spacing w:after="100" w:before="240"/>
      </w:pPr>
      <w:r>
        <w:rPr>
          <w:rFonts w:ascii="Calibri" w:cs="Calibri" w:eastAsia="Calibri" w:hAnsi="Calibri"/>
          <w:b/>
          <w:bCs/>
          <w:sz w:val="24"/>
          <w:szCs w:val="24"/>
        </w:rPr>
        <w:t xml:space="preserve">2. One deliveries collection is the outbox, the history and the inbox</w:t>
      </w:r>
    </w:p>
    <w:p>
      <w:pPr>
        <w:spacing w:after="120" w:line="276"/>
      </w:pPr>
      <w:r>
        <w:rPr>
          <w:rFonts w:ascii="Calibri" w:cs="Calibri" w:eastAsia="Calibri" w:hAnsi="Calibri"/>
          <w:sz w:val="21"/>
          <w:szCs w:val="21"/>
        </w:rPr>
        <w:t xml:space="preserve">A delivery row already carries everything the history needs to display — notification, recipient, channel, status, timestamp. It is simultaneously the job the worker claims, the audit record the History screen lists, and the inbox item the in-app channel exposes. Splitting these into three collections would mean writing the same content two or three times and keeping their statuses in sync, which is a class of bug with no upside at this scale.</w:t>
      </w:r>
    </w:p>
    <w:p>
      <w:pPr>
        <w:spacing w:after="120" w:line="276"/>
      </w:pPr>
      <w:r>
        <w:rPr>
          <w:rFonts w:ascii="Calibri" w:cs="Calibri" w:eastAsia="Calibri" w:hAnsi="Calibri"/>
          <w:sz w:val="21"/>
          <w:szCs w:val="21"/>
        </w:rPr>
        <w:t xml:space="preserve">The cost is that the collection holds both hot (pending) and cold (historical) rows. Indexes keep the worker off the cold documents; at volume I would age completed rows into an archive collection.</w:t>
      </w:r>
    </w:p>
    <w:p>
      <w:pPr>
        <w:pStyle w:val="Heading2"/>
        <w:spacing w:after="100" w:before="240"/>
      </w:pPr>
      <w:r>
        <w:rPr>
          <w:rFonts w:ascii="Calibri" w:cs="Calibri" w:eastAsia="Calibri" w:hAnsi="Calibri"/>
          <w:b/>
          <w:bCs/>
          <w:sz w:val="24"/>
          <w:szCs w:val="24"/>
        </w:rPr>
        <w:t xml:space="preserve">3. Duplicate events are handled at two independent layers</w:t>
      </w:r>
    </w:p>
    <w:p>
      <w:pPr>
        <w:spacing w:after="120" w:line="276"/>
      </w:pPr>
      <w:r>
        <w:rPr>
          <w:rFonts w:ascii="Calibri" w:cs="Calibri" w:eastAsia="Calibri" w:hAnsi="Calibri"/>
          <w:b/>
          <w:bCs/>
          <w:sz w:val="21"/>
          <w:szCs w:val="21"/>
        </w:rPr>
        <w:t xml:space="preserve">Layer 1 — the same event arriving twice. </w:t>
      </w:r>
      <w:r>
        <w:rPr>
          <w:rFonts w:ascii="Calibri" w:cs="Calibri" w:eastAsia="Calibri" w:hAnsi="Calibri"/>
          <w:sz w:val="21"/>
          <w:szCs w:val="21"/>
        </w:rPr>
        <w:t xml:space="preserve">At-least-once producers redeliver. The unique index on eventId means the insert is the claim: we attempt it and treat a key collision as "already processed". This is not a read-then-write check — two copies arriving concurrently on two instances both attempt the insert, and exactly one wins. A findOne followed by a create would have a window between them where both pass. A test fires three concurrent copies and asserts exactly one delivery is created.</w:t>
      </w:r>
    </w:p>
    <w:p>
      <w:pPr>
        <w:spacing w:after="120" w:line="276"/>
      </w:pPr>
      <w:r>
        <w:rPr>
          <w:rFonts w:ascii="Calibri" w:cs="Calibri" w:eastAsia="Calibri" w:hAnsi="Calibri"/>
          <w:b/>
          <w:bCs/>
          <w:sz w:val="21"/>
          <w:szCs w:val="21"/>
        </w:rPr>
        <w:t xml:space="preserve">Layer 2 — a storm of different events. </w:t>
      </w:r>
      <w:r>
        <w:rPr>
          <w:rFonts w:ascii="Calibri" w:cs="Calibri" w:eastAsia="Calibri" w:hAnsi="Calibri"/>
          <w:sz w:val="21"/>
          <w:szCs w:val="21"/>
        </w:rPr>
        <w:t xml:space="preserve">Fifty failed payments in a minute are fifty legitimate events, but notifying fifty times is still wrong. Each rule has a dedupe window; when set, the deduplication key is built from a floored time bucket instead of the event id, so everything landing in the same window collapses into one notification per recipient. Again the unique index does the work, so there is no check-then-act race.</w:t>
      </w:r>
    </w:p>
    <w:p>
      <w:pPr>
        <w:pStyle w:val="Heading2"/>
        <w:spacing w:after="100" w:before="240"/>
      </w:pPr>
      <w:r>
        <w:rPr>
          <w:rFonts w:ascii="Calibri" w:cs="Calibri" w:eastAsia="Calibri" w:hAnsi="Calibri"/>
          <w:b/>
          <w:bCs/>
          <w:sz w:val="24"/>
          <w:szCs w:val="24"/>
        </w:rPr>
        <w:t xml:space="preserve">4. A MongoDB-backed outbox instead of a queue</w:t>
      </w:r>
    </w:p>
    <w:p>
      <w:pPr>
        <w:spacing w:after="120" w:line="276"/>
      </w:pPr>
      <w:r>
        <w:rPr>
          <w:rFonts w:ascii="Calibri" w:cs="Calibri" w:eastAsia="Calibri" w:hAnsi="Calibri"/>
          <w:sz w:val="21"/>
          <w:szCs w:val="21"/>
        </w:rPr>
        <w:t xml:space="preserve">BullMQ or SQS would be the obvious production answer. I used MongoDB deliberately: it needs no extra infrastructure for a reviewer to stand up, and the claim semantics are identical to a real queue — atomic status transition, visibility timeout, exponential backoff with jitter, dead-letter state. The design is the same one; only the mechanism is simpler.</w:t>
      </w:r>
    </w:p>
    <w:p>
      <w:pPr>
        <w:spacing w:after="120" w:line="276"/>
      </w:pPr>
      <w:r>
        <w:rPr>
          <w:rFonts w:ascii="Calibri" w:cs="Calibri" w:eastAsia="Calibri" w:hAnsi="Calibri"/>
          <w:sz w:val="21"/>
          <w:szCs w:val="21"/>
        </w:rPr>
        <w:t xml:space="preserve">The claim is a single findOneAndUpdate, which is atomic in MongoDB. Two workers racing for the same row cannot both win — the loser's filter no longer matches and it takes the next row. That is what makes the API safe to run as N replicas today with no coordination service, and it is covered by a test that races three concurrent claims.</w:t>
      </w:r>
    </w:p>
    <w:p>
      <w:pPr>
        <w:spacing w:after="120" w:line="276"/>
      </w:pPr>
      <w:r>
        <w:rPr>
          <w:rFonts w:ascii="Calibri" w:cs="Calibri" w:eastAsia="Calibri" w:hAnsi="Calibri"/>
          <w:sz w:val="21"/>
          <w:szCs w:val="21"/>
        </w:rPr>
        <w:t xml:space="preserve">The cost is honest: polling has a latency floor and will not hold up at very high throughput. Migration touches exactly one file — the adapters, the delivery model and the fan-out logic are all unaware of how work is scheduled.</w:t>
      </w:r>
    </w:p>
    <w:p>
      <w:pPr>
        <w:pStyle w:val="Heading2"/>
        <w:spacing w:after="100" w:before="240"/>
      </w:pPr>
      <w:r>
        <w:rPr>
          <w:rFonts w:ascii="Calibri" w:cs="Calibri" w:eastAsia="Calibri" w:hAnsi="Calibri"/>
          <w:b/>
          <w:bCs/>
          <w:sz w:val="24"/>
          <w:szCs w:val="24"/>
        </w:rPr>
        <w:t xml:space="preserve">5. Why MongoDB, and how it maps to PostgreSQL</w:t>
      </w:r>
    </w:p>
    <w:p>
      <w:pPr>
        <w:spacing w:after="120" w:line="276"/>
      </w:pPr>
      <w:r>
        <w:rPr>
          <w:rFonts w:ascii="Calibri" w:cs="Calibri" w:eastAsia="Calibri" w:hAnsi="Calibri"/>
          <w:sz w:val="21"/>
          <w:szCs w:val="21"/>
        </w:rPr>
        <w:t xml:space="preserve">The brief left the database open. Two of this system's guarantees map onto things MongoDB does well: a unique index gives idempotent ingestion without a transaction, and findOneAndUpdate gives an atomic claim without row locks. Event payloads are also genuinely schemaless — each event type carries a different shape, and the catalog rather than the database defines what a rule may reference.</w:t>
      </w:r>
    </w:p>
    <w:p>
      <w:pPr>
        <w:spacing w:after="120" w:line="276"/>
      </w:pPr>
      <w:r>
        <w:rPr>
          <w:rFonts w:ascii="Calibri" w:cs="Calibri" w:eastAsia="Calibri" w:hAnsi="Calibri"/>
          <w:sz w:val="21"/>
          <w:szCs w:val="21"/>
        </w:rPr>
        <w:t xml:space="preserve">The same design ports to PostgreSQL cleanly: eventId becomes a UNIQUE constraint, payloads become JSONB with a GIN index, and the claim becomes UPDATE ... WHERE id = (SELECT id ... FOR UPDATE SKIP LOCKED) — arguably a better fit once the outbox is large, since it avoids the scan the Mongo claim performs. The repository layer is the only part that would change.</w:t>
      </w:r>
    </w:p>
    <w:p>
      <w:pPr>
        <w:pStyle w:val="Heading2"/>
        <w:spacing w:after="100" w:before="240"/>
      </w:pPr>
      <w:r>
        <w:rPr>
          <w:rFonts w:ascii="Calibri" w:cs="Calibri" w:eastAsia="Calibri" w:hAnsi="Calibri"/>
          <w:b/>
          <w:bCs/>
          <w:sz w:val="24"/>
          <w:szCs w:val="24"/>
        </w:rPr>
        <w:t xml:space="preserve">6. Signals rather than NgRx on the frontend</w:t>
      </w:r>
    </w:p>
    <w:p>
      <w:pPr>
        <w:spacing w:after="120" w:line="276"/>
      </w:pPr>
      <w:r>
        <w:rPr>
          <w:rFonts w:ascii="Calibri" w:cs="Calibri" w:eastAsia="Calibri" w:hAnsi="Calibri"/>
          <w:sz w:val="21"/>
          <w:szCs w:val="21"/>
        </w:rPr>
        <w:t xml:space="preserve">The app has one piece of genuinely global state (the session) and a few per-feature stores. Signals give the same predictability with far less ceremony. NgRx would be justified by cross-feature state coordination or a larger team; neither applies here. The client is Angular 22 standalone components with zoneless change detection, OnPush throughout, lazy-loaded feature routes, and typed non-nullable reactive forms so getRawValue() produces something structurally assignable to the shared DTO.</w:t>
      </w:r>
    </w:p>
    <w:p>
      <w:pPr>
        <w:pStyle w:val="Heading2"/>
        <w:spacing w:after="100" w:before="240"/>
      </w:pPr>
      <w:r>
        <w:rPr>
          <w:rFonts w:ascii="Calibri" w:cs="Calibri" w:eastAsia="Calibri" w:hAnsi="Calibri"/>
          <w:b/>
          <w:bCs/>
          <w:sz w:val="24"/>
          <w:szCs w:val="24"/>
        </w:rPr>
        <w:t xml:space="preserve">7. Validation in three layers</w:t>
      </w:r>
    </w:p>
    <w:p>
      <w:pPr>
        <w:pStyle w:val="ListParagraph"/>
        <w:numPr>
          <w:ilvl w:val="0"/>
          <w:numId w:val="1"/>
        </w:numPr>
        <w:spacing w:after="80" w:line="276"/>
      </w:pPr>
      <w:r>
        <w:rPr>
          <w:rFonts w:ascii="Calibri" w:cs="Calibri" w:eastAsia="Calibri" w:hAnsi="Calibri"/>
          <w:sz w:val="21"/>
          <w:szCs w:val="21"/>
        </w:rPr>
        <w:t xml:space="preserve">Shape — Zod at the HTTP edge: types, ranges, and the arity rules that depend on the operator ("between" needs exactly two values, "exists" needs none).</w:t>
      </w:r>
    </w:p>
    <w:p>
      <w:pPr>
        <w:pStyle w:val="ListParagraph"/>
        <w:numPr>
          <w:ilvl w:val="0"/>
          <w:numId w:val="1"/>
        </w:numPr>
        <w:spacing w:after="80" w:line="276"/>
      </w:pPr>
      <w:r>
        <w:rPr>
          <w:rFonts w:ascii="Calibri" w:cs="Calibri" w:eastAsia="Calibri" w:hAnsi="Calibri"/>
          <w:sz w:val="21"/>
          <w:szCs w:val="21"/>
        </w:rPr>
        <w:t xml:space="preserve">Semantics — catalog-aware checks: does this trigger exist, is this field one of its fields, does this operator suit that field's type, and do all template tokens resolve? That last check catches a typo in a template at save time rather than producing a message with a blank in it three days later.</w:t>
      </w:r>
    </w:p>
    <w:p>
      <w:pPr>
        <w:pStyle w:val="ListParagraph"/>
        <w:numPr>
          <w:ilvl w:val="0"/>
          <w:numId w:val="1"/>
        </w:numPr>
        <w:spacing w:after="80" w:line="276"/>
      </w:pPr>
      <w:r>
        <w:rPr>
          <w:rFonts w:ascii="Calibri" w:cs="Calibri" w:eastAsia="Calibri" w:hAnsi="Calibri"/>
          <w:sz w:val="21"/>
          <w:szCs w:val="21"/>
        </w:rPr>
        <w:t xml:space="preserve">Storage — schema constraints and unique indexes as the final backstop.</w:t>
      </w:r>
    </w:p>
    <w:p>
      <w:pPr>
        <w:spacing w:after="120" w:line="276"/>
      </w:pPr>
      <w:r>
        <w:rPr>
          <w:rFonts w:ascii="Calibri" w:cs="Calibri" w:eastAsia="Calibri" w:hAnsi="Calibri"/>
          <w:sz w:val="21"/>
          <w:szCs w:val="21"/>
        </w:rPr>
        <w:t xml:space="preserve">Every failure returns the same envelope: a machine-readable code, a human message, a details array of field paths, and a requestId that ties the error a user saw to a server log line.</w:t>
      </w:r>
    </w:p>
    <w:p>
      <w:pPr>
        <w:pStyle w:val="Heading1"/>
        <w:spacing w:after="160" w:before="320"/>
      </w:pPr>
      <w:r>
        <w:rPr>
          <w:rFonts w:ascii="Calibri" w:cs="Calibri" w:eastAsia="Calibri" w:hAnsi="Calibri"/>
          <w:b/>
          <w:bCs/>
          <w:color w:val="5B21B6"/>
          <w:sz w:val="30"/>
          <w:szCs w:val="30"/>
        </w:rPr>
        <w:t xml:space="preserve">Tests</w:t>
      </w:r>
    </w:p>
    <w:p>
      <w:pPr>
        <w:spacing w:after="120" w:line="276"/>
      </w:pPr>
      <w:r>
        <w:rPr>
          <w:rFonts w:ascii="Calibri" w:cs="Calibri" w:eastAsia="Calibri" w:hAnsi="Calibri"/>
          <w:b/>
          <w:bCs/>
          <w:sz w:val="21"/>
          <w:szCs w:val="21"/>
        </w:rPr>
        <w:t xml:space="preserve">112 tests in total: 86 backend, 26 frontend. </w:t>
      </w:r>
      <w:r>
        <w:rPr>
          <w:rFonts w:ascii="Calibri" w:cs="Calibri" w:eastAsia="Calibri" w:hAnsi="Calibri"/>
          <w:sz w:val="21"/>
          <w:szCs w:val="21"/>
        </w:rPr>
        <w:t xml:space="preserve">The backend suite runs against a real MongoDB rather than an in-memory substitute, because the idempotency and deduplication guarantees are enforced by unique indexes and by the atomicity of findOneAndUpdate. A fake would let those tests pass without proving anything.</w:t>
      </w:r>
    </w:p>
    <w:p>
      <w:pPr>
        <w:spacing w:after="120"/>
      </w:pPr>
    </w:p>
    <w:tbl>
      <w:tblPr>
        <w:tblW w:type="pct" w:w="100%"/>
        <w:tblBorders>
          <w:top w:val="single" w:color="D1D5DB" w:sz="4"/>
          <w:left w:val="single" w:color="D1D5DB" w:sz="4"/>
          <w:bottom w:val="single" w:color="D1D5DB" w:sz="4"/>
          <w:right w:val="single" w:color="D1D5DB" w:sz="4"/>
          <w:insideH w:val="single" w:color="E5E7EB" w:sz="4"/>
          <w:insideV w:val="single" w:color="E5E7EB" w:sz="4"/>
        </w:tblBorders>
      </w:tblPr>
      <w:tblGrid>
        <w:gridCol w:w="100"/>
        <w:gridCol w:w="100"/>
      </w:tblGrid>
      <w:tr>
        <w:trPr>
          <w:tblHeader/>
        </w:trPr>
        <w:tc>
          <w:tcPr>
            <w:tcW w:type="pct" w:w="22%"/>
            <w:shd w:fill="EDE9FE"/>
            <w:tcMar>
              <w:top w:type="dxa" w:w="60"/>
              <w:left w:type="dxa" w:w="100"/>
              <w:bottom w:type="dxa" w:w="60"/>
              <w:right w:type="dxa" w:w="100"/>
            </w:tcMar>
          </w:tcPr>
          <w:p>
            <w:r>
              <w:rPr>
                <w:rFonts w:ascii="Calibri" w:cs="Calibri" w:eastAsia="Calibri" w:hAnsi="Calibri"/>
                <w:b/>
                <w:bCs/>
                <w:sz w:val="19"/>
                <w:szCs w:val="19"/>
              </w:rPr>
              <w:t xml:space="preserve">Area</w:t>
            </w:r>
          </w:p>
        </w:tc>
        <w:tc>
          <w:tcPr>
            <w:tcW w:type="pct" w:w="78%"/>
            <w:shd w:fill="EDE9FE"/>
            <w:tcMar>
              <w:top w:type="dxa" w:w="60"/>
              <w:left w:type="dxa" w:w="100"/>
              <w:bottom w:type="dxa" w:w="60"/>
              <w:right w:type="dxa" w:w="100"/>
            </w:tcMar>
          </w:tcPr>
          <w:p>
            <w:r>
              <w:rPr>
                <w:rFonts w:ascii="Calibri" w:cs="Calibri" w:eastAsia="Calibri" w:hAnsi="Calibri"/>
                <w:b/>
                <w:bCs/>
                <w:sz w:val="19"/>
                <w:szCs w:val="19"/>
              </w:rPr>
              <w:t xml:space="preserve">What is actually asserted</w:t>
            </w:r>
          </w:p>
        </w:tc>
      </w:tr>
      <w:tr>
        <w:trPr>
          <w:tblHeader w:val="false"/>
        </w:trPr>
        <w:tc>
          <w:tcPr>
            <w:tcW w:type="pct" w:w="22%"/>
            <w:tcMar>
              <w:top w:type="dxa" w:w="60"/>
              <w:left w:type="dxa" w:w="100"/>
              <w:bottom w:type="dxa" w:w="60"/>
              <w:right w:type="dxa" w:w="100"/>
            </w:tcMar>
          </w:tcPr>
          <w:p>
            <w:r>
              <w:rPr>
                <w:rFonts w:ascii="Calibri" w:cs="Calibri" w:eastAsia="Calibri" w:hAnsi="Calibri"/>
                <w:b w:val="false"/>
                <w:bCs w:val="false"/>
                <w:sz w:val="19"/>
                <w:szCs w:val="19"/>
              </w:rPr>
              <w:t xml:space="preserve">Condition engine</w:t>
            </w:r>
          </w:p>
        </w:tc>
        <w:tc>
          <w:tcPr>
            <w:tcW w:type="pct" w:w="78%"/>
            <w:tcMar>
              <w:top w:type="dxa" w:w="60"/>
              <w:left w:type="dxa" w:w="100"/>
              <w:bottom w:type="dxa" w:w="60"/>
              <w:right w:type="dxa" w:w="100"/>
            </w:tcMar>
          </w:tcPr>
          <w:p>
            <w:r>
              <w:rPr>
                <w:rFonts w:ascii="Calibri" w:cs="Calibri" w:eastAsia="Calibri" w:hAnsi="Calibri"/>
                <w:b w:val="false"/>
                <w:bCs w:val="false"/>
                <w:sz w:val="19"/>
                <w:szCs w:val="19"/>
              </w:rPr>
              <w:t xml:space="preserve">Operator matrix across number, string, boolean, date and array; AND vs OR; "15000" &gt; 10000 coercion; inclusive between with reversed bounds; unknown field paths never throw; prototype-pollution paths refused.</w:t>
            </w:r>
          </w:p>
        </w:tc>
      </w:tr>
      <w:tr>
        <w:trPr>
          <w:tblHeader w:val="false"/>
        </w:trPr>
        <w:tc>
          <w:tcPr>
            <w:tcW w:type="pct" w:w="22%"/>
            <w:tcMar>
              <w:top w:type="dxa" w:w="60"/>
              <w:left w:type="dxa" w:w="100"/>
              <w:bottom w:type="dxa" w:w="60"/>
              <w:right w:type="dxa" w:w="100"/>
            </w:tcMar>
          </w:tcPr>
          <w:p>
            <w:r>
              <w:rPr>
                <w:rFonts w:ascii="Calibri" w:cs="Calibri" w:eastAsia="Calibri" w:hAnsi="Calibri"/>
                <w:b w:val="false"/>
                <w:bCs w:val="false"/>
                <w:sz w:val="19"/>
                <w:szCs w:val="19"/>
              </w:rPr>
              <w:t xml:space="preserve">Template renderer</w:t>
            </w:r>
          </w:p>
        </w:tc>
        <w:tc>
          <w:tcPr>
            <w:tcW w:type="pct" w:w="78%"/>
            <w:tcMar>
              <w:top w:type="dxa" w:w="60"/>
              <w:left w:type="dxa" w:w="100"/>
              <w:bottom w:type="dxa" w:w="60"/>
              <w:right w:type="dxa" w:w="100"/>
            </w:tcMar>
          </w:tcPr>
          <w:p>
            <w:r>
              <w:rPr>
                <w:rFonts w:ascii="Calibri" w:cs="Calibri" w:eastAsia="Calibri" w:hAnsi="Calibri"/>
                <w:b w:val="false"/>
                <w:bCs w:val="false"/>
                <w:sz w:val="19"/>
                <w:szCs w:val="19"/>
              </w:rPr>
              <w:t xml:space="preserve">Currency formatting produces $15,000.00; missing tokens reported rather than leaked into the message; embedded expressions never evaluated.</w:t>
            </w:r>
          </w:p>
        </w:tc>
      </w:tr>
      <w:tr>
        <w:trPr>
          <w:tblHeader w:val="false"/>
        </w:trPr>
        <w:tc>
          <w:tcPr>
            <w:tcW w:type="pct" w:w="22%"/>
            <w:tcMar>
              <w:top w:type="dxa" w:w="60"/>
              <w:left w:type="dxa" w:w="100"/>
              <w:bottom w:type="dxa" w:w="60"/>
              <w:right w:type="dxa" w:w="100"/>
            </w:tcMar>
          </w:tcPr>
          <w:p>
            <w:r>
              <w:rPr>
                <w:rFonts w:ascii="Calibri" w:cs="Calibri" w:eastAsia="Calibri" w:hAnsi="Calibri"/>
                <w:b w:val="false"/>
                <w:bCs w:val="false"/>
                <w:sz w:val="19"/>
                <w:szCs w:val="19"/>
              </w:rPr>
              <w:t xml:space="preserve">Deduplication &amp; backoff</w:t>
            </w:r>
          </w:p>
        </w:tc>
        <w:tc>
          <w:tcPr>
            <w:tcW w:type="pct" w:w="78%"/>
            <w:tcMar>
              <w:top w:type="dxa" w:w="60"/>
              <w:left w:type="dxa" w:w="100"/>
              <w:bottom w:type="dxa" w:w="60"/>
              <w:right w:type="dxa" w:w="100"/>
            </w:tcMar>
          </w:tcPr>
          <w:p>
            <w:r>
              <w:rPr>
                <w:rFonts w:ascii="Calibri" w:cs="Calibri" w:eastAsia="Calibri" w:hAnsi="Calibri"/>
                <w:b w:val="false"/>
                <w:bCs w:val="false"/>
                <w:sz w:val="19"/>
                <w:szCs w:val="19"/>
              </w:rPr>
              <w:t xml:space="preserve">Key stability, case-insensitive recipients, distinct events collapsing inside a window; exponential growth, ceiling, floor, and jitter spread.</w:t>
            </w:r>
          </w:p>
        </w:tc>
      </w:tr>
      <w:tr>
        <w:trPr>
          <w:tblHeader w:val="false"/>
        </w:trPr>
        <w:tc>
          <w:tcPr>
            <w:tcW w:type="pct" w:w="22%"/>
            <w:tcMar>
              <w:top w:type="dxa" w:w="60"/>
              <w:left w:type="dxa" w:w="100"/>
              <w:bottom w:type="dxa" w:w="60"/>
              <w:right w:type="dxa" w:w="100"/>
            </w:tcMar>
          </w:tcPr>
          <w:p>
            <w:r>
              <w:rPr>
                <w:rFonts w:ascii="Calibri" w:cs="Calibri" w:eastAsia="Calibri" w:hAnsi="Calibri"/>
                <w:b w:val="false"/>
                <w:bCs w:val="false"/>
                <w:sz w:val="19"/>
                <w:szCs w:val="19"/>
              </w:rPr>
              <w:t xml:space="preserve">Validation</w:t>
            </w:r>
          </w:p>
        </w:tc>
        <w:tc>
          <w:tcPr>
            <w:tcW w:type="pct" w:w="78%"/>
            <w:tcMar>
              <w:top w:type="dxa" w:w="60"/>
              <w:left w:type="dxa" w:w="100"/>
              <w:bottom w:type="dxa" w:w="60"/>
              <w:right w:type="dxa" w:w="100"/>
            </w:tcMar>
          </w:tcPr>
          <w:p>
            <w:r>
              <w:rPr>
                <w:rFonts w:ascii="Calibri" w:cs="Calibri" w:eastAsia="Calibri" w:hAnsi="Calibri"/>
                <w:b w:val="false"/>
                <w:bCs w:val="false"/>
                <w:sz w:val="19"/>
                <w:szCs w:val="19"/>
              </w:rPr>
              <w:t xml:space="preserve">Every bad field reported at once with its path; unknown trigger; operator/field-type mismatch; template token that no field backs.</w:t>
            </w:r>
          </w:p>
        </w:tc>
      </w:tr>
      <w:tr>
        <w:trPr>
          <w:tblHeader w:val="false"/>
        </w:trPr>
        <w:tc>
          <w:tcPr>
            <w:tcW w:type="pct" w:w="22%"/>
            <w:tcMar>
              <w:top w:type="dxa" w:w="60"/>
              <w:left w:type="dxa" w:w="100"/>
              <w:bottom w:type="dxa" w:w="60"/>
              <w:right w:type="dxa" w:w="100"/>
            </w:tcMar>
          </w:tcPr>
          <w:p>
            <w:r>
              <w:rPr>
                <w:rFonts w:ascii="Calibri" w:cs="Calibri" w:eastAsia="Calibri" w:hAnsi="Calibri"/>
                <w:b w:val="false"/>
                <w:bCs w:val="false"/>
                <w:sz w:val="19"/>
                <w:szCs w:val="19"/>
              </w:rPr>
              <w:t xml:space="preserve">Auth</w:t>
            </w:r>
          </w:p>
        </w:tc>
        <w:tc>
          <w:tcPr>
            <w:tcW w:type="pct" w:w="78%"/>
            <w:tcMar>
              <w:top w:type="dxa" w:w="60"/>
              <w:left w:type="dxa" w:w="100"/>
              <w:bottom w:type="dxa" w:w="60"/>
              <w:right w:type="dxa" w:w="100"/>
            </w:tcMar>
          </w:tcPr>
          <w:p>
            <w:r>
              <w:rPr>
                <w:rFonts w:ascii="Calibri" w:cs="Calibri" w:eastAsia="Calibri" w:hAnsi="Calibri"/>
                <w:b w:val="false"/>
                <w:bCs w:val="false"/>
                <w:sz w:val="19"/>
                <w:szCs w:val="19"/>
              </w:rPr>
              <w:t xml:space="preserve">Expired and malformed tokens; identical response for a wrong password and an unknown account; another user's rule returns 404 rather than 403.</w:t>
            </w:r>
          </w:p>
        </w:tc>
      </w:tr>
      <w:tr>
        <w:trPr>
          <w:tblHeader w:val="false"/>
        </w:trPr>
        <w:tc>
          <w:tcPr>
            <w:tcW w:type="pct" w:w="22%"/>
            <w:tcMar>
              <w:top w:type="dxa" w:w="60"/>
              <w:left w:type="dxa" w:w="100"/>
              <w:bottom w:type="dxa" w:w="60"/>
              <w:right w:type="dxa" w:w="100"/>
            </w:tcMar>
          </w:tcPr>
          <w:p>
            <w:r>
              <w:rPr>
                <w:rFonts w:ascii="Calibri" w:cs="Calibri" w:eastAsia="Calibri" w:hAnsi="Calibri"/>
                <w:b w:val="false"/>
                <w:bCs w:val="false"/>
                <w:sz w:val="19"/>
                <w:szCs w:val="19"/>
              </w:rPr>
              <w:t xml:space="preserve">Ingestion</w:t>
            </w:r>
          </w:p>
        </w:tc>
        <w:tc>
          <w:tcPr>
            <w:tcW w:type="pct" w:w="78%"/>
            <w:tcMar>
              <w:top w:type="dxa" w:w="60"/>
              <w:left w:type="dxa" w:w="100"/>
              <w:bottom w:type="dxa" w:w="60"/>
              <w:right w:type="dxa" w:w="100"/>
            </w:tcMar>
          </w:tcPr>
          <w:p>
            <w:r>
              <w:rPr>
                <w:rFonts w:ascii="Calibri" w:cs="Calibri" w:eastAsia="Calibri" w:hAnsi="Calibri"/>
                <w:b w:val="false"/>
                <w:bCs w:val="false"/>
                <w:sz w:val="19"/>
                <w:szCs w:val="19"/>
              </w:rPr>
              <w:t xml:space="preserve">The brief's example end to end; disabled rules skipped; fan-out arithmetic; duplicate eventId; three concurrent copies of one event producing exactly one delivery; Idempotency-Key header.</w:t>
            </w:r>
          </w:p>
        </w:tc>
      </w:tr>
      <w:tr>
        <w:trPr>
          <w:tblHeader w:val="false"/>
        </w:trPr>
        <w:tc>
          <w:tcPr>
            <w:tcW w:type="pct" w:w="22%"/>
            <w:tcMar>
              <w:top w:type="dxa" w:w="60"/>
              <w:left w:type="dxa" w:w="100"/>
              <w:bottom w:type="dxa" w:w="60"/>
              <w:right w:type="dxa" w:w="100"/>
            </w:tcMar>
          </w:tcPr>
          <w:p>
            <w:r>
              <w:rPr>
                <w:rFonts w:ascii="Calibri" w:cs="Calibri" w:eastAsia="Calibri" w:hAnsi="Calibri"/>
                <w:b w:val="false"/>
                <w:bCs w:val="false"/>
                <w:sz w:val="19"/>
                <w:szCs w:val="19"/>
              </w:rPr>
              <w:t xml:space="preserve">Worker</w:t>
            </w:r>
          </w:p>
        </w:tc>
        <w:tc>
          <w:tcPr>
            <w:tcW w:type="pct" w:w="78%"/>
            <w:tcMar>
              <w:top w:type="dxa" w:w="60"/>
              <w:left w:type="dxa" w:w="100"/>
              <w:bottom w:type="dxa" w:w="60"/>
              <w:right w:type="dxa" w:w="100"/>
            </w:tcMar>
          </w:tcPr>
          <w:p>
            <w:r>
              <w:rPr>
                <w:rFonts w:ascii="Calibri" w:cs="Calibri" w:eastAsia="Calibri" w:hAnsi="Calibri"/>
                <w:b w:val="false"/>
                <w:bCs w:val="false"/>
                <w:sz w:val="19"/>
                <w:szCs w:val="19"/>
              </w:rPr>
              <w:t xml:space="preserve">Send and record provider id; retry-then-succeed with attempt counting; exhausted budget to dead letter; permanent failure dead-letters immediately without burning retries; three workers never claim the same row; stale lock reclaimed after a simulated crash.</w:t>
            </w:r>
          </w:p>
        </w:tc>
      </w:tr>
      <w:tr>
        <w:trPr>
          <w:tblHeader w:val="false"/>
        </w:trPr>
        <w:tc>
          <w:tcPr>
            <w:tcW w:type="pct" w:w="22%"/>
            <w:tcMar>
              <w:top w:type="dxa" w:w="60"/>
              <w:left w:type="dxa" w:w="100"/>
              <w:bottom w:type="dxa" w:w="60"/>
              <w:right w:type="dxa" w:w="100"/>
            </w:tcMar>
          </w:tcPr>
          <w:p>
            <w:r>
              <w:rPr>
                <w:rFonts w:ascii="Calibri" w:cs="Calibri" w:eastAsia="Calibri" w:hAnsi="Calibri"/>
                <w:b w:val="false"/>
                <w:bCs w:val="false"/>
                <w:sz w:val="19"/>
                <w:szCs w:val="19"/>
              </w:rPr>
              <w:t xml:space="preserve">History &amp; dry run</w:t>
            </w:r>
          </w:p>
        </w:tc>
        <w:tc>
          <w:tcPr>
            <w:tcW w:type="pct" w:w="78%"/>
            <w:tcMar>
              <w:top w:type="dxa" w:w="60"/>
              <w:left w:type="dxa" w:w="100"/>
              <w:bottom w:type="dxa" w:w="60"/>
              <w:right w:type="dxa" w:w="100"/>
            </w:tcMar>
          </w:tcPr>
          <w:p>
            <w:r>
              <w:rPr>
                <w:rFonts w:ascii="Calibri" w:cs="Calibri" w:eastAsia="Calibri" w:hAnsi="Calibri"/>
                <w:b w:val="false"/>
                <w:bCs w:val="false"/>
                <w:sz w:val="19"/>
                <w:szCs w:val="19"/>
              </w:rPr>
              <w:t xml:space="preserve">The four fields the brief asks for; filters; inbox unread counts; retry rejected on an already-sent notification; the dry run never previews a delivery the real fan-out would skip.</w:t>
            </w:r>
          </w:p>
        </w:tc>
      </w:tr>
      <w:tr>
        <w:trPr>
          <w:tblHeader w:val="false"/>
        </w:trPr>
        <w:tc>
          <w:tcPr>
            <w:tcW w:type="pct" w:w="22%"/>
            <w:tcMar>
              <w:top w:type="dxa" w:w="60"/>
              <w:left w:type="dxa" w:w="100"/>
              <w:bottom w:type="dxa" w:w="60"/>
              <w:right w:type="dxa" w:w="100"/>
            </w:tcMar>
          </w:tcPr>
          <w:p>
            <w:r>
              <w:rPr>
                <w:rFonts w:ascii="Calibri" w:cs="Calibri" w:eastAsia="Calibri" w:hAnsi="Calibri"/>
                <w:b w:val="false"/>
                <w:bCs w:val="false"/>
                <w:sz w:val="19"/>
                <w:szCs w:val="19"/>
              </w:rPr>
              <w:t xml:space="preserve">Frontend</w:t>
            </w:r>
          </w:p>
        </w:tc>
        <w:tc>
          <w:tcPr>
            <w:tcW w:type="pct" w:w="78%"/>
            <w:tcMar>
              <w:top w:type="dxa" w:w="60"/>
              <w:left w:type="dxa" w:w="100"/>
              <w:bottom w:type="dxa" w:w="60"/>
              <w:right w:type="dxa" w:w="100"/>
            </w:tcMar>
          </w:tcPr>
          <w:p>
            <w:r>
              <w:rPr>
                <w:rFonts w:ascii="Calibri" w:cs="Calibri" w:eastAsia="Calibri" w:hAnsi="Calibri"/>
                <w:b w:val="false"/>
                <w:bCs w:val="false"/>
                <w:sz w:val="19"/>
                <w:szCs w:val="19"/>
              </w:rPr>
              <w:t xml:space="preserve">Condition builder derives operators and input controls from field type and repairs an invalid operator when the field changes; HTTP interceptors attach the token, surface API error messages and tear down an expired session; route guards.</w:t>
            </w:r>
          </w:p>
        </w:tc>
      </w:tr>
    </w:tbl>
    <w:p>
      <w:pPr>
        <w:spacing w:after="120"/>
      </w:pPr>
    </w:p>
    <w:p>
      <w:pPr>
        <w:spacing w:after="120" w:line="276"/>
      </w:pPr>
      <w:r>
        <w:rPr>
          <w:rFonts w:ascii="Calibri" w:cs="Calibri" w:eastAsia="Calibri" w:hAnsi="Calibri"/>
          <w:sz w:val="21"/>
          <w:szCs w:val="21"/>
        </w:rPr>
        <w:t xml:space="preserve">Lint, typecheck, build and both test suites are green. Everything runs from npm test at the repo root.</w:t>
      </w:r>
    </w:p>
    <w:p>
      <w:pPr>
        <w:pStyle w:val="Heading1"/>
        <w:spacing w:after="160" w:before="320"/>
      </w:pPr>
      <w:r>
        <w:rPr>
          <w:rFonts w:ascii="Calibri" w:cs="Calibri" w:eastAsia="Calibri" w:hAnsi="Calibri"/>
          <w:b/>
          <w:bCs/>
          <w:color w:val="5B21B6"/>
          <w:sz w:val="30"/>
          <w:szCs w:val="30"/>
        </w:rPr>
        <w:t xml:space="preserve">What I would improve before production</w:t>
      </w:r>
    </w:p>
    <w:p>
      <w:pPr>
        <w:pStyle w:val="Heading2"/>
        <w:spacing w:after="100" w:before="240"/>
      </w:pPr>
      <w:r>
        <w:rPr>
          <w:rFonts w:ascii="Calibri" w:cs="Calibri" w:eastAsia="Calibri" w:hAnsi="Calibri"/>
          <w:b/>
          <w:bCs/>
          <w:sz w:val="24"/>
          <w:szCs w:val="24"/>
        </w:rPr>
        <w:t xml:space="preserve">Delivery infrastructure</w:t>
      </w:r>
    </w:p>
    <w:p>
      <w:pPr>
        <w:pStyle w:val="ListParagraph"/>
        <w:numPr>
          <w:ilvl w:val="0"/>
          <w:numId w:val="1"/>
        </w:numPr>
        <w:spacing w:after="80" w:line="276"/>
      </w:pPr>
      <w:r>
        <w:rPr>
          <w:rFonts w:ascii="Calibri" w:cs="Calibri" w:eastAsia="Calibri" w:hAnsi="Calibri"/>
          <w:sz w:val="21"/>
          <w:szCs w:val="21"/>
        </w:rPr>
        <w:t xml:space="preserve">Replace the polling loop with BullMQ/Redis or Kafka and run the worker as its own autoscaled service. The adapter and outbox contracts already allow this; one file changes.</w:t>
      </w:r>
    </w:p>
    <w:p>
      <w:pPr>
        <w:pStyle w:val="ListParagraph"/>
        <w:numPr>
          <w:ilvl w:val="0"/>
          <w:numId w:val="1"/>
        </w:numPr>
        <w:spacing w:after="80" w:line="276"/>
      </w:pPr>
      <w:r>
        <w:rPr>
          <w:rFonts w:ascii="Calibri" w:cs="Calibri" w:eastAsia="Calibri" w:hAnsi="Calibri"/>
          <w:sz w:val="21"/>
          <w:szCs w:val="21"/>
        </w:rPr>
        <w:t xml:space="preserve">A circuit breaker per provider, so one degraded vendor cannot consume the whole worker pool.</w:t>
      </w:r>
    </w:p>
    <w:p>
      <w:pPr>
        <w:pStyle w:val="Heading2"/>
        <w:spacing w:after="100" w:before="240"/>
      </w:pPr>
      <w:r>
        <w:rPr>
          <w:rFonts w:ascii="Calibri" w:cs="Calibri" w:eastAsia="Calibri" w:hAnsi="Calibri"/>
          <w:b/>
          <w:bCs/>
          <w:sz w:val="24"/>
          <w:szCs w:val="24"/>
        </w:rPr>
        <w:t xml:space="preserve">Real channels</w:t>
      </w:r>
    </w:p>
    <w:p>
      <w:pPr>
        <w:pStyle w:val="ListParagraph"/>
        <w:numPr>
          <w:ilvl w:val="0"/>
          <w:numId w:val="1"/>
        </w:numPr>
        <w:spacing w:after="80" w:line="276"/>
      </w:pPr>
      <w:r>
        <w:rPr>
          <w:rFonts w:ascii="Calibri" w:cs="Calibri" w:eastAsia="Calibri" w:hAnsi="Calibri"/>
          <w:sz w:val="21"/>
          <w:szCs w:val="21"/>
        </w:rPr>
        <w:t xml:space="preserve">Swap the mock for SES or SendGrid, and add SMS, Slack and web push behind the same adapter interface.</w:t>
      </w:r>
    </w:p>
    <w:p>
      <w:pPr>
        <w:pStyle w:val="ListParagraph"/>
        <w:numPr>
          <w:ilvl w:val="0"/>
          <w:numId w:val="1"/>
        </w:numPr>
        <w:spacing w:after="80" w:line="276"/>
      </w:pPr>
      <w:r>
        <w:rPr>
          <w:rFonts w:ascii="Calibri" w:cs="Calibri" w:eastAsia="Calibri" w:hAnsi="Calibri"/>
          <w:sz w:val="21"/>
          <w:szCs w:val="21"/>
        </w:rPr>
        <w:t xml:space="preserve">Move provider credentials into a secrets manager rather than environment variables.</w:t>
      </w:r>
    </w:p>
    <w:p>
      <w:pPr>
        <w:pStyle w:val="Heading2"/>
        <w:spacing w:after="100" w:before="240"/>
      </w:pPr>
      <w:r>
        <w:rPr>
          <w:rFonts w:ascii="Calibri" w:cs="Calibri" w:eastAsia="Calibri" w:hAnsi="Calibri"/>
          <w:b/>
          <w:bCs/>
          <w:sz w:val="24"/>
          <w:szCs w:val="24"/>
        </w:rPr>
        <w:t xml:space="preserve">Rule lifecycle and recipient controls</w:t>
      </w:r>
    </w:p>
    <w:p>
      <w:pPr>
        <w:pStyle w:val="ListParagraph"/>
        <w:numPr>
          <w:ilvl w:val="0"/>
          <w:numId w:val="1"/>
        </w:numPr>
        <w:spacing w:after="80" w:line="276"/>
      </w:pPr>
      <w:r>
        <w:rPr>
          <w:rFonts w:ascii="Calibri" w:cs="Calibri" w:eastAsia="Calibri" w:hAnsi="Calibri"/>
          <w:sz w:val="21"/>
          <w:szCs w:val="21"/>
        </w:rPr>
        <w:t xml:space="preserve">Rule versioning and an audit trail — who changed what and when — plus the ability to see which rule version produced a historical notification. Today a delivery records the rule name but not its version.</w:t>
      </w:r>
    </w:p>
    <w:p>
      <w:pPr>
        <w:pStyle w:val="ListParagraph"/>
        <w:numPr>
          <w:ilvl w:val="0"/>
          <w:numId w:val="1"/>
        </w:numPr>
        <w:spacing w:after="80" w:line="276"/>
      </w:pPr>
      <w:r>
        <w:rPr>
          <w:rFonts w:ascii="Calibri" w:cs="Calibri" w:eastAsia="Calibri" w:hAnsi="Calibri"/>
          <w:sz w:val="21"/>
          <w:szCs w:val="21"/>
        </w:rPr>
        <w:t xml:space="preserve">Quiet hours, digest batching, per-recipient rate limits and unsubscribe handling: the things that stop a correct system from becoming a spam source.</w:t>
      </w:r>
    </w:p>
    <w:p>
      <w:pPr>
        <w:pStyle w:val="Heading2"/>
        <w:spacing w:after="100" w:before="240"/>
      </w:pPr>
      <w:r>
        <w:rPr>
          <w:rFonts w:ascii="Calibri" w:cs="Calibri" w:eastAsia="Calibri" w:hAnsi="Calibri"/>
          <w:b/>
          <w:bCs/>
          <w:sz w:val="24"/>
          <w:szCs w:val="24"/>
        </w:rPr>
        <w:t xml:space="preserve">Observability</w:t>
      </w:r>
    </w:p>
    <w:p>
      <w:pPr>
        <w:pStyle w:val="ListParagraph"/>
        <w:numPr>
          <w:ilvl w:val="0"/>
          <w:numId w:val="1"/>
        </w:numPr>
        <w:spacing w:after="80" w:line="276"/>
      </w:pPr>
      <w:r>
        <w:rPr>
          <w:rFonts w:ascii="Calibri" w:cs="Calibri" w:eastAsia="Calibri" w:hAnsi="Calibri"/>
          <w:sz w:val="21"/>
          <w:szCs w:val="21"/>
        </w:rPr>
        <w:t xml:space="preserve">OpenTelemetry traces spanning ingest to queue to delivery. requestId already threads through the logs; this extends it across process boundaries.</w:t>
      </w:r>
    </w:p>
    <w:p>
      <w:pPr>
        <w:pStyle w:val="ListParagraph"/>
        <w:numPr>
          <w:ilvl w:val="0"/>
          <w:numId w:val="1"/>
        </w:numPr>
        <w:spacing w:after="80" w:line="276"/>
      </w:pPr>
      <w:r>
        <w:rPr>
          <w:rFonts w:ascii="Calibri" w:cs="Calibri" w:eastAsia="Calibri" w:hAnsi="Calibri"/>
          <w:sz w:val="21"/>
          <w:szCs w:val="21"/>
        </w:rPr>
        <w:t xml:space="preserve">Prometheus metrics, with alerting on dead-letter depth and queue age — the two numbers that tell you the system is silently failing.</w:t>
      </w:r>
    </w:p>
    <w:p>
      <w:pPr>
        <w:pStyle w:val="Heading2"/>
        <w:spacing w:after="100" w:before="240"/>
      </w:pPr>
      <w:r>
        <w:rPr>
          <w:rFonts w:ascii="Calibri" w:cs="Calibri" w:eastAsia="Calibri" w:hAnsi="Calibri"/>
          <w:b/>
          <w:bCs/>
          <w:sz w:val="24"/>
          <w:szCs w:val="24"/>
        </w:rPr>
        <w:t xml:space="preserve">Data lifecycle and security</w:t>
      </w:r>
    </w:p>
    <w:p>
      <w:pPr>
        <w:pStyle w:val="ListParagraph"/>
        <w:numPr>
          <w:ilvl w:val="0"/>
          <w:numId w:val="1"/>
        </w:numPr>
        <w:spacing w:after="80" w:line="276"/>
      </w:pPr>
      <w:r>
        <w:rPr>
          <w:rFonts w:ascii="Calibri" w:cs="Calibri" w:eastAsia="Calibri" w:hAnsi="Calibri"/>
          <w:sz w:val="21"/>
          <w:szCs w:val="21"/>
        </w:rPr>
        <w:t xml:space="preserve">TTL or archival on events and deliveries, cold storage for old history, and sharding by tenant once volume justifies it.</w:t>
      </w:r>
    </w:p>
    <w:p>
      <w:pPr>
        <w:pStyle w:val="ListParagraph"/>
        <w:numPr>
          <w:ilvl w:val="0"/>
          <w:numId w:val="1"/>
        </w:numPr>
        <w:spacing w:after="80" w:line="276"/>
      </w:pPr>
      <w:r>
        <w:rPr>
          <w:rFonts w:ascii="Calibri" w:cs="Calibri" w:eastAsia="Calibri" w:hAnsi="Calibri"/>
          <w:sz w:val="21"/>
          <w:szCs w:val="21"/>
        </w:rPr>
        <w:t xml:space="preserve">Refresh tokens with rotation, full RBAC rather than the two roles here, and per-tenant API keys plus signed-webhook ingestion for the events endpoint.</w:t>
      </w:r>
    </w:p>
    <w:p>
      <w:pPr>
        <w:pStyle w:val="Heading2"/>
        <w:spacing w:after="100" w:before="240"/>
      </w:pPr>
      <w:r>
        <w:rPr>
          <w:rFonts w:ascii="Calibri" w:cs="Calibri" w:eastAsia="Calibri" w:hAnsi="Calibri"/>
          <w:b/>
          <w:bCs/>
          <w:sz w:val="24"/>
          <w:szCs w:val="24"/>
        </w:rPr>
        <w:t xml:space="preserve">Testing and frontend</w:t>
      </w:r>
    </w:p>
    <w:p>
      <w:pPr>
        <w:pStyle w:val="ListParagraph"/>
        <w:numPr>
          <w:ilvl w:val="0"/>
          <w:numId w:val="1"/>
        </w:numPr>
        <w:spacing w:after="80" w:line="276"/>
      </w:pPr>
      <w:r>
        <w:rPr>
          <w:rFonts w:ascii="Calibri" w:cs="Calibri" w:eastAsia="Calibri" w:hAnsi="Calibri"/>
          <w:sz w:val="21"/>
          <w:szCs w:val="21"/>
        </w:rPr>
        <w:t xml:space="preserve">Playwright end-to-end coverage of the rule-authoring flow, contract tests between the shared schemas and the API, and a k6 load profile to find the real throughput ceiling of the claim query.</w:t>
      </w:r>
    </w:p>
    <w:p>
      <w:pPr>
        <w:pStyle w:val="ListParagraph"/>
        <w:numPr>
          <w:ilvl w:val="0"/>
          <w:numId w:val="1"/>
        </w:numPr>
        <w:spacing w:after="80" w:line="276"/>
      </w:pPr>
      <w:r>
        <w:rPr>
          <w:rFonts w:ascii="Calibri" w:cs="Calibri" w:eastAsia="Calibri" w:hAnsi="Calibri"/>
          <w:sz w:val="21"/>
          <w:szCs w:val="21"/>
        </w:rPr>
        <w:t xml:space="preserve">Virtual scrolling once history outgrows pagination, SSR for first paint, i18n, and a formal accessibility audit — the components are keyboard-navigable and colour is never the only signal, but that has not been verified with a screen reader.</w:t>
      </w:r>
    </w:p>
    <w:p>
      <w:pPr>
        <w:pStyle w:val="Heading2"/>
        <w:spacing w:after="100" w:before="240"/>
      </w:pPr>
      <w:r>
        <w:rPr>
          <w:rFonts w:ascii="Calibri" w:cs="Calibri" w:eastAsia="Calibri" w:hAnsi="Calibri"/>
          <w:b/>
          <w:bCs/>
          <w:sz w:val="24"/>
          <w:szCs w:val="24"/>
        </w:rPr>
        <w:t xml:space="preserve">Known limitations in the current build</w:t>
      </w:r>
    </w:p>
    <w:p>
      <w:pPr>
        <w:spacing w:after="120" w:line="276"/>
      </w:pPr>
      <w:r>
        <w:rPr>
          <w:rFonts w:ascii="Calibri" w:cs="Calibri" w:eastAsia="Calibri" w:hAnsi="Calibri"/>
          <w:sz w:val="21"/>
          <w:szCs w:val="21"/>
        </w:rPr>
        <w:t xml:space="preserve">Stated plainly, because they are scope choices rather than oversights: the worker runs in-process by default (one environment variable splits it out); there is a one-second polling latency floor; the inbox badge polls rather than using a websocket; there is no rule versioning; there are two roles and no per-resource permissions; and the email channel is mocked, with realistic latency and configurable failure but no real provider wired up.</w:t>
      </w:r>
    </w:p>
    <w:p>
      <w:pPr>
        <w:spacing w:before="320"/>
        <w:jc w:val="center"/>
      </w:pPr>
      <w:r>
        <w:rPr>
          <w:rFonts w:ascii="Calibri" w:cs="Calibri" w:eastAsia="Calibri" w:hAnsi="Calibri"/>
          <w:i/>
          <w:iCs/>
          <w:color w:val="4B5563"/>
          <w:sz w:val="19"/>
          <w:szCs w:val="19"/>
        </w:rPr>
        <w:t xml:space="preserve">Full setup instructions, API reference and the deployment blueprint are in the repository README.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xkm1ghdpiugrnhfat7pp" Type="http://schemas.openxmlformats.org/officeDocument/2006/relationships/hyperlink" Target="https://github.com/himanshu60/configurable-notification-syste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Configurable Notification System — Architecture, Tests and Production Notes</dc:title>
  <dc:creator>Himanshu Choudhary</dc:creator>
  <dc:description>Full Stack Engineer assignment, AutoOps by SupplyOnyx</dc:description>
  <cp:lastModifiedBy>Un-named</cp:lastModifiedBy>
  <cp:revision>1</cp:revision>
  <dcterms:created xsi:type="dcterms:W3CDTF">2026-08-27T07:12:01.360Z</dcterms:created>
  <dcterms:modified xsi:type="dcterms:W3CDTF">2026-08-27T07:12:01.373Z</dcterms:modified>
</cp:coreProperties>
</file>

<file path=docProps/custom.xml><?xml version="1.0" encoding="utf-8"?>
<Properties xmlns="http://schemas.openxmlformats.org/officeDocument/2006/custom-properties" xmlns:vt="http://schemas.openxmlformats.org/officeDocument/2006/docPropsVTypes"/>
</file>