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Telecom Customer Retention Optimization using Churn Propensity and Market Mix Modeling (MMM)</w:t>
      </w:r>
    </w:p>
    <w:p>
      <w:pPr>
        <w:pStyle w:val="Heading2"/>
      </w:pPr>
      <w:r>
        <w:t>1. Project Overview</w:t>
      </w:r>
    </w:p>
    <w:p>
      <w:r>
        <w:t>This project integrates customer-level churn propensity modeling with Market Mix Modeling (MMM) to optimize retention strategies across multiple marketing channels. The goal is to reduce churn, maximize long-term customer value, and allocate marketing budgets based on causal impact and return on investment.</w:t>
      </w:r>
    </w:p>
    <w:p>
      <w:pPr>
        <w:pStyle w:val="Heading2"/>
      </w:pPr>
      <w:r>
        <w:t>2. Business Problem</w:t>
      </w:r>
    </w:p>
    <w:p>
      <w:r>
        <w:t>The organization faced rising churn and increasing retention costs without clear attribution of which channels and offers truly drove incremental retention. A robust, enterprise-grade framework was required to measure causal impact and guide budget allocation.</w:t>
      </w:r>
    </w:p>
    <w:p>
      <w:pPr>
        <w:pStyle w:val="Heading2"/>
      </w:pPr>
      <w:r>
        <w:t>3. Architecture and Workflow</w:t>
      </w:r>
    </w:p>
    <w:p>
      <w:r>
        <w:t>Customer data is used to build a churn propensity model and segment users into risk tiers. Targeted campaigns are executed across channels such as App, SMS, Call Center, Email, and Discounts. MMM is applied to decompose retention into baseline and incremental components, estimate lagged effects, and optimize budgets. Outputs are deployed into CRM systems with ongoing monitoring.</w:t>
      </w:r>
    </w:p>
    <w:p>
      <w:pPr>
        <w:pStyle w:val="Heading2"/>
      </w:pPr>
      <w:r>
        <w:t>4. Data and Granularity</w:t>
      </w:r>
    </w:p>
    <w:p>
      <w:r>
        <w:t>Customer-level data is used for churn modeling, while weekly or monthly aggregates are used for MMM. Internal variables include usage, ARPU, tenure, complaints, network quality, and offer history. External variables include price changes, competitor activity, seasonality, and regional economic factors.</w:t>
      </w:r>
    </w:p>
    <w:p>
      <w:pPr>
        <w:pStyle w:val="Heading2"/>
      </w:pPr>
      <w:r>
        <w:t>5. Churn Propensity Modeling</w:t>
      </w:r>
    </w:p>
    <w:p>
      <w:r>
        <w:t>A predictive model estimates the probability of churn for each customer. Customers are segmented into high, medium, and low-risk groups, enabling targeted offers and channel selection based on churn risk.</w:t>
      </w:r>
    </w:p>
    <w:p>
      <w:pPr>
        <w:pStyle w:val="Heading2"/>
      </w:pPr>
      <w:r>
        <w:t>6. Market Mix Modeling (MMM)</w:t>
      </w:r>
    </w:p>
    <w:p>
      <w:r>
        <w:t>The MMM decomposes retention into baseline and incremental marketing effects while controlling for price, network quality, seasonality, and competition. Adstock is used to capture lagged effects, and saturation curves are applied to model diminishing returns at higher spend levels.</w:t>
      </w:r>
    </w:p>
    <w:p>
      <w:pPr>
        <w:pStyle w:val="Heading2"/>
      </w:pPr>
      <w:r>
        <w:t>7. ROI and Customer Lifetime Value (CLV)</w:t>
      </w:r>
    </w:p>
    <w:p>
      <w:r>
        <w:t>ROI is calculated as incremental revenue divided by campaign cost. For long-term optimization, ROI is also measured using incremental customer lifetime value (CLV), ensuring profitability beyond short-term gains.</w:t>
      </w:r>
    </w:p>
    <w:p>
      <w:pPr>
        <w:pStyle w:val="Heading2"/>
      </w:pPr>
      <w:r>
        <w:t>8. Optimization and Constraints</w:t>
      </w:r>
    </w:p>
    <w:p>
      <w:r>
        <w:t>An optimization framework reallocates budget to maximize retention under constraints such as channel capacity, contact frequency limits, and regulatory requirements. This ensures realistic and compliant execution.</w:t>
      </w:r>
    </w:p>
    <w:p>
      <w:pPr>
        <w:pStyle w:val="Heading2"/>
      </w:pPr>
      <w:r>
        <w:t>9. KPIs and Monitoring</w:t>
      </w:r>
    </w:p>
    <w:p>
      <w:r>
        <w:t>Marketing KPIs include channel ROI, cost per retained customer, and saturation points. Executive KPIs include net revenue retention, ARPU uplift, CLV growth, and payback period. Performance is reviewed quarterly with recalibration of models.</w:t>
      </w:r>
    </w:p>
    <w:p>
      <w:pPr>
        <w:pStyle w:val="Heading2"/>
      </w:pPr>
      <w:r>
        <w:t>10. Business Outcomes</w:t>
      </w:r>
    </w:p>
    <w:p>
      <w:r>
        <w:t>The solution improved budget efficiency, reduced unnecessary contact volume, increased long-term customer value, and operationalized analytics through CRM integration and executive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