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inutes-of-meeting-mom-scope"/>
    <w:p>
      <w:pPr>
        <w:pStyle w:val="Heading1"/>
      </w:pPr>
      <w:r>
        <w:t xml:space="preserve">Minutes of Meeting (MoM) &amp; Scope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[Insert Date]</w:t>
      </w:r>
    </w:p>
    <w:p>
      <w:pPr>
        <w:pStyle w:val="BodyText"/>
      </w:pPr>
      <w:r>
        <w:rPr>
          <w:b/>
          <w:bCs/>
        </w:rPr>
        <w:t xml:space="preserve">Attendees: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Internal Team:</w:t>
      </w:r>
      <w:r>
        <w:t xml:space="preserve"> </w:t>
      </w:r>
      <w:r>
        <w:t xml:space="preserve">Akash, Maurice, Himanshu, Yogita, Twinkle, Neil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Client Side:</w:t>
      </w:r>
      <w:r>
        <w:t xml:space="preserve"> </w:t>
      </w:r>
      <w:r>
        <w:t xml:space="preserve">Binu</w:t>
      </w:r>
    </w:p>
    <w:p>
      <w:pPr>
        <w:pStyle w:val="BodyText"/>
      </w:pPr>
      <w:r>
        <w:rPr>
          <w:b/>
          <w:bCs/>
        </w:rPr>
        <w:t xml:space="preserve">Agenda:</w:t>
      </w:r>
      <w:r>
        <w:t xml:space="preserve"> </w:t>
      </w:r>
      <w:r>
        <w:t xml:space="preserve">To review and clarify the scope of input data sources, input files, and subsequent processing for the ongoing project, with focus on exposure premium, experience premium, Risk-Loss Process, NPI Scoring Algorithm, and Underwriting Model Factors.</w:t>
      </w:r>
    </w:p>
    <w:p>
      <w:r>
        <w:pict>
          <v:rect style="width:0;height:1.5pt" o:hralign="center" o:hrstd="t" o:hr="t"/>
        </w:pict>
      </w:r>
    </w:p>
    <w:bookmarkStart w:id="20" w:name="input-data-sources-files"/>
    <w:p>
      <w:pPr>
        <w:pStyle w:val="Heading2"/>
      </w:pPr>
      <w:r>
        <w:t xml:space="preserve">1. Input Data Sources &amp; Files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ASRA and T-Factors</w:t>
      </w:r>
    </w:p>
    <w:p>
      <w:pPr>
        <w:pStyle w:val="Compact"/>
        <w:numPr>
          <w:ilvl w:val="1"/>
          <w:numId w:val="1002"/>
        </w:numPr>
      </w:pPr>
      <w:r>
        <w:t xml:space="preserve">Primary input files for base rate and rating factor information.</w:t>
      </w:r>
    </w:p>
    <w:p>
      <w:pPr>
        <w:pStyle w:val="Compact"/>
        <w:numPr>
          <w:ilvl w:val="1"/>
          <w:numId w:val="1002"/>
        </w:numPr>
      </w:pPr>
      <w:r>
        <w:t xml:space="preserve">To be ingested into Snowflake without manual transformation at this stage.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Cognisure Submission Data</w:t>
      </w:r>
    </w:p>
    <w:p>
      <w:pPr>
        <w:pStyle w:val="Compact"/>
        <w:numPr>
          <w:ilvl w:val="1"/>
          <w:numId w:val="1003"/>
        </w:numPr>
      </w:pPr>
      <w:r>
        <w:t xml:space="preserve">Sourced from the GCP bucket.</w:t>
      </w:r>
    </w:p>
    <w:p>
      <w:pPr>
        <w:pStyle w:val="Compact"/>
        <w:numPr>
          <w:ilvl w:val="1"/>
          <w:numId w:val="1003"/>
        </w:numPr>
      </w:pPr>
      <w:r>
        <w:t xml:space="preserve">Includes multiple tabs: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Historical Loss</w:t>
      </w:r>
      <w:r>
        <w:t xml:space="preserve"> </w:t>
      </w:r>
      <w:r>
        <w:t xml:space="preserve">(~100+ attributes)</w:t>
      </w:r>
      <w:r>
        <w:br/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Historical Exposure</w:t>
      </w:r>
      <w:r>
        <w:t xml:space="preserve"> </w:t>
      </w:r>
      <w:r>
        <w:t xml:space="preserve">(~400+ attributes)</w:t>
      </w:r>
      <w:r>
        <w:br/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Current Exposure</w:t>
      </w:r>
      <w:r>
        <w:t xml:space="preserve"> </w:t>
      </w:r>
      <w:r>
        <w:t xml:space="preserve">(~400+ attributes)</w:t>
      </w:r>
      <w:r>
        <w:br/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General Tab:</w:t>
      </w:r>
      <w:r>
        <w:t xml:space="preserve"> </w:t>
      </w:r>
      <w:r>
        <w:t xml:space="preserve">Macro-level fields including policy number, line of business, account number, underwriter, team, etc.</w:t>
      </w:r>
    </w:p>
    <w:p>
      <w:pPr>
        <w:pStyle w:val="Compact"/>
        <w:numPr>
          <w:ilvl w:val="1"/>
          <w:numId w:val="1003"/>
        </w:numPr>
      </w:pPr>
      <w:r>
        <w:t xml:space="preserve">Contains calculated fields for exposure and experience premium. Ingestion captures both input and output fields</w:t>
      </w:r>
      <w:r>
        <w:t xml:space="preserve"> </w:t>
      </w:r>
      <w:r>
        <w:t xml:space="preserve">“as-is.”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DHC Data Source</w:t>
      </w:r>
    </w:p>
    <w:p>
      <w:pPr>
        <w:pStyle w:val="Compact"/>
        <w:numPr>
          <w:ilvl w:val="1"/>
          <w:numId w:val="1005"/>
        </w:numPr>
      </w:pPr>
      <w:r>
        <w:t xml:space="preserve">Selected physician-level attributes.</w:t>
      </w:r>
    </w:p>
    <w:p>
      <w:pPr>
        <w:pStyle w:val="Compact"/>
        <w:numPr>
          <w:ilvl w:val="1"/>
          <w:numId w:val="1005"/>
        </w:numPr>
      </w:pPr>
      <w:r>
        <w:t xml:space="preserve">Some fields TBD or external; follow-up needed.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Internal Systems (OSS/Velocity)</w:t>
      </w:r>
    </w:p>
    <w:p>
      <w:pPr>
        <w:pStyle w:val="Compact"/>
        <w:numPr>
          <w:ilvl w:val="1"/>
          <w:numId w:val="1006"/>
        </w:numPr>
      </w:pPr>
      <w:r>
        <w:t xml:space="preserve">Supplementary internal data supporting exposure and experience premium calculation.</w:t>
      </w:r>
    </w:p>
    <w:p>
      <w:r>
        <w:pict>
          <v:rect style="width:0;height:1.5pt" o:hralign="center" o:hrstd="t" o:hr="t"/>
        </w:pict>
      </w:r>
    </w:p>
    <w:bookmarkEnd w:id="20"/>
    <w:bookmarkStart w:id="21" w:name="data-ingestion"/>
    <w:p>
      <w:pPr>
        <w:pStyle w:val="Heading2"/>
      </w:pPr>
      <w:r>
        <w:t xml:space="preserve">2. Data Ingestion</w:t>
      </w:r>
    </w:p>
    <w:p>
      <w:pPr>
        <w:pStyle w:val="Compact"/>
        <w:numPr>
          <w:ilvl w:val="0"/>
          <w:numId w:val="1007"/>
        </w:numPr>
      </w:pPr>
      <w:r>
        <w:t xml:space="preserve">All input Excel files will be ingested directly into Snowflake.</w:t>
      </w:r>
    </w:p>
    <w:p>
      <w:pPr>
        <w:pStyle w:val="Compact"/>
        <w:numPr>
          <w:ilvl w:val="0"/>
          <w:numId w:val="1007"/>
        </w:numPr>
      </w:pPr>
      <w:r>
        <w:t xml:space="preserve">Field-level validation to confirm availability of client-provided attributes.</w:t>
      </w:r>
    </w:p>
    <w:p>
      <w:pPr>
        <w:pStyle w:val="Compact"/>
        <w:numPr>
          <w:ilvl w:val="0"/>
          <w:numId w:val="1007"/>
        </w:numPr>
      </w:pPr>
      <w:r>
        <w:t xml:space="preserve">TBD or external link fields documented for follow-up.</w:t>
      </w:r>
    </w:p>
    <w:p>
      <w:pPr>
        <w:pStyle w:val="Compact"/>
        <w:numPr>
          <w:ilvl w:val="0"/>
          <w:numId w:val="1007"/>
        </w:numPr>
      </w:pPr>
      <w:r>
        <w:t xml:space="preserve">Ensures a consolidated raw dataset for subsequent calculations and modeling.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Underwriting Model Factors by NPI and Year:</w:t>
      </w:r>
    </w:p>
    <w:p>
      <w:pPr>
        <w:pStyle w:val="Compact"/>
        <w:numPr>
          <w:ilvl w:val="1"/>
          <w:numId w:val="1008"/>
        </w:numPr>
      </w:pPr>
      <w:r>
        <w:t xml:space="preserve">Data to be provided by the underwriter after NPI scoring.</w:t>
      </w:r>
    </w:p>
    <w:p>
      <w:pPr>
        <w:pStyle w:val="Compact"/>
        <w:numPr>
          <w:ilvl w:val="1"/>
          <w:numId w:val="1008"/>
        </w:numPr>
      </w:pPr>
      <w:r>
        <w:t xml:space="preserve">Will require replication into Snowflake for consolidated access.</w:t>
      </w:r>
    </w:p>
    <w:p>
      <w:r>
        <w:pict>
          <v:rect style="width:0;height:1.5pt" o:hralign="center" o:hrstd="t" o:hr="t"/>
        </w:pict>
      </w:r>
    </w:p>
    <w:bookmarkEnd w:id="21"/>
    <w:bookmarkStart w:id="22" w:name="risk-loss-process-npi-scoring"/>
    <w:p>
      <w:pPr>
        <w:pStyle w:val="Heading2"/>
      </w:pPr>
      <w:r>
        <w:t xml:space="preserve">3. Risk-Loss Process &amp; NPI Scoring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Risk-Loss Process</w:t>
      </w:r>
    </w:p>
    <w:p>
      <w:pPr>
        <w:pStyle w:val="Compact"/>
        <w:numPr>
          <w:ilvl w:val="1"/>
          <w:numId w:val="1010"/>
        </w:numPr>
      </w:pPr>
      <w:r>
        <w:t xml:space="preserve">SQL scripts provided by the client.</w:t>
      </w:r>
    </w:p>
    <w:p>
      <w:pPr>
        <w:pStyle w:val="Compact"/>
        <w:numPr>
          <w:ilvl w:val="1"/>
          <w:numId w:val="1010"/>
        </w:numPr>
      </w:pPr>
      <w:r>
        <w:t xml:space="preserve">Review required to ensure feasibility of replication.</w:t>
      </w:r>
    </w:p>
    <w:p>
      <w:pPr>
        <w:pStyle w:val="Compact"/>
        <w:numPr>
          <w:ilvl w:val="1"/>
          <w:numId w:val="1010"/>
        </w:numPr>
      </w:pPr>
      <w:r>
        <w:t xml:space="preserve">Questions or challenges identified during review to be raised with the client.</w:t>
      </w:r>
    </w:p>
    <w:p>
      <w:pPr>
        <w:pStyle w:val="Compact"/>
        <w:numPr>
          <w:ilvl w:val="1"/>
          <w:numId w:val="1010"/>
        </w:numPr>
      </w:pPr>
      <w:r>
        <w:t xml:space="preserve">Contributes to exposure premium and experience premium calculations.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NPI Scoring Algorithm</w:t>
      </w:r>
    </w:p>
    <w:p>
      <w:pPr>
        <w:pStyle w:val="Compact"/>
        <w:numPr>
          <w:ilvl w:val="1"/>
          <w:numId w:val="1011"/>
        </w:numPr>
      </w:pPr>
      <w:r>
        <w:t xml:space="preserve">SQL scripts received for scoring all physicians nationally.</w:t>
      </w:r>
    </w:p>
    <w:p>
      <w:pPr>
        <w:pStyle w:val="Compact"/>
        <w:numPr>
          <w:ilvl w:val="1"/>
          <w:numId w:val="1011"/>
        </w:numPr>
      </w:pPr>
      <w:r>
        <w:t xml:space="preserve">Review required to validate methodology and integration feasibility.</w:t>
      </w:r>
    </w:p>
    <w:p>
      <w:r>
        <w:pict>
          <v:rect style="width:0;height:1.5pt" o:hralign="center" o:hrstd="t" o:hr="t"/>
        </w:pict>
      </w:r>
    </w:p>
    <w:bookmarkEnd w:id="22"/>
    <w:bookmarkStart w:id="23" w:name="X4fc9f52019a32822fda67c37fdb8acc4f5fa6d6"/>
    <w:p>
      <w:pPr>
        <w:pStyle w:val="Heading2"/>
      </w:pPr>
      <w:r>
        <w:t xml:space="preserve">4. Attribute Validation &amp; Underwriting Model Factors</w:t>
      </w:r>
    </w:p>
    <w:p>
      <w:pPr>
        <w:pStyle w:val="Compact"/>
        <w:numPr>
          <w:ilvl w:val="0"/>
          <w:numId w:val="1012"/>
        </w:numPr>
      </w:pPr>
      <w:r>
        <w:t xml:space="preserve">Confirm availability of all attributes shared by the client.</w:t>
      </w:r>
    </w:p>
    <w:p>
      <w:pPr>
        <w:pStyle w:val="Compact"/>
        <w:numPr>
          <w:ilvl w:val="0"/>
          <w:numId w:val="1012"/>
        </w:numPr>
      </w:pPr>
      <w:r>
        <w:t xml:space="preserve">Identify missing or TBD attributes, including external links.</w:t>
      </w:r>
    </w:p>
    <w:p>
      <w:pPr>
        <w:pStyle w:val="Compact"/>
        <w:numPr>
          <w:ilvl w:val="0"/>
          <w:numId w:val="1012"/>
        </w:numPr>
      </w:pPr>
      <w:r>
        <w:t xml:space="preserve">Underwriting Model Factors by NPI and Year will be integrated after NPI scoring.</w:t>
      </w:r>
    </w:p>
    <w:p>
      <w:pPr>
        <w:pStyle w:val="Compact"/>
        <w:numPr>
          <w:ilvl w:val="0"/>
          <w:numId w:val="1012"/>
        </w:numPr>
      </w:pPr>
      <w:r>
        <w:t xml:space="preserve">ETL/Data review required to ensure proper ingestion and readiness for future modeling.</w:t>
      </w:r>
    </w:p>
    <w:p>
      <w:r>
        <w:pict>
          <v:rect style="width:0;height:1.5pt" o:hralign="center" o:hrstd="t" o:hr="t"/>
        </w:pict>
      </w:r>
    </w:p>
    <w:bookmarkEnd w:id="23"/>
    <w:bookmarkStart w:id="24" w:name="premium-loss-data"/>
    <w:p>
      <w:pPr>
        <w:pStyle w:val="Heading2"/>
      </w:pPr>
      <w:r>
        <w:t xml:space="preserve">5. Premium &amp; Loss Data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Historical Loss, Historical Exposure, Current Exposure:</w:t>
      </w:r>
      <w:r>
        <w:t xml:space="preserve"> </w:t>
      </w:r>
      <w:r>
        <w:t xml:space="preserve">Already calculated in Excel; ingested as-is.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Experience Premium &amp; Exposure Premium:</w:t>
      </w:r>
      <w:r>
        <w:t xml:space="preserve"> </w:t>
      </w:r>
      <w:r>
        <w:t xml:space="preserve">Calculated outputs present in Excel sheets; ingested for validation and future modeling.</w:t>
      </w:r>
    </w:p>
    <w:p>
      <w:pPr>
        <w:pStyle w:val="Compact"/>
        <w:numPr>
          <w:ilvl w:val="0"/>
          <w:numId w:val="1013"/>
        </w:numPr>
      </w:pPr>
      <w:r>
        <w:t xml:space="preserve">No manual recalculations required at this stage.</w:t>
      </w:r>
    </w:p>
    <w:p>
      <w:r>
        <w:pict>
          <v:rect style="width:0;height:1.5pt" o:hralign="center" o:hrstd="t" o:hr="t"/>
        </w:pict>
      </w:r>
    </w:p>
    <w:bookmarkEnd w:id="24"/>
    <w:bookmarkStart w:id="25" w:name="future-considerations-upcoming-scope"/>
    <w:p>
      <w:pPr>
        <w:pStyle w:val="Heading2"/>
      </w:pPr>
      <w:r>
        <w:t xml:space="preserve">6. Future Considerations / Upcoming Scope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NPI Rating &amp; Underwriter Factors</w:t>
      </w:r>
    </w:p>
    <w:p>
      <w:pPr>
        <w:pStyle w:val="Compact"/>
        <w:numPr>
          <w:ilvl w:val="1"/>
          <w:numId w:val="1015"/>
        </w:numPr>
      </w:pPr>
      <w:r>
        <w:t xml:space="preserve">Following NPI scoring, Underwriting Model Factors by NPI and Year will form part of the next modeling phase.</w:t>
      </w:r>
    </w:p>
    <w:p>
      <w:pPr>
        <w:pStyle w:val="Compact"/>
        <w:numPr>
          <w:ilvl w:val="1"/>
          <w:numId w:val="1015"/>
        </w:numPr>
      </w:pPr>
      <w:r>
        <w:t xml:space="preserve">Additional fields will serve as inputs for Risk-Loss Process and exposure premium/experience premium models.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Questions to Clarify with Client:</w:t>
      </w:r>
    </w:p>
    <w:p>
      <w:pPr>
        <w:pStyle w:val="Compact"/>
        <w:numPr>
          <w:ilvl w:val="1"/>
          <w:numId w:val="1016"/>
        </w:numPr>
      </w:pPr>
      <w:r>
        <w:t xml:space="preserve">Methodology for Risk-Loss Process and NPI Scoring.</w:t>
      </w:r>
    </w:p>
    <w:p>
      <w:pPr>
        <w:pStyle w:val="Compact"/>
        <w:numPr>
          <w:ilvl w:val="1"/>
          <w:numId w:val="1016"/>
        </w:numPr>
      </w:pPr>
      <w:r>
        <w:t xml:space="preserve">Assumptions or special conditions applied in calculations.</w:t>
      </w:r>
    </w:p>
    <w:p>
      <w:pPr>
        <w:pStyle w:val="Compact"/>
        <w:numPr>
          <w:ilvl w:val="1"/>
          <w:numId w:val="1016"/>
        </w:numPr>
      </w:pPr>
      <w:r>
        <w:t xml:space="preserve">Missing or TBD attributes, including external links.</w:t>
      </w:r>
    </w:p>
    <w:p>
      <w:pPr>
        <w:pStyle w:val="Compact"/>
        <w:numPr>
          <w:ilvl w:val="1"/>
          <w:numId w:val="1016"/>
        </w:numPr>
      </w:pPr>
      <w:r>
        <w:t xml:space="preserve">Clarify timing and format for Underwriting Model Factors by NPI and Year.</w:t>
      </w:r>
    </w:p>
    <w:p>
      <w:pPr>
        <w:pStyle w:val="Compact"/>
        <w:numPr>
          <w:ilvl w:val="1"/>
          <w:numId w:val="1016"/>
        </w:numPr>
      </w:pPr>
      <w:r>
        <w:t xml:space="preserve">Whether input-only ingestion is sufficient or additional calculation logic is required.</w:t>
      </w:r>
    </w:p>
    <w:p>
      <w:r>
        <w:pict>
          <v:rect style="width:0;height:1.5pt" o:hralign="center" o:hrstd="t" o:hr="t"/>
        </w:pict>
      </w:r>
    </w:p>
    <w:bookmarkEnd w:id="25"/>
    <w:bookmarkStart w:id="26" w:name="next-steps-action-items"/>
    <w:p>
      <w:pPr>
        <w:pStyle w:val="Heading2"/>
      </w:pPr>
      <w:r>
        <w:t xml:space="preserve">7. Next Steps / Action Items</w:t>
      </w:r>
    </w:p>
    <w:p>
      <w:pPr>
        <w:pStyle w:val="Compact"/>
        <w:numPr>
          <w:ilvl w:val="0"/>
          <w:numId w:val="1017"/>
        </w:numPr>
      </w:pPr>
      <w:r>
        <w:t xml:space="preserve">Schedule client walkthrough for</w:t>
      </w:r>
      <w:r>
        <w:t xml:space="preserve"> </w:t>
      </w:r>
      <w:r>
        <w:rPr>
          <w:b/>
          <w:bCs/>
        </w:rPr>
        <w:t xml:space="preserve">Risk-Loss Process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NPI Scoring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Validate completeness of received attribute list and document TBD items.</w:t>
      </w:r>
    </w:p>
    <w:p>
      <w:pPr>
        <w:pStyle w:val="Compact"/>
        <w:numPr>
          <w:ilvl w:val="0"/>
          <w:numId w:val="1017"/>
        </w:numPr>
      </w:pPr>
      <w:r>
        <w:t xml:space="preserve">Review SQL scripts to assess replication feasibility.</w:t>
      </w:r>
    </w:p>
    <w:p>
      <w:pPr>
        <w:pStyle w:val="Compact"/>
        <w:numPr>
          <w:ilvl w:val="0"/>
          <w:numId w:val="1017"/>
        </w:numPr>
      </w:pPr>
      <w:r>
        <w:t xml:space="preserve">Document dependencies, clarifications, and upcoming modeling inputs for reference.</w:t>
      </w:r>
    </w:p>
    <w:p>
      <w:pPr>
        <w:pStyle w:val="Compact"/>
        <w:numPr>
          <w:ilvl w:val="0"/>
          <w:numId w:val="1017"/>
        </w:numPr>
      </w:pPr>
      <w:r>
        <w:t xml:space="preserve">Prepare for integration of Underwriting Model Factors by NPI and Year once data is available.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summarizes the discussions, current status, and upcoming scope for the ongoing project. It is intended to provide a clear roadmap for the team and ensure alignment with client expectations.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2025-08-26T17:25:54Z</dcterms:created>
  <dcterms:modified xsi:type="dcterms:W3CDTF">2025-08-26T17:25:54Z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