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0904A" w14:textId="1315957F" w:rsidR="007567D2" w:rsidRPr="00153C15" w:rsidRDefault="007567D2" w:rsidP="007C685F">
      <w:pPr>
        <w:pStyle w:val="Default"/>
        <w:ind w:right="656"/>
        <w:jc w:val="both"/>
        <w:rPr>
          <w:rFonts w:ascii="Arial" w:hAnsi="Arial" w:cs="Arial"/>
          <w:sz w:val="18"/>
          <w:szCs w:val="18"/>
        </w:rPr>
      </w:pPr>
      <w:r w:rsidRPr="00153C15">
        <w:rPr>
          <w:rFonts w:ascii="Arial" w:hAnsi="Arial" w:cs="Arial"/>
          <w:sz w:val="18"/>
          <w:szCs w:val="18"/>
        </w:rPr>
        <w:t xml:space="preserve">The </w:t>
      </w:r>
      <w:r w:rsidR="009E648E" w:rsidRPr="00153C15">
        <w:rPr>
          <w:rFonts w:ascii="Arial" w:hAnsi="Arial" w:cs="Arial"/>
          <w:sz w:val="18"/>
          <w:szCs w:val="18"/>
        </w:rPr>
        <w:t>PBAC outcomes and recommendations are presented</w:t>
      </w:r>
      <w:r w:rsidRPr="00153C15">
        <w:rPr>
          <w:rFonts w:ascii="Arial" w:hAnsi="Arial" w:cs="Arial"/>
          <w:sz w:val="18"/>
          <w:szCs w:val="18"/>
        </w:rPr>
        <w:t xml:space="preserve"> in alphabetical order by drug name.</w:t>
      </w:r>
    </w:p>
    <w:p w14:paraId="498951C4" w14:textId="211A8FF8" w:rsidR="007567D2" w:rsidRPr="00153C15" w:rsidRDefault="007567D2">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bottom w:w="28" w:type="dxa"/>
        </w:tblCellMar>
        <w:tblLook w:val="01E0" w:firstRow="1" w:lastRow="1" w:firstColumn="1" w:lastColumn="1" w:noHBand="0" w:noVBand="0"/>
      </w:tblPr>
      <w:tblGrid>
        <w:gridCol w:w="2972"/>
        <w:gridCol w:w="2491"/>
        <w:gridCol w:w="3955"/>
        <w:gridCol w:w="1345"/>
        <w:gridCol w:w="4625"/>
      </w:tblGrid>
      <w:tr w:rsidR="00F374F7" w:rsidRPr="00567D48" w14:paraId="2F780D8A" w14:textId="77777777" w:rsidTr="00F00B7A">
        <w:trPr>
          <w:cantSplit/>
          <w:tblHeader/>
        </w:trPr>
        <w:tc>
          <w:tcPr>
            <w:tcW w:w="2972" w:type="dxa"/>
            <w:shd w:val="clear" w:color="auto" w:fill="auto"/>
            <w:tcMar>
              <w:top w:w="28" w:type="dxa"/>
              <w:bottom w:w="28" w:type="dxa"/>
            </w:tcMar>
          </w:tcPr>
          <w:p w14:paraId="58BB41E5" w14:textId="46F847AB" w:rsidR="00F374F7" w:rsidRPr="00567D48" w:rsidRDefault="00F374F7" w:rsidP="00F3265E">
            <w:pPr>
              <w:keepLines/>
              <w:widowControl w:val="0"/>
              <w:spacing w:after="120"/>
              <w:ind w:right="-106"/>
              <w:jc w:val="center"/>
              <w:rPr>
                <w:rFonts w:asciiTheme="minorHAnsi" w:hAnsiTheme="minorHAnsi" w:cs="Arial"/>
                <w:b/>
                <w:sz w:val="18"/>
                <w:szCs w:val="18"/>
              </w:rPr>
            </w:pPr>
            <w:r w:rsidRPr="00567D48">
              <w:rPr>
                <w:rFonts w:asciiTheme="minorHAnsi" w:hAnsiTheme="minorHAnsi" w:cs="Arial"/>
                <w:b/>
                <w:sz w:val="18"/>
                <w:szCs w:val="18"/>
              </w:rPr>
              <w:t>DRUG NAME, FORM(S), STRENGTH(S), SPONSOR, TYPE OF SUBMISSION</w:t>
            </w:r>
          </w:p>
        </w:tc>
        <w:tc>
          <w:tcPr>
            <w:tcW w:w="2491" w:type="dxa"/>
            <w:shd w:val="clear" w:color="auto" w:fill="auto"/>
            <w:tcMar>
              <w:top w:w="28" w:type="dxa"/>
              <w:bottom w:w="28" w:type="dxa"/>
            </w:tcMar>
          </w:tcPr>
          <w:p w14:paraId="22DBCABB" w14:textId="77777777" w:rsidR="00F374F7" w:rsidRPr="00567D48" w:rsidRDefault="00F374F7" w:rsidP="00F3265E">
            <w:pPr>
              <w:keepLines/>
              <w:widowControl w:val="0"/>
              <w:spacing w:after="120"/>
              <w:jc w:val="center"/>
              <w:rPr>
                <w:rFonts w:asciiTheme="minorHAnsi" w:hAnsiTheme="minorHAnsi" w:cs="Arial"/>
                <w:b/>
                <w:snapToGrid w:val="0"/>
                <w:sz w:val="18"/>
                <w:szCs w:val="18"/>
                <w:lang w:eastAsia="en-US"/>
              </w:rPr>
            </w:pPr>
            <w:r w:rsidRPr="00567D48">
              <w:rPr>
                <w:rFonts w:asciiTheme="minorHAnsi" w:hAnsiTheme="minorHAnsi" w:cs="Arial"/>
                <w:b/>
                <w:snapToGrid w:val="0"/>
                <w:sz w:val="18"/>
                <w:szCs w:val="18"/>
                <w:lang w:eastAsia="en-US"/>
              </w:rPr>
              <w:t>DRUG TYPE AND USE</w:t>
            </w:r>
          </w:p>
          <w:p w14:paraId="64FD3362" w14:textId="77777777" w:rsidR="00F374F7" w:rsidRPr="00567D48" w:rsidRDefault="00F374F7" w:rsidP="00F3265E">
            <w:pPr>
              <w:keepLines/>
              <w:widowControl w:val="0"/>
              <w:spacing w:after="120"/>
              <w:jc w:val="center"/>
              <w:rPr>
                <w:rFonts w:asciiTheme="minorHAnsi" w:hAnsiTheme="minorHAnsi" w:cs="Arial"/>
                <w:b/>
                <w:snapToGrid w:val="0"/>
                <w:sz w:val="18"/>
                <w:szCs w:val="18"/>
                <w:lang w:eastAsia="en-US"/>
              </w:rPr>
            </w:pPr>
          </w:p>
        </w:tc>
        <w:tc>
          <w:tcPr>
            <w:tcW w:w="0" w:type="auto"/>
            <w:shd w:val="clear" w:color="auto" w:fill="auto"/>
            <w:tcMar>
              <w:top w:w="28" w:type="dxa"/>
              <w:bottom w:w="28" w:type="dxa"/>
            </w:tcMar>
          </w:tcPr>
          <w:p w14:paraId="60A9336E" w14:textId="77777777" w:rsidR="00F374F7" w:rsidRPr="00567D48" w:rsidRDefault="00F374F7" w:rsidP="00F3265E">
            <w:pPr>
              <w:keepLines/>
              <w:widowControl w:val="0"/>
              <w:spacing w:after="120"/>
              <w:jc w:val="center"/>
              <w:rPr>
                <w:rFonts w:asciiTheme="minorHAnsi" w:hAnsiTheme="minorHAnsi" w:cs="Arial"/>
                <w:b/>
                <w:snapToGrid w:val="0"/>
                <w:sz w:val="18"/>
                <w:szCs w:val="18"/>
                <w:lang w:eastAsia="en-US"/>
              </w:rPr>
            </w:pPr>
            <w:r w:rsidRPr="00567D48">
              <w:rPr>
                <w:rFonts w:asciiTheme="minorHAnsi" w:hAnsiTheme="minorHAnsi" w:cs="Arial"/>
                <w:b/>
                <w:snapToGrid w:val="0"/>
                <w:sz w:val="18"/>
                <w:szCs w:val="18"/>
                <w:lang w:eastAsia="en-US"/>
              </w:rPr>
              <w:t>LISTING REQUESTED BY SPONSOR / PURPOSE OF SUBMISSION</w:t>
            </w:r>
          </w:p>
        </w:tc>
        <w:tc>
          <w:tcPr>
            <w:tcW w:w="0" w:type="auto"/>
            <w:gridSpan w:val="2"/>
            <w:shd w:val="clear" w:color="auto" w:fill="auto"/>
          </w:tcPr>
          <w:p w14:paraId="5BEF59E0" w14:textId="77777777" w:rsidR="00F374F7" w:rsidRPr="00567D48" w:rsidRDefault="00F374F7" w:rsidP="00F3265E">
            <w:pPr>
              <w:pStyle w:val="Header"/>
              <w:keepLines/>
              <w:spacing w:after="120"/>
              <w:jc w:val="center"/>
              <w:rPr>
                <w:rFonts w:asciiTheme="minorHAnsi" w:hAnsiTheme="minorHAnsi" w:cs="Arial"/>
                <w:b/>
                <w:snapToGrid w:val="0"/>
                <w:sz w:val="18"/>
                <w:szCs w:val="18"/>
                <w:lang w:eastAsia="en-US"/>
              </w:rPr>
            </w:pPr>
            <w:r w:rsidRPr="00567D48">
              <w:rPr>
                <w:rFonts w:asciiTheme="minorHAnsi" w:hAnsiTheme="minorHAnsi" w:cs="Arial"/>
                <w:b/>
                <w:snapToGrid w:val="0"/>
                <w:sz w:val="18"/>
                <w:szCs w:val="18"/>
                <w:lang w:eastAsia="en-US"/>
              </w:rPr>
              <w:t>PBAC OUTCOME</w:t>
            </w:r>
          </w:p>
          <w:p w14:paraId="5626F454" w14:textId="542D2F29" w:rsidR="00F374F7" w:rsidRPr="00567D48" w:rsidRDefault="00F374F7" w:rsidP="00F3265E">
            <w:pPr>
              <w:pStyle w:val="Header"/>
              <w:keepLines/>
              <w:spacing w:after="120"/>
              <w:jc w:val="center"/>
              <w:rPr>
                <w:rFonts w:asciiTheme="minorHAnsi" w:hAnsiTheme="minorHAnsi" w:cs="Arial"/>
                <w:b/>
                <w:snapToGrid w:val="0"/>
                <w:sz w:val="18"/>
                <w:szCs w:val="18"/>
                <w:lang w:eastAsia="en-US"/>
              </w:rPr>
            </w:pPr>
          </w:p>
        </w:tc>
      </w:tr>
      <w:tr w:rsidR="00124585" w:rsidRPr="00567D48" w14:paraId="0B22D8EA" w14:textId="77777777" w:rsidTr="00CF7271">
        <w:trPr>
          <w:cantSplit/>
          <w:trHeight w:val="2947"/>
        </w:trPr>
        <w:tc>
          <w:tcPr>
            <w:tcW w:w="2972" w:type="dxa"/>
            <w:shd w:val="clear" w:color="auto" w:fill="auto"/>
            <w:tcMar>
              <w:top w:w="28" w:type="dxa"/>
              <w:bottom w:w="28" w:type="dxa"/>
            </w:tcMar>
            <w:vAlign w:val="center"/>
          </w:tcPr>
          <w:p w14:paraId="46A68F83" w14:textId="3A0DC7D5" w:rsidR="00124585" w:rsidRPr="00567D48" w:rsidRDefault="00124585" w:rsidP="007F3395">
            <w:pPr>
              <w:keepLines/>
              <w:rPr>
                <w:rFonts w:asciiTheme="minorHAnsi" w:hAnsiTheme="minorHAnsi" w:cs="Arial"/>
                <w:sz w:val="18"/>
                <w:szCs w:val="18"/>
              </w:rPr>
            </w:pPr>
            <w:r w:rsidRPr="00567D48">
              <w:rPr>
                <w:rFonts w:asciiTheme="minorHAnsi" w:hAnsiTheme="minorHAnsi" w:cs="Arial"/>
                <w:color w:val="000000"/>
                <w:sz w:val="18"/>
                <w:szCs w:val="18"/>
              </w:rPr>
              <w:t xml:space="preserve">ABROCITINIB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Tablet 100 mg</w:t>
            </w:r>
            <w:r w:rsidRPr="00567D48">
              <w:rPr>
                <w:rFonts w:asciiTheme="minorHAnsi" w:hAnsiTheme="minorHAnsi" w:cs="Arial"/>
                <w:color w:val="000000"/>
                <w:sz w:val="18"/>
                <w:szCs w:val="18"/>
              </w:rPr>
              <w:br/>
              <w:t>Tablet 200 mg</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Cibinqo</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Pfizer Australia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2 submission</w:t>
            </w:r>
            <w:r w:rsidRPr="00567D48">
              <w:rPr>
                <w:rFonts w:asciiTheme="minorHAnsi" w:hAnsiTheme="minorHAnsi" w:cs="Arial"/>
                <w:color w:val="000000"/>
                <w:sz w:val="18"/>
                <w:szCs w:val="18"/>
              </w:rPr>
              <w:br/>
              <w:t xml:space="preserve">(New PBS listing) </w:t>
            </w:r>
          </w:p>
        </w:tc>
        <w:tc>
          <w:tcPr>
            <w:tcW w:w="2491" w:type="dxa"/>
            <w:shd w:val="clear" w:color="auto" w:fill="auto"/>
            <w:vAlign w:val="center"/>
          </w:tcPr>
          <w:p w14:paraId="7EDC6C7A" w14:textId="59BD613B" w:rsidR="00124585" w:rsidRPr="00567D48" w:rsidRDefault="00124585" w:rsidP="007F3395">
            <w:pPr>
              <w:keepLines/>
              <w:widowControl w:val="0"/>
              <w:rPr>
                <w:rFonts w:asciiTheme="minorHAnsi" w:hAnsiTheme="minorHAnsi" w:cs="Arial"/>
                <w:snapToGrid w:val="0"/>
                <w:sz w:val="18"/>
                <w:szCs w:val="18"/>
                <w:lang w:eastAsia="en-US"/>
              </w:rPr>
            </w:pPr>
            <w:r w:rsidRPr="00567D48">
              <w:rPr>
                <w:rFonts w:asciiTheme="minorHAnsi" w:hAnsiTheme="minorHAnsi" w:cs="Arial"/>
                <w:color w:val="000000"/>
                <w:sz w:val="18"/>
                <w:szCs w:val="18"/>
              </w:rPr>
              <w:t>Atopic dermatitis</w:t>
            </w:r>
          </w:p>
        </w:tc>
        <w:tc>
          <w:tcPr>
            <w:tcW w:w="0" w:type="auto"/>
            <w:shd w:val="clear" w:color="auto" w:fill="auto"/>
            <w:tcMar>
              <w:top w:w="28" w:type="dxa"/>
              <w:bottom w:w="28" w:type="dxa"/>
            </w:tcMar>
            <w:vAlign w:val="center"/>
          </w:tcPr>
          <w:p w14:paraId="693A86FE" w14:textId="4FA0E432" w:rsidR="00124585" w:rsidRPr="00567D48" w:rsidRDefault="00124585" w:rsidP="007F3395">
            <w:pPr>
              <w:pStyle w:val="ListParagraph"/>
              <w:keepLines/>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To request a General Schedule Authority Required listing for the treatment of severe atopic dermatitis.</w:t>
            </w:r>
          </w:p>
        </w:tc>
        <w:tc>
          <w:tcPr>
            <w:tcW w:w="0" w:type="auto"/>
            <w:shd w:val="clear" w:color="auto" w:fill="auto"/>
            <w:vAlign w:val="center"/>
          </w:tcPr>
          <w:p w14:paraId="0559B616" w14:textId="244EC828" w:rsidR="00124585" w:rsidRPr="00567D48" w:rsidRDefault="00F720B7" w:rsidP="007F3395">
            <w:pPr>
              <w:pStyle w:val="ListParagraph"/>
              <w:keepLines/>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No</w:t>
            </w:r>
            <w:r w:rsidR="0086425E" w:rsidRPr="00567D48">
              <w:rPr>
                <w:rFonts w:asciiTheme="minorHAnsi" w:hAnsiTheme="minorHAnsi" w:cs="Arial"/>
                <w:color w:val="000000"/>
                <w:sz w:val="18"/>
                <w:szCs w:val="18"/>
              </w:rPr>
              <w:t>t A</w:t>
            </w:r>
            <w:r w:rsidRPr="00567D48">
              <w:rPr>
                <w:rFonts w:asciiTheme="minorHAnsi" w:hAnsiTheme="minorHAnsi" w:cs="Arial"/>
                <w:color w:val="000000"/>
                <w:sz w:val="18"/>
                <w:szCs w:val="18"/>
              </w:rPr>
              <w:t xml:space="preserve">pplicable </w:t>
            </w:r>
          </w:p>
        </w:tc>
        <w:tc>
          <w:tcPr>
            <w:tcW w:w="0" w:type="auto"/>
            <w:shd w:val="clear" w:color="auto" w:fill="auto"/>
            <w:vAlign w:val="center"/>
          </w:tcPr>
          <w:p w14:paraId="5DAB2E7A" w14:textId="244EC828" w:rsidR="00124585" w:rsidRPr="00567D48" w:rsidRDefault="00F720B7" w:rsidP="007F3395">
            <w:pPr>
              <w:pStyle w:val="ListParagraph"/>
              <w:keepLines/>
              <w:ind w:left="0"/>
              <w:rPr>
                <w:rFonts w:asciiTheme="minorHAnsi" w:hAnsiTheme="minorHAnsi" w:cs="Arial"/>
                <w:color w:val="000000"/>
                <w:sz w:val="18"/>
                <w:szCs w:val="18"/>
              </w:rPr>
            </w:pPr>
            <w:r w:rsidRPr="00567D48">
              <w:rPr>
                <w:rFonts w:asciiTheme="minorHAnsi" w:hAnsiTheme="minorHAnsi" w:cs="Arial"/>
                <w:color w:val="000000"/>
                <w:sz w:val="18"/>
                <w:szCs w:val="18"/>
              </w:rPr>
              <w:t>To be considered at a future PBAC meeting</w:t>
            </w:r>
          </w:p>
        </w:tc>
      </w:tr>
      <w:tr w:rsidR="00B84439" w:rsidRPr="00567D48" w14:paraId="1451386B" w14:textId="77777777" w:rsidTr="00F00B7A">
        <w:trPr>
          <w:trHeight w:val="3115"/>
        </w:trPr>
        <w:tc>
          <w:tcPr>
            <w:tcW w:w="2972" w:type="dxa"/>
            <w:vMerge w:val="restart"/>
            <w:shd w:val="clear" w:color="auto" w:fill="auto"/>
            <w:tcMar>
              <w:top w:w="28" w:type="dxa"/>
              <w:bottom w:w="28" w:type="dxa"/>
            </w:tcMar>
            <w:vAlign w:val="center"/>
          </w:tcPr>
          <w:p w14:paraId="3ED27664" w14:textId="3832F71C" w:rsidR="00B84439" w:rsidRPr="00567D48" w:rsidRDefault="00B84439"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t xml:space="preserve">ACALABRUTINIB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Capsule 100 mg</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Calquence®</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AstraZeneca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Standard Re-entry submission</w:t>
            </w:r>
            <w:r w:rsidRPr="00567D48">
              <w:rPr>
                <w:rFonts w:asciiTheme="minorHAnsi" w:hAnsiTheme="minorHAnsi" w:cs="Arial"/>
                <w:color w:val="000000"/>
                <w:sz w:val="18"/>
                <w:szCs w:val="18"/>
              </w:rPr>
              <w:br/>
              <w:t xml:space="preserve">(Change to PBS listing) </w:t>
            </w:r>
          </w:p>
        </w:tc>
        <w:tc>
          <w:tcPr>
            <w:tcW w:w="2491" w:type="dxa"/>
            <w:vMerge w:val="restart"/>
            <w:shd w:val="clear" w:color="auto" w:fill="auto"/>
            <w:vAlign w:val="center"/>
          </w:tcPr>
          <w:p w14:paraId="2B14AAF4" w14:textId="7E8E507A" w:rsidR="00B84439" w:rsidRPr="00567D48" w:rsidRDefault="00B84439"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Chronic lymphocytic leukaemia (CLL) or small lymphocytic lymphoma (SLL)</w:t>
            </w:r>
          </w:p>
        </w:tc>
        <w:tc>
          <w:tcPr>
            <w:tcW w:w="0" w:type="auto"/>
            <w:vMerge w:val="restart"/>
            <w:shd w:val="clear" w:color="auto" w:fill="auto"/>
            <w:tcMar>
              <w:top w:w="28" w:type="dxa"/>
              <w:bottom w:w="28" w:type="dxa"/>
            </w:tcMar>
            <w:vAlign w:val="center"/>
          </w:tcPr>
          <w:p w14:paraId="52EF1733" w14:textId="66A3A386" w:rsidR="00B84439" w:rsidRPr="00567D48" w:rsidRDefault="00B84439" w:rsidP="00B84439">
            <w:pPr>
              <w:pStyle w:val="ListParagraph"/>
              <w:keepLines/>
              <w:ind w:left="0"/>
              <w:rPr>
                <w:rFonts w:asciiTheme="minorHAnsi" w:hAnsiTheme="minorHAnsi" w:cs="Arial"/>
                <w:color w:val="000000"/>
                <w:sz w:val="18"/>
                <w:szCs w:val="18"/>
              </w:rPr>
            </w:pPr>
            <w:r w:rsidRPr="00567D48">
              <w:rPr>
                <w:rFonts w:asciiTheme="minorHAnsi" w:hAnsiTheme="minorHAnsi" w:cs="Arial"/>
                <w:color w:val="000000"/>
                <w:sz w:val="18"/>
                <w:szCs w:val="18"/>
              </w:rPr>
              <w:t>Resubmission to request a General Schedule Authority Required listing for previously untreated CLL or SLL patients who are considered unsuitable for treatment with fludarabine-based chemoimmunotherapy, and unsuitable for venetoclax in combination with obinutuzumab, or who develop intolerance to venetoclax with obinutuzumab necessitating permanent treatment withdrawal.</w:t>
            </w:r>
          </w:p>
        </w:tc>
        <w:tc>
          <w:tcPr>
            <w:tcW w:w="0" w:type="auto"/>
            <w:vMerge w:val="restart"/>
            <w:shd w:val="clear" w:color="auto" w:fill="auto"/>
            <w:vAlign w:val="center"/>
          </w:tcPr>
          <w:p w14:paraId="3959E116" w14:textId="7EB40075" w:rsidR="00B84439" w:rsidRPr="00567D48" w:rsidRDefault="00B84439"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Not Recommended</w:t>
            </w:r>
          </w:p>
        </w:tc>
        <w:tc>
          <w:tcPr>
            <w:tcW w:w="0" w:type="auto"/>
            <w:shd w:val="clear" w:color="auto" w:fill="auto"/>
            <w:vAlign w:val="bottom"/>
          </w:tcPr>
          <w:p w14:paraId="421F68F5" w14:textId="37826FB0" w:rsidR="00B84439" w:rsidRPr="00567D48" w:rsidRDefault="00B84439" w:rsidP="00CE5CA9">
            <w:pPr>
              <w:pStyle w:val="ExecSumBodyText"/>
              <w:numPr>
                <w:ilvl w:val="0"/>
                <w:numId w:val="0"/>
              </w:numPr>
              <w:spacing w:after="0"/>
              <w:rPr>
                <w:sz w:val="18"/>
                <w:szCs w:val="18"/>
                <w:lang w:val="en-GB" w:eastAsia="en-US"/>
              </w:rPr>
            </w:pPr>
            <w:r w:rsidRPr="00567D48">
              <w:rPr>
                <w:sz w:val="18"/>
                <w:szCs w:val="18"/>
                <w:lang w:val="en-GB" w:eastAsia="en-US"/>
              </w:rPr>
              <w:t>The PBAC did not recommend</w:t>
            </w:r>
            <w:r w:rsidRPr="00567D48">
              <w:rPr>
                <w:sz w:val="18"/>
                <w:szCs w:val="18"/>
              </w:rPr>
              <w:t xml:space="preserve"> the </w:t>
            </w:r>
            <w:r w:rsidRPr="00567D48">
              <w:rPr>
                <w:sz w:val="18"/>
                <w:szCs w:val="18"/>
                <w:lang w:val="en-GB" w:eastAsia="en-US"/>
              </w:rPr>
              <w:t>listing of acalabrutinib for the treatment of patients with previously untreated CLL or SLL, who are considered unsuitable for treatment with fludarabine-based chemoimmunotherapy and venetoclax + obinutuzumab, and for patients who permanently discontinue venetoclax + obinutuzumab due to intolerance.</w:t>
            </w:r>
          </w:p>
          <w:p w14:paraId="6DE9D6BD" w14:textId="77777777" w:rsidR="00B84439" w:rsidRPr="00567D48" w:rsidRDefault="00B84439" w:rsidP="00CE5CA9">
            <w:pPr>
              <w:pStyle w:val="ExecSumBodyText"/>
              <w:numPr>
                <w:ilvl w:val="0"/>
                <w:numId w:val="0"/>
              </w:numPr>
              <w:spacing w:after="0"/>
              <w:rPr>
                <w:sz w:val="18"/>
                <w:szCs w:val="18"/>
                <w:lang w:val="en-GB" w:eastAsia="en-US"/>
              </w:rPr>
            </w:pPr>
          </w:p>
          <w:p w14:paraId="4A0A5C84" w14:textId="20EE3812" w:rsidR="00B84439" w:rsidRPr="00567D48" w:rsidRDefault="00B84439" w:rsidP="00CE5CA9">
            <w:pPr>
              <w:pStyle w:val="ExecSumBodyText"/>
              <w:numPr>
                <w:ilvl w:val="0"/>
                <w:numId w:val="0"/>
              </w:numPr>
              <w:spacing w:after="0"/>
              <w:rPr>
                <w:sz w:val="18"/>
                <w:szCs w:val="18"/>
                <w:lang w:val="en-GB" w:eastAsia="en-US"/>
              </w:rPr>
            </w:pPr>
            <w:r w:rsidRPr="00567D48">
              <w:rPr>
                <w:sz w:val="18"/>
                <w:szCs w:val="18"/>
                <w:lang w:val="en-GB" w:eastAsia="en-US"/>
              </w:rPr>
              <w:t xml:space="preserve">The previous submission considered in July 2020 was for a broader population of CLL/SLL patients unsuitable for fludarabine-based chemotherapy. </w:t>
            </w:r>
          </w:p>
          <w:p w14:paraId="697F7534" w14:textId="77777777" w:rsidR="00B84439" w:rsidRPr="00567D48" w:rsidRDefault="00B84439" w:rsidP="00CE5CA9">
            <w:pPr>
              <w:pStyle w:val="ExecSumBodyText"/>
              <w:numPr>
                <w:ilvl w:val="0"/>
                <w:numId w:val="0"/>
              </w:numPr>
              <w:spacing w:after="0"/>
              <w:rPr>
                <w:sz w:val="18"/>
                <w:szCs w:val="18"/>
                <w:u w:val="single"/>
                <w:lang w:val="en-GB" w:eastAsia="en-US"/>
              </w:rPr>
            </w:pPr>
          </w:p>
          <w:p w14:paraId="0A8C01CF" w14:textId="750204CF" w:rsidR="00B84439" w:rsidRPr="00567D48" w:rsidRDefault="00B84439" w:rsidP="00CE5CA9">
            <w:pPr>
              <w:pStyle w:val="ExecSumBodyText"/>
              <w:numPr>
                <w:ilvl w:val="0"/>
                <w:numId w:val="0"/>
              </w:numPr>
              <w:spacing w:after="0"/>
              <w:rPr>
                <w:sz w:val="18"/>
                <w:szCs w:val="18"/>
                <w:u w:val="single"/>
                <w:lang w:val="en-GB" w:eastAsia="en-US"/>
              </w:rPr>
            </w:pPr>
            <w:r w:rsidRPr="00567D48">
              <w:rPr>
                <w:sz w:val="18"/>
                <w:szCs w:val="18"/>
                <w:u w:val="single"/>
                <w:lang w:val="en-GB" w:eastAsia="en-US"/>
              </w:rPr>
              <w:t>Comparator: chlorambucil + obinutuzumab</w:t>
            </w:r>
          </w:p>
          <w:p w14:paraId="5C595249" w14:textId="77777777" w:rsidR="00B84439" w:rsidRPr="00567D48" w:rsidRDefault="00B84439" w:rsidP="00CE5CA9">
            <w:pPr>
              <w:pStyle w:val="ExecSumBodyText"/>
              <w:numPr>
                <w:ilvl w:val="0"/>
                <w:numId w:val="0"/>
              </w:numPr>
              <w:spacing w:after="0"/>
              <w:rPr>
                <w:sz w:val="18"/>
                <w:szCs w:val="18"/>
                <w:lang w:val="en-GB" w:eastAsia="en-US"/>
              </w:rPr>
            </w:pPr>
            <w:r w:rsidRPr="00567D48">
              <w:rPr>
                <w:sz w:val="18"/>
                <w:szCs w:val="18"/>
                <w:lang w:val="en-GB"/>
              </w:rPr>
              <w:t>The PBAC agreed that this was the main comparator for the proposed population. However, the key clinical criteria for venetoclax + obinutuzumab unsuitability were subjective,</w:t>
            </w:r>
            <w:r w:rsidRPr="00567D48">
              <w:rPr>
                <w:sz w:val="18"/>
                <w:szCs w:val="18"/>
              </w:rPr>
              <w:t xml:space="preserve"> and </w:t>
            </w:r>
            <w:r w:rsidRPr="00567D48">
              <w:rPr>
                <w:sz w:val="18"/>
                <w:szCs w:val="18"/>
                <w:lang w:val="en-GB"/>
              </w:rPr>
              <w:t xml:space="preserve">the PBAC recognised the issue that some patients/prescribers may prefer acalabrutinib as an oral therapy despite not being truly unsuitable for venetoclax + obinutuzumab. Based on the proposed PBS restriction, the PBAC considered </w:t>
            </w:r>
            <w:r w:rsidRPr="00567D48">
              <w:rPr>
                <w:sz w:val="18"/>
                <w:szCs w:val="18"/>
                <w:lang w:val="en-GB" w:eastAsia="en-US"/>
              </w:rPr>
              <w:t xml:space="preserve">venetoclax + obinutuzumab to be a relevant comparator. </w:t>
            </w:r>
          </w:p>
          <w:p w14:paraId="49D33597" w14:textId="77777777" w:rsidR="00B84439" w:rsidRPr="00567D48" w:rsidRDefault="00B84439" w:rsidP="00CE5CA9">
            <w:pPr>
              <w:pStyle w:val="ExecSumBodyText"/>
              <w:numPr>
                <w:ilvl w:val="0"/>
                <w:numId w:val="0"/>
              </w:numPr>
              <w:spacing w:after="0"/>
              <w:rPr>
                <w:sz w:val="18"/>
                <w:szCs w:val="18"/>
                <w:u w:val="single"/>
                <w:lang w:val="en-GB" w:eastAsia="en-US"/>
              </w:rPr>
            </w:pPr>
          </w:p>
          <w:p w14:paraId="69B6A644" w14:textId="473B525B" w:rsidR="00B84439" w:rsidRPr="00567D48" w:rsidRDefault="00B84439" w:rsidP="00CE5CA9">
            <w:pPr>
              <w:pStyle w:val="ExecSumBodyText"/>
              <w:numPr>
                <w:ilvl w:val="0"/>
                <w:numId w:val="0"/>
              </w:numPr>
              <w:spacing w:after="0"/>
              <w:rPr>
                <w:sz w:val="18"/>
                <w:szCs w:val="18"/>
                <w:u w:val="single"/>
                <w:lang w:val="en-GB" w:eastAsia="en-US"/>
              </w:rPr>
            </w:pPr>
            <w:r w:rsidRPr="00567D48">
              <w:rPr>
                <w:sz w:val="18"/>
                <w:szCs w:val="18"/>
                <w:u w:val="single"/>
                <w:lang w:val="en-GB" w:eastAsia="en-US"/>
              </w:rPr>
              <w:t>Clinical claim: superior effectiveness and safety compared with chlorambucil + obinutuzumab</w:t>
            </w:r>
          </w:p>
          <w:p w14:paraId="1F156030" w14:textId="3BD95430" w:rsidR="00B84439" w:rsidRPr="00567D48" w:rsidRDefault="00B84439" w:rsidP="00CE5CA9">
            <w:pPr>
              <w:pStyle w:val="ExecSumBodyText"/>
              <w:numPr>
                <w:ilvl w:val="0"/>
                <w:numId w:val="0"/>
              </w:numPr>
              <w:spacing w:after="0"/>
              <w:rPr>
                <w:sz w:val="18"/>
                <w:szCs w:val="18"/>
                <w:lang w:val="en-GB" w:eastAsia="en-US"/>
              </w:rPr>
            </w:pPr>
            <w:r w:rsidRPr="00567D48">
              <w:rPr>
                <w:sz w:val="18"/>
                <w:szCs w:val="18"/>
                <w:lang w:val="en-GB" w:eastAsia="en-US"/>
              </w:rPr>
              <w:t xml:space="preserve">The clinical claim was based on the ELEVATE-TN trial, previously considered by the PBAC in July 2020. The PBAC considered that a claim of superior comparative effectiveness was reasonable in relation to progression-free survival, noting the more mature data from the ELEVATE-TN trial in the resubmission with follow-up over approximately four years showed consistency of effect. At the same time, it remained of the view that overall survival data remained immature and there may not be a difference in overall survival over the longer term given subsequent lines of effective therapy are available. The PBAC considered that a superior safety claim was reasonable. </w:t>
            </w:r>
          </w:p>
          <w:p w14:paraId="7D0259B8" w14:textId="77777777" w:rsidR="00B84439" w:rsidRPr="00567D48" w:rsidRDefault="00B84439" w:rsidP="00CE5CA9">
            <w:pPr>
              <w:pStyle w:val="ExecSumBodyText"/>
              <w:numPr>
                <w:ilvl w:val="0"/>
                <w:numId w:val="0"/>
              </w:numPr>
              <w:spacing w:after="0"/>
              <w:rPr>
                <w:sz w:val="18"/>
                <w:szCs w:val="18"/>
                <w:u w:val="single"/>
                <w:lang w:val="en-GB" w:eastAsia="en-US"/>
              </w:rPr>
            </w:pPr>
          </w:p>
          <w:p w14:paraId="1217D0FB" w14:textId="62374296" w:rsidR="00B84439" w:rsidRPr="00567D48" w:rsidRDefault="00B84439" w:rsidP="00CE5CA9">
            <w:pPr>
              <w:pStyle w:val="ExecSumBodyText"/>
              <w:numPr>
                <w:ilvl w:val="0"/>
                <w:numId w:val="0"/>
              </w:numPr>
              <w:spacing w:after="0"/>
              <w:rPr>
                <w:sz w:val="18"/>
                <w:szCs w:val="18"/>
                <w:u w:val="single"/>
                <w:lang w:val="en-GB" w:eastAsia="en-US"/>
              </w:rPr>
            </w:pPr>
            <w:r w:rsidRPr="00567D48">
              <w:rPr>
                <w:sz w:val="18"/>
                <w:szCs w:val="18"/>
                <w:u w:val="single"/>
                <w:lang w:val="en-GB" w:eastAsia="en-US"/>
              </w:rPr>
              <w:t>Economic claim: cost-utility versus chlorambucil + obinutuzumab</w:t>
            </w:r>
          </w:p>
          <w:p w14:paraId="481CCF80" w14:textId="7D877697" w:rsidR="00B84439" w:rsidRPr="00567D48" w:rsidRDefault="00B84439" w:rsidP="00CE5CA9">
            <w:pPr>
              <w:pStyle w:val="ListParagraph"/>
              <w:keepLines/>
              <w:ind w:left="0"/>
              <w:contextualSpacing w:val="0"/>
              <w:rPr>
                <w:rFonts w:asciiTheme="minorHAnsi" w:hAnsiTheme="minorHAnsi" w:cs="Arial"/>
                <w:snapToGrid w:val="0"/>
                <w:sz w:val="18"/>
                <w:szCs w:val="18"/>
                <w:lang w:val="en-GB"/>
              </w:rPr>
            </w:pPr>
            <w:r w:rsidRPr="00567D48">
              <w:rPr>
                <w:rFonts w:asciiTheme="minorHAnsi" w:hAnsiTheme="minorHAnsi" w:cs="Arial"/>
                <w:snapToGrid w:val="0"/>
                <w:sz w:val="18"/>
                <w:szCs w:val="18"/>
                <w:lang w:val="en-GB"/>
              </w:rPr>
              <w:t>The economic analysis was highly uncertain, and the incremental cost-effectiveness ratio was likely underestimated. A revised model, with a price reduction and reduced time horizon, would be required for PBAC decision making. Additionally, the sponsor would be required to provide further evidence that a proposed expenditure cap could be realised in practice, as this was critical to the resubmission’s cost-effectiveness estimates and financial impact.</w:t>
            </w:r>
          </w:p>
        </w:tc>
      </w:tr>
      <w:tr w:rsidR="00B84439" w:rsidRPr="00567D48" w14:paraId="6744E8A7" w14:textId="77777777" w:rsidTr="00F00B7A">
        <w:trPr>
          <w:cantSplit/>
          <w:trHeight w:val="574"/>
        </w:trPr>
        <w:tc>
          <w:tcPr>
            <w:tcW w:w="2972" w:type="dxa"/>
            <w:vMerge/>
            <w:shd w:val="clear" w:color="auto" w:fill="auto"/>
            <w:tcMar>
              <w:top w:w="28" w:type="dxa"/>
              <w:bottom w:w="28" w:type="dxa"/>
            </w:tcMar>
            <w:vAlign w:val="center"/>
          </w:tcPr>
          <w:p w14:paraId="7B525DB5" w14:textId="77777777" w:rsidR="00B84439" w:rsidRPr="00567D48" w:rsidRDefault="00B84439" w:rsidP="00124585">
            <w:pPr>
              <w:keepLines/>
              <w:spacing w:after="120"/>
              <w:rPr>
                <w:rFonts w:asciiTheme="minorHAnsi" w:hAnsiTheme="minorHAnsi" w:cs="Arial"/>
                <w:color w:val="000000"/>
                <w:sz w:val="18"/>
                <w:szCs w:val="18"/>
              </w:rPr>
            </w:pPr>
          </w:p>
        </w:tc>
        <w:tc>
          <w:tcPr>
            <w:tcW w:w="2491" w:type="dxa"/>
            <w:vMerge/>
            <w:shd w:val="clear" w:color="auto" w:fill="auto"/>
            <w:vAlign w:val="center"/>
          </w:tcPr>
          <w:p w14:paraId="21E1D241" w14:textId="77777777" w:rsidR="00B84439" w:rsidRPr="00567D48" w:rsidRDefault="00B84439" w:rsidP="00124585">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6F4BD7DC" w14:textId="77777777" w:rsidR="00B84439" w:rsidRPr="00567D48" w:rsidRDefault="00B84439" w:rsidP="00124585">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4BA5015E" w14:textId="77777777" w:rsidR="00B84439" w:rsidRPr="00567D48" w:rsidRDefault="00B84439" w:rsidP="00124585">
            <w:pPr>
              <w:pStyle w:val="ListParagraph"/>
              <w:keepLines/>
              <w:spacing w:after="120"/>
              <w:ind w:left="0"/>
              <w:rPr>
                <w:rFonts w:asciiTheme="minorHAnsi" w:hAnsiTheme="minorHAnsi" w:cs="Arial"/>
                <w:color w:val="000000"/>
                <w:sz w:val="18"/>
                <w:szCs w:val="18"/>
              </w:rPr>
            </w:pPr>
          </w:p>
        </w:tc>
        <w:tc>
          <w:tcPr>
            <w:tcW w:w="0" w:type="auto"/>
            <w:shd w:val="clear" w:color="auto" w:fill="auto"/>
            <w:vAlign w:val="center"/>
          </w:tcPr>
          <w:p w14:paraId="1432431A" w14:textId="53D33433" w:rsidR="00B84439" w:rsidRPr="00567D48" w:rsidRDefault="00B84439"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sz w:val="18"/>
                <w:szCs w:val="18"/>
                <w:u w:val="single"/>
                <w:lang w:val="en-GB" w:eastAsia="en-US"/>
              </w:rPr>
              <w:t>Sponsor’s comment</w:t>
            </w:r>
            <w:r w:rsidRPr="00567D48">
              <w:rPr>
                <w:rFonts w:asciiTheme="minorHAnsi" w:hAnsiTheme="minorHAnsi" w:cs="Arial"/>
                <w:sz w:val="18"/>
                <w:szCs w:val="18"/>
                <w:lang w:val="en-GB" w:eastAsia="en-US"/>
              </w:rPr>
              <w:t>: The sponsor had no comment.</w:t>
            </w:r>
          </w:p>
        </w:tc>
      </w:tr>
      <w:tr w:rsidR="00124585" w:rsidRPr="00567D48" w14:paraId="762DD79B" w14:textId="77777777" w:rsidTr="00F00B7A">
        <w:trPr>
          <w:cantSplit/>
          <w:trHeight w:val="574"/>
        </w:trPr>
        <w:tc>
          <w:tcPr>
            <w:tcW w:w="2972" w:type="dxa"/>
            <w:shd w:val="clear" w:color="auto" w:fill="auto"/>
            <w:tcMar>
              <w:top w:w="28" w:type="dxa"/>
              <w:bottom w:w="28" w:type="dxa"/>
            </w:tcMar>
            <w:vAlign w:val="center"/>
          </w:tcPr>
          <w:p w14:paraId="54896F87" w14:textId="5CAC5A89" w:rsidR="00124585" w:rsidRPr="00567D48" w:rsidRDefault="00124585"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ADALIMUMAB</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Injection 40 mg in 0.8 mL pre-filled pen</w:t>
            </w:r>
            <w:r w:rsidRPr="00567D48">
              <w:rPr>
                <w:rFonts w:asciiTheme="minorHAnsi" w:hAnsiTheme="minorHAnsi" w:cs="Arial"/>
                <w:color w:val="000000"/>
                <w:sz w:val="18"/>
                <w:szCs w:val="18"/>
              </w:rPr>
              <w:br/>
              <w:t>Injection 40 mg in 0.8 mL pre-filled syringe</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Hulio</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Alphapharm</w:t>
            </w:r>
            <w:proofErr w:type="spellEnd"/>
            <w:r w:rsidRPr="00567D48">
              <w:rPr>
                <w:rFonts w:asciiTheme="minorHAnsi" w:hAnsiTheme="minorHAnsi" w:cs="Arial"/>
                <w:color w:val="000000"/>
                <w:sz w:val="18"/>
                <w:szCs w:val="18"/>
              </w:rPr>
              <w:t xml:space="preserve">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3 submission</w:t>
            </w:r>
            <w:r w:rsidRPr="00567D48">
              <w:rPr>
                <w:rFonts w:asciiTheme="minorHAnsi" w:hAnsiTheme="minorHAnsi" w:cs="Arial"/>
                <w:color w:val="000000"/>
                <w:sz w:val="18"/>
                <w:szCs w:val="18"/>
              </w:rPr>
              <w:br/>
              <w:t>(New PBS listing)</w:t>
            </w:r>
          </w:p>
        </w:tc>
        <w:tc>
          <w:tcPr>
            <w:tcW w:w="2491" w:type="dxa"/>
            <w:shd w:val="clear" w:color="auto" w:fill="auto"/>
            <w:vAlign w:val="center"/>
          </w:tcPr>
          <w:p w14:paraId="37886C3B" w14:textId="280E30B1" w:rsidR="00124585" w:rsidRPr="00567D48" w:rsidRDefault="00124585"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Severe Crohn disease;</w:t>
            </w:r>
            <w:r w:rsidRPr="00567D48">
              <w:rPr>
                <w:rFonts w:asciiTheme="minorHAnsi" w:hAnsiTheme="minorHAnsi" w:cs="Arial"/>
                <w:color w:val="000000"/>
                <w:sz w:val="18"/>
                <w:szCs w:val="18"/>
              </w:rPr>
              <w:br/>
              <w:t>Moderate to severe ulcerative colitis;</w:t>
            </w:r>
            <w:r w:rsidRPr="00567D48">
              <w:rPr>
                <w:rFonts w:asciiTheme="minorHAnsi" w:hAnsiTheme="minorHAnsi" w:cs="Arial"/>
                <w:color w:val="000000"/>
                <w:sz w:val="18"/>
                <w:szCs w:val="18"/>
              </w:rPr>
              <w:br/>
              <w:t xml:space="preserve">Severe active juvenile idiopathic </w:t>
            </w:r>
            <w:r w:rsidRPr="00567D48">
              <w:rPr>
                <w:rFonts w:asciiTheme="minorHAnsi" w:hAnsiTheme="minorHAnsi" w:cs="Arial"/>
                <w:color w:val="000000"/>
                <w:sz w:val="18"/>
                <w:szCs w:val="18"/>
              </w:rPr>
              <w:br/>
              <w:t>arthritis;</w:t>
            </w:r>
            <w:r w:rsidRPr="00567D48">
              <w:rPr>
                <w:rFonts w:asciiTheme="minorHAnsi" w:hAnsiTheme="minorHAnsi" w:cs="Arial"/>
                <w:color w:val="000000"/>
                <w:sz w:val="18"/>
                <w:szCs w:val="18"/>
              </w:rPr>
              <w:br/>
              <w:t xml:space="preserve">Complex refractory fistulising Crohn </w:t>
            </w:r>
            <w:r w:rsidRPr="00567D48">
              <w:rPr>
                <w:rFonts w:asciiTheme="minorHAnsi" w:hAnsiTheme="minorHAnsi" w:cs="Arial"/>
                <w:color w:val="000000"/>
                <w:sz w:val="18"/>
                <w:szCs w:val="18"/>
              </w:rPr>
              <w:br/>
              <w:t>disease;</w:t>
            </w:r>
            <w:r w:rsidRPr="00567D48">
              <w:rPr>
                <w:rFonts w:asciiTheme="minorHAnsi" w:hAnsiTheme="minorHAnsi" w:cs="Arial"/>
                <w:color w:val="000000"/>
                <w:sz w:val="18"/>
                <w:szCs w:val="18"/>
              </w:rPr>
              <w:br/>
              <w:t>Severe active rheumatoid arthritis;</w:t>
            </w:r>
            <w:r w:rsidRPr="00567D48">
              <w:rPr>
                <w:rFonts w:asciiTheme="minorHAnsi" w:hAnsiTheme="minorHAnsi" w:cs="Arial"/>
                <w:color w:val="000000"/>
                <w:sz w:val="18"/>
                <w:szCs w:val="18"/>
              </w:rPr>
              <w:br/>
              <w:t>Severe psoriatic arthritis;</w:t>
            </w:r>
            <w:r w:rsidRPr="00567D48">
              <w:rPr>
                <w:rFonts w:asciiTheme="minorHAnsi" w:hAnsiTheme="minorHAnsi" w:cs="Arial"/>
                <w:color w:val="000000"/>
                <w:sz w:val="18"/>
                <w:szCs w:val="18"/>
              </w:rPr>
              <w:br/>
              <w:t>Ankylosing spondylitis;</w:t>
            </w:r>
            <w:r w:rsidRPr="00567D48">
              <w:rPr>
                <w:rFonts w:asciiTheme="minorHAnsi" w:hAnsiTheme="minorHAnsi" w:cs="Arial"/>
                <w:color w:val="000000"/>
                <w:sz w:val="18"/>
                <w:szCs w:val="18"/>
              </w:rPr>
              <w:br/>
              <w:t>Severe chronic plaque psoriasis;</w:t>
            </w:r>
            <w:r w:rsidRPr="00567D48">
              <w:rPr>
                <w:rFonts w:asciiTheme="minorHAnsi" w:hAnsiTheme="minorHAnsi" w:cs="Arial"/>
                <w:color w:val="000000"/>
                <w:sz w:val="18"/>
                <w:szCs w:val="18"/>
              </w:rPr>
              <w:br/>
              <w:t xml:space="preserve">Moderate to severe hidradenitis </w:t>
            </w:r>
            <w:r w:rsidRPr="00567D48">
              <w:rPr>
                <w:rFonts w:asciiTheme="minorHAnsi" w:hAnsiTheme="minorHAnsi" w:cs="Arial"/>
                <w:color w:val="000000"/>
                <w:sz w:val="18"/>
                <w:szCs w:val="18"/>
              </w:rPr>
              <w:br/>
              <w:t>suppurativa.</w:t>
            </w:r>
          </w:p>
        </w:tc>
        <w:tc>
          <w:tcPr>
            <w:tcW w:w="0" w:type="auto"/>
            <w:shd w:val="clear" w:color="auto" w:fill="auto"/>
            <w:tcMar>
              <w:top w:w="28" w:type="dxa"/>
              <w:bottom w:w="28" w:type="dxa"/>
            </w:tcMar>
            <w:vAlign w:val="center"/>
          </w:tcPr>
          <w:p w14:paraId="07ACD347" w14:textId="08EC9807"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listing of adalimumab biosimilar under the same conditions as its reference biologic.</w:t>
            </w:r>
          </w:p>
        </w:tc>
        <w:tc>
          <w:tcPr>
            <w:tcW w:w="0" w:type="auto"/>
            <w:shd w:val="clear" w:color="auto" w:fill="auto"/>
            <w:vAlign w:val="center"/>
          </w:tcPr>
          <w:p w14:paraId="0C31F4FB" w14:textId="0F0C0F0D"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738FFEC6" w14:textId="65D7C4B4" w:rsidR="00124585" w:rsidRPr="00567D48" w:rsidRDefault="00124585" w:rsidP="00124585">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The PBAC recommended the Authority Required listing of adalimumab (</w:t>
            </w:r>
            <w:proofErr w:type="spellStart"/>
            <w:r w:rsidRPr="00567D48">
              <w:rPr>
                <w:rFonts w:asciiTheme="minorHAnsi" w:hAnsiTheme="minorHAnsi" w:cs="Arial"/>
                <w:color w:val="000000"/>
                <w:sz w:val="18"/>
                <w:szCs w:val="18"/>
              </w:rPr>
              <w:t>Hulio</w:t>
            </w:r>
            <w:proofErr w:type="spellEnd"/>
            <w:r w:rsidRPr="00567D48">
              <w:rPr>
                <w:rFonts w:asciiTheme="minorHAnsi" w:hAnsiTheme="minorHAnsi" w:cs="Arial"/>
                <w:color w:val="000000"/>
                <w:sz w:val="18"/>
                <w:szCs w:val="18"/>
              </w:rPr>
              <w:t xml:space="preserve">) in the form of 40 mg in 0.8 mL pre-filled syringe and pre-filled pen as a biosimilar brand of Humira®. The PBAC’s recommendation for listing was based on, among other matters, its assessment that the cost-effectiveness of </w:t>
            </w:r>
            <w:proofErr w:type="spellStart"/>
            <w:r w:rsidRPr="00567D48">
              <w:rPr>
                <w:rFonts w:asciiTheme="minorHAnsi" w:hAnsiTheme="minorHAnsi" w:cs="Arial"/>
                <w:color w:val="000000"/>
                <w:sz w:val="18"/>
                <w:szCs w:val="18"/>
              </w:rPr>
              <w:t>Hulio</w:t>
            </w:r>
            <w:proofErr w:type="spellEnd"/>
            <w:r w:rsidRPr="00567D48">
              <w:rPr>
                <w:rFonts w:asciiTheme="minorHAnsi" w:hAnsiTheme="minorHAnsi" w:cs="Arial"/>
                <w:color w:val="000000"/>
                <w:sz w:val="18"/>
                <w:szCs w:val="18"/>
              </w:rPr>
              <w:t xml:space="preserve"> would be acceptable if it were cost-minimised to Humira for the same indications. The PBAC advised that, </w:t>
            </w:r>
            <w:proofErr w:type="spellStart"/>
            <w:r w:rsidRPr="00567D48">
              <w:rPr>
                <w:rFonts w:asciiTheme="minorHAnsi" w:hAnsiTheme="minorHAnsi" w:cs="Arial"/>
                <w:color w:val="000000"/>
                <w:sz w:val="18"/>
                <w:szCs w:val="18"/>
              </w:rPr>
              <w:t>Abrilada</w:t>
            </w:r>
            <w:proofErr w:type="spellEnd"/>
            <w:r w:rsidRPr="00567D48">
              <w:rPr>
                <w:rFonts w:asciiTheme="minorHAnsi" w:hAnsiTheme="minorHAnsi" w:cs="Arial"/>
                <w:color w:val="000000"/>
                <w:sz w:val="18"/>
                <w:szCs w:val="18"/>
              </w:rPr>
              <w:t xml:space="preserve">®, </w:t>
            </w:r>
            <w:proofErr w:type="spellStart"/>
            <w:r w:rsidRPr="00567D48">
              <w:rPr>
                <w:rFonts w:asciiTheme="minorHAnsi" w:hAnsiTheme="minorHAnsi" w:cs="Arial"/>
                <w:color w:val="000000"/>
                <w:sz w:val="18"/>
                <w:szCs w:val="18"/>
              </w:rPr>
              <w:t>Amgevita</w:t>
            </w:r>
            <w:proofErr w:type="spellEnd"/>
            <w:r w:rsidRPr="00567D48">
              <w:rPr>
                <w:rFonts w:asciiTheme="minorHAnsi" w:hAnsiTheme="minorHAnsi" w:cs="Arial"/>
                <w:color w:val="000000"/>
                <w:sz w:val="18"/>
                <w:szCs w:val="18"/>
              </w:rPr>
              <w:t xml:space="preserve">®, </w:t>
            </w:r>
            <w:proofErr w:type="spellStart"/>
            <w:r w:rsidRPr="00567D48">
              <w:rPr>
                <w:rFonts w:asciiTheme="minorHAnsi" w:hAnsiTheme="minorHAnsi" w:cs="Arial"/>
                <w:color w:val="000000"/>
                <w:sz w:val="18"/>
                <w:szCs w:val="18"/>
              </w:rPr>
              <w:t>Hadlima</w:t>
            </w:r>
            <w:proofErr w:type="spellEnd"/>
            <w:r w:rsidRPr="00567D48">
              <w:rPr>
                <w:rFonts w:asciiTheme="minorHAnsi" w:hAnsiTheme="minorHAnsi" w:cs="Arial"/>
                <w:color w:val="000000"/>
                <w:sz w:val="18"/>
                <w:szCs w:val="18"/>
              </w:rPr>
              <w:t xml:space="preserve">®, </w:t>
            </w:r>
            <w:proofErr w:type="spellStart"/>
            <w:r w:rsidRPr="00567D48">
              <w:rPr>
                <w:rFonts w:asciiTheme="minorHAnsi" w:hAnsiTheme="minorHAnsi" w:cs="Arial"/>
                <w:color w:val="000000"/>
                <w:sz w:val="18"/>
                <w:szCs w:val="18"/>
              </w:rPr>
              <w:t>Hulio</w:t>
            </w:r>
            <w:proofErr w:type="spellEnd"/>
            <w:r w:rsidRPr="00567D48">
              <w:rPr>
                <w:rFonts w:asciiTheme="minorHAnsi" w:hAnsiTheme="minorHAnsi" w:cs="Arial"/>
                <w:color w:val="000000"/>
                <w:sz w:val="18"/>
                <w:szCs w:val="18"/>
              </w:rPr>
              <w:t xml:space="preserve">, Humira, </w:t>
            </w:r>
            <w:proofErr w:type="spellStart"/>
            <w:r w:rsidRPr="00567D48">
              <w:rPr>
                <w:rFonts w:asciiTheme="minorHAnsi" w:hAnsiTheme="minorHAnsi" w:cs="Arial"/>
                <w:color w:val="000000"/>
                <w:sz w:val="18"/>
                <w:szCs w:val="18"/>
              </w:rPr>
              <w:t>Hyrimoz</w:t>
            </w:r>
            <w:proofErr w:type="spellEnd"/>
            <w:r w:rsidRPr="00567D48">
              <w:rPr>
                <w:rFonts w:asciiTheme="minorHAnsi" w:hAnsiTheme="minorHAnsi" w:cs="Arial"/>
                <w:color w:val="000000"/>
                <w:sz w:val="18"/>
                <w:szCs w:val="18"/>
              </w:rPr>
              <w:t xml:space="preserve">® and </w:t>
            </w:r>
            <w:proofErr w:type="spellStart"/>
            <w:r w:rsidRPr="00567D48">
              <w:rPr>
                <w:rFonts w:asciiTheme="minorHAnsi" w:hAnsiTheme="minorHAnsi" w:cs="Arial"/>
                <w:color w:val="000000"/>
                <w:sz w:val="18"/>
                <w:szCs w:val="18"/>
              </w:rPr>
              <w:t>Idacio</w:t>
            </w:r>
            <w:proofErr w:type="spellEnd"/>
            <w:r w:rsidRPr="00567D48">
              <w:rPr>
                <w:rFonts w:asciiTheme="minorHAnsi" w:hAnsiTheme="minorHAnsi" w:cs="Arial"/>
                <w:color w:val="000000"/>
                <w:sz w:val="18"/>
                <w:szCs w:val="18"/>
              </w:rPr>
              <w:t xml:space="preserve">® PFS should be treated as equivalent to each other; and </w:t>
            </w:r>
            <w:proofErr w:type="spellStart"/>
            <w:r w:rsidRPr="00567D48">
              <w:rPr>
                <w:rFonts w:asciiTheme="minorHAnsi" w:hAnsiTheme="minorHAnsi" w:cs="Arial"/>
                <w:color w:val="000000"/>
                <w:sz w:val="18"/>
                <w:szCs w:val="18"/>
              </w:rPr>
              <w:t>Abrilada</w:t>
            </w:r>
            <w:proofErr w:type="spellEnd"/>
            <w:r w:rsidRPr="00567D48">
              <w:rPr>
                <w:rFonts w:asciiTheme="minorHAnsi" w:hAnsiTheme="minorHAnsi" w:cs="Arial"/>
                <w:color w:val="000000"/>
                <w:sz w:val="18"/>
                <w:szCs w:val="18"/>
              </w:rPr>
              <w:t xml:space="preserve">, </w:t>
            </w:r>
            <w:proofErr w:type="spellStart"/>
            <w:r w:rsidRPr="00567D48">
              <w:rPr>
                <w:rFonts w:asciiTheme="minorHAnsi" w:hAnsiTheme="minorHAnsi" w:cs="Arial"/>
                <w:color w:val="000000"/>
                <w:sz w:val="18"/>
                <w:szCs w:val="18"/>
              </w:rPr>
              <w:t>Amgevita</w:t>
            </w:r>
            <w:proofErr w:type="spellEnd"/>
            <w:r w:rsidRPr="00567D48">
              <w:rPr>
                <w:rFonts w:asciiTheme="minorHAnsi" w:hAnsiTheme="minorHAnsi" w:cs="Arial"/>
                <w:color w:val="000000"/>
                <w:sz w:val="18"/>
                <w:szCs w:val="18"/>
              </w:rPr>
              <w:t xml:space="preserve">, </w:t>
            </w:r>
            <w:proofErr w:type="spellStart"/>
            <w:r w:rsidRPr="00567D48">
              <w:rPr>
                <w:rFonts w:asciiTheme="minorHAnsi" w:hAnsiTheme="minorHAnsi" w:cs="Arial"/>
                <w:color w:val="000000"/>
                <w:sz w:val="18"/>
                <w:szCs w:val="18"/>
              </w:rPr>
              <w:t>Hadlima</w:t>
            </w:r>
            <w:proofErr w:type="spellEnd"/>
            <w:r w:rsidRPr="00567D48">
              <w:rPr>
                <w:rFonts w:asciiTheme="minorHAnsi" w:hAnsiTheme="minorHAnsi" w:cs="Arial"/>
                <w:color w:val="000000"/>
                <w:sz w:val="18"/>
                <w:szCs w:val="18"/>
              </w:rPr>
              <w:t xml:space="preserve">, </w:t>
            </w:r>
            <w:proofErr w:type="spellStart"/>
            <w:r w:rsidRPr="00567D48">
              <w:rPr>
                <w:rFonts w:asciiTheme="minorHAnsi" w:hAnsiTheme="minorHAnsi" w:cs="Arial"/>
                <w:color w:val="000000"/>
                <w:sz w:val="18"/>
                <w:szCs w:val="18"/>
              </w:rPr>
              <w:t>Hulio</w:t>
            </w:r>
            <w:proofErr w:type="spellEnd"/>
            <w:r w:rsidRPr="00567D48">
              <w:rPr>
                <w:rFonts w:asciiTheme="minorHAnsi" w:hAnsiTheme="minorHAnsi" w:cs="Arial"/>
                <w:color w:val="000000"/>
                <w:sz w:val="18"/>
                <w:szCs w:val="18"/>
              </w:rPr>
              <w:t xml:space="preserve">, Humira, </w:t>
            </w:r>
            <w:proofErr w:type="spellStart"/>
            <w:r w:rsidRPr="00567D48">
              <w:rPr>
                <w:rFonts w:asciiTheme="minorHAnsi" w:hAnsiTheme="minorHAnsi" w:cs="Arial"/>
                <w:color w:val="000000"/>
                <w:sz w:val="18"/>
                <w:szCs w:val="18"/>
              </w:rPr>
              <w:t>Hyrimoz</w:t>
            </w:r>
            <w:proofErr w:type="spellEnd"/>
            <w:r w:rsidRPr="00567D48">
              <w:rPr>
                <w:rFonts w:asciiTheme="minorHAnsi" w:hAnsiTheme="minorHAnsi" w:cs="Arial"/>
                <w:color w:val="000000"/>
                <w:sz w:val="18"/>
                <w:szCs w:val="18"/>
              </w:rPr>
              <w:t xml:space="preserve"> and </w:t>
            </w:r>
            <w:proofErr w:type="spellStart"/>
            <w:r w:rsidRPr="00567D48">
              <w:rPr>
                <w:rFonts w:asciiTheme="minorHAnsi" w:hAnsiTheme="minorHAnsi" w:cs="Arial"/>
                <w:color w:val="000000"/>
                <w:sz w:val="18"/>
                <w:szCs w:val="18"/>
              </w:rPr>
              <w:t>Idacio</w:t>
            </w:r>
            <w:proofErr w:type="spellEnd"/>
            <w:r w:rsidRPr="00567D48">
              <w:rPr>
                <w:rFonts w:asciiTheme="minorHAnsi" w:hAnsiTheme="minorHAnsi" w:cs="Arial"/>
                <w:color w:val="000000"/>
                <w:sz w:val="18"/>
                <w:szCs w:val="18"/>
              </w:rPr>
              <w:t xml:space="preserve"> PFP should be treated as equivalent to each other for the purpose of substitution.</w:t>
            </w:r>
          </w:p>
        </w:tc>
      </w:tr>
      <w:tr w:rsidR="00124585" w:rsidRPr="00567D48" w14:paraId="12A25018" w14:textId="77777777" w:rsidTr="00F00B7A">
        <w:trPr>
          <w:cantSplit/>
          <w:trHeight w:val="574"/>
        </w:trPr>
        <w:tc>
          <w:tcPr>
            <w:tcW w:w="2972" w:type="dxa"/>
            <w:shd w:val="clear" w:color="auto" w:fill="auto"/>
            <w:tcMar>
              <w:top w:w="28" w:type="dxa"/>
              <w:bottom w:w="28" w:type="dxa"/>
            </w:tcMar>
            <w:vAlign w:val="center"/>
          </w:tcPr>
          <w:p w14:paraId="2DFAF251" w14:textId="1BE17695" w:rsidR="00124585" w:rsidRPr="00567D48" w:rsidRDefault="00124585"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t>ADALIMUMAB</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Injection 80 mg in 0.8 mL pre-filled syringe</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Humira®</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AbbVie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4 submission</w:t>
            </w:r>
            <w:r w:rsidRPr="00567D48">
              <w:rPr>
                <w:rFonts w:asciiTheme="minorHAnsi" w:hAnsiTheme="minorHAnsi" w:cs="Arial"/>
                <w:color w:val="000000"/>
                <w:sz w:val="18"/>
                <w:szCs w:val="18"/>
              </w:rPr>
              <w:br/>
              <w:t>(Change to listing)</w:t>
            </w:r>
            <w:r w:rsidRPr="00567D48">
              <w:rPr>
                <w:rFonts w:asciiTheme="minorHAnsi" w:hAnsiTheme="minorHAnsi" w:cs="Arial"/>
                <w:color w:val="000000"/>
                <w:sz w:val="18"/>
                <w:szCs w:val="18"/>
              </w:rPr>
              <w:br/>
            </w:r>
          </w:p>
        </w:tc>
        <w:tc>
          <w:tcPr>
            <w:tcW w:w="2491" w:type="dxa"/>
            <w:shd w:val="clear" w:color="auto" w:fill="auto"/>
            <w:vAlign w:val="center"/>
          </w:tcPr>
          <w:p w14:paraId="0F2EDDE7" w14:textId="338EF437" w:rsidR="00124585" w:rsidRPr="00567D48" w:rsidRDefault="00124585"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Severe Crohn disease;</w:t>
            </w:r>
            <w:r w:rsidRPr="00567D48">
              <w:rPr>
                <w:rFonts w:asciiTheme="minorHAnsi" w:hAnsiTheme="minorHAnsi" w:cs="Arial"/>
                <w:color w:val="000000"/>
                <w:sz w:val="18"/>
                <w:szCs w:val="18"/>
              </w:rPr>
              <w:br/>
              <w:t xml:space="preserve">Moderate to severe ulcerative colitis. </w:t>
            </w:r>
          </w:p>
        </w:tc>
        <w:tc>
          <w:tcPr>
            <w:tcW w:w="0" w:type="auto"/>
            <w:shd w:val="clear" w:color="auto" w:fill="auto"/>
            <w:tcMar>
              <w:top w:w="28" w:type="dxa"/>
              <w:bottom w:w="28" w:type="dxa"/>
            </w:tcMar>
            <w:vAlign w:val="center"/>
          </w:tcPr>
          <w:p w14:paraId="14039D8B" w14:textId="0E3BC3C4"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General Schedule Authority Required listing of an additional strength of adalimumab as an induction dose for patients weighing less than 40 kg with Crohn disease or ulcerative colitis.</w:t>
            </w:r>
          </w:p>
        </w:tc>
        <w:tc>
          <w:tcPr>
            <w:tcW w:w="0" w:type="auto"/>
            <w:shd w:val="clear" w:color="auto" w:fill="auto"/>
            <w:vAlign w:val="center"/>
          </w:tcPr>
          <w:p w14:paraId="69BFA0EE" w14:textId="25D1EB41"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778DB694" w14:textId="14A34320" w:rsidR="00124585" w:rsidRPr="00567D48" w:rsidRDefault="00124585" w:rsidP="00124585">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The PBAC recommended Authority Required listings of adalimumab 80 mg/0.8 mL pre-filled syringe (PFS) (1 pack) as an induction dose for patients with moderate to severe ulcerative colitis or severe Crohn disease weighing less than 40 kg on the basis of cost neutrality with the existing listings of adalimumab 40 mg PFS (2 pack). The PBAC accepted that availability of adalimumab 80 mg/0.8 mL PFS on the PBS will provide an alternative treatment course for this patient population in which patients will require only one 80 mg injection instead of two 40 mg injections at</w:t>
            </w:r>
            <w:r w:rsidR="000017CE" w:rsidRPr="00567D48">
              <w:rPr>
                <w:rFonts w:asciiTheme="minorHAnsi" w:hAnsiTheme="minorHAnsi" w:cs="Arial"/>
                <w:color w:val="000000"/>
                <w:sz w:val="18"/>
                <w:szCs w:val="18"/>
              </w:rPr>
              <w:t xml:space="preserve"> induction of their treatment.</w:t>
            </w:r>
          </w:p>
        </w:tc>
      </w:tr>
      <w:tr w:rsidR="00B84439" w:rsidRPr="00567D48" w14:paraId="060E4AFF" w14:textId="77777777" w:rsidTr="00F00B7A">
        <w:trPr>
          <w:cantSplit/>
          <w:trHeight w:val="2166"/>
        </w:trPr>
        <w:tc>
          <w:tcPr>
            <w:tcW w:w="2972" w:type="dxa"/>
            <w:vMerge w:val="restart"/>
            <w:shd w:val="clear" w:color="auto" w:fill="auto"/>
            <w:tcMar>
              <w:top w:w="28" w:type="dxa"/>
              <w:bottom w:w="28" w:type="dxa"/>
            </w:tcMar>
            <w:vAlign w:val="center"/>
          </w:tcPr>
          <w:p w14:paraId="4A912795" w14:textId="2F97E22A" w:rsidR="00B84439" w:rsidRPr="00567D48" w:rsidRDefault="00B84439"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 xml:space="preserve">AMIFAMPRIDINE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Tablet 10 mg</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Ruzurgi</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 xml:space="preserve">The Trustee For </w:t>
            </w:r>
            <w:proofErr w:type="spellStart"/>
            <w:r w:rsidRPr="00567D48">
              <w:rPr>
                <w:rFonts w:asciiTheme="minorHAnsi" w:hAnsiTheme="minorHAnsi" w:cs="Arial"/>
                <w:color w:val="000000"/>
                <w:sz w:val="18"/>
                <w:szCs w:val="18"/>
              </w:rPr>
              <w:t>Orspec</w:t>
            </w:r>
            <w:proofErr w:type="spellEnd"/>
            <w:r w:rsidRPr="00567D48">
              <w:rPr>
                <w:rFonts w:asciiTheme="minorHAnsi" w:hAnsiTheme="minorHAnsi" w:cs="Arial"/>
                <w:color w:val="000000"/>
                <w:sz w:val="18"/>
                <w:szCs w:val="18"/>
              </w:rPr>
              <w:t xml:space="preserve"> Pharma Unit Trust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1 submission</w:t>
            </w:r>
            <w:r w:rsidRPr="00567D48">
              <w:rPr>
                <w:rFonts w:asciiTheme="minorHAnsi" w:hAnsiTheme="minorHAnsi" w:cs="Arial"/>
                <w:color w:val="000000"/>
                <w:sz w:val="18"/>
                <w:szCs w:val="18"/>
              </w:rPr>
              <w:br/>
              <w:t>(New PBS listing)</w:t>
            </w:r>
          </w:p>
        </w:tc>
        <w:tc>
          <w:tcPr>
            <w:tcW w:w="2491" w:type="dxa"/>
            <w:vMerge w:val="restart"/>
            <w:shd w:val="clear" w:color="auto" w:fill="auto"/>
            <w:vAlign w:val="center"/>
          </w:tcPr>
          <w:p w14:paraId="3DA85034" w14:textId="70CC3714" w:rsidR="00B84439" w:rsidRPr="00567D48" w:rsidRDefault="00B84439"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Lambert-Eaton myasthenic syndrome</w:t>
            </w:r>
          </w:p>
        </w:tc>
        <w:tc>
          <w:tcPr>
            <w:tcW w:w="0" w:type="auto"/>
            <w:vMerge w:val="restart"/>
            <w:shd w:val="clear" w:color="auto" w:fill="auto"/>
            <w:tcMar>
              <w:top w:w="28" w:type="dxa"/>
              <w:bottom w:w="28" w:type="dxa"/>
            </w:tcMar>
            <w:vAlign w:val="center"/>
          </w:tcPr>
          <w:p w14:paraId="7D19A2E5" w14:textId="6569E197" w:rsidR="00B84439" w:rsidRPr="00567D48" w:rsidRDefault="00B84439"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a General Schedule Authority Required (Written) listing for the treatment of Lambert-Eaton myasthenic syndrome in adults and children aged six years and above.</w:t>
            </w:r>
          </w:p>
        </w:tc>
        <w:tc>
          <w:tcPr>
            <w:tcW w:w="0" w:type="auto"/>
            <w:vMerge w:val="restart"/>
            <w:shd w:val="clear" w:color="auto" w:fill="auto"/>
            <w:vAlign w:val="center"/>
          </w:tcPr>
          <w:p w14:paraId="5B8B1A62" w14:textId="2A004A47" w:rsidR="00B84439" w:rsidRPr="00567D48" w:rsidRDefault="00B84439"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Not Recommended</w:t>
            </w:r>
          </w:p>
        </w:tc>
        <w:tc>
          <w:tcPr>
            <w:tcW w:w="0" w:type="auto"/>
            <w:shd w:val="clear" w:color="auto" w:fill="auto"/>
            <w:vAlign w:val="bottom"/>
          </w:tcPr>
          <w:p w14:paraId="028010B9" w14:textId="741379C5" w:rsidR="00B84439" w:rsidRPr="00567D48" w:rsidRDefault="00B84439" w:rsidP="00124585">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snapToGrid w:val="0"/>
                <w:sz w:val="18"/>
                <w:szCs w:val="18"/>
                <w:lang w:eastAsia="en-US"/>
              </w:rPr>
              <w:t>The PBAC did not recommend the listing of amifampridine for the treatment of Lambert-Eaton myasthenic syndrome in adults and children aged 6 years and above. The PBAC noted the high clinical need for effective treatments for these patients. The PBAC considered that the submission’s claim of superior comparative effectiveness was reasonable, however the magnitude of the effect was uncertain due to the limitations of the available clinical evidence and the high risk of bias. The PBAC considered that amifampridine was inferior to placebo in terms of comparative safety. The PBAC considered the incremental cost effectiveness ratio was unacceptably high and uncertain at the proposed price. The PBAC nominated the Early Re-entry re-submission pathway for this item.</w:t>
            </w:r>
          </w:p>
        </w:tc>
      </w:tr>
      <w:tr w:rsidR="00B84439" w:rsidRPr="00567D48" w14:paraId="5DDC2174" w14:textId="77777777" w:rsidTr="00F00B7A">
        <w:trPr>
          <w:cantSplit/>
          <w:trHeight w:val="47"/>
        </w:trPr>
        <w:tc>
          <w:tcPr>
            <w:tcW w:w="2972" w:type="dxa"/>
            <w:vMerge/>
            <w:shd w:val="clear" w:color="auto" w:fill="auto"/>
            <w:tcMar>
              <w:top w:w="28" w:type="dxa"/>
              <w:bottom w:w="28" w:type="dxa"/>
            </w:tcMar>
            <w:vAlign w:val="center"/>
          </w:tcPr>
          <w:p w14:paraId="36BDCFBC" w14:textId="77777777" w:rsidR="00B84439" w:rsidRPr="00567D48" w:rsidRDefault="00B84439" w:rsidP="00124585">
            <w:pPr>
              <w:keepLines/>
              <w:spacing w:after="120"/>
              <w:rPr>
                <w:rFonts w:asciiTheme="minorHAnsi" w:hAnsiTheme="minorHAnsi" w:cs="Arial"/>
                <w:color w:val="000000"/>
                <w:sz w:val="18"/>
                <w:szCs w:val="18"/>
              </w:rPr>
            </w:pPr>
          </w:p>
        </w:tc>
        <w:tc>
          <w:tcPr>
            <w:tcW w:w="2491" w:type="dxa"/>
            <w:vMerge/>
            <w:shd w:val="clear" w:color="auto" w:fill="auto"/>
            <w:vAlign w:val="center"/>
          </w:tcPr>
          <w:p w14:paraId="2AD73551" w14:textId="77777777" w:rsidR="00B84439" w:rsidRPr="00567D48" w:rsidRDefault="00B84439" w:rsidP="00124585">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1D252BFC" w14:textId="77777777" w:rsidR="00B84439" w:rsidRPr="00567D48" w:rsidRDefault="00B84439" w:rsidP="00124585">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361527EE" w14:textId="77777777" w:rsidR="00B84439" w:rsidRPr="00567D48" w:rsidRDefault="00B84439" w:rsidP="00124585">
            <w:pPr>
              <w:pStyle w:val="ListParagraph"/>
              <w:keepLines/>
              <w:spacing w:after="120"/>
              <w:ind w:left="0"/>
              <w:rPr>
                <w:rFonts w:asciiTheme="minorHAnsi" w:hAnsiTheme="minorHAnsi" w:cs="Arial"/>
                <w:color w:val="000000"/>
                <w:sz w:val="18"/>
                <w:szCs w:val="18"/>
              </w:rPr>
            </w:pPr>
          </w:p>
        </w:tc>
        <w:tc>
          <w:tcPr>
            <w:tcW w:w="0" w:type="auto"/>
            <w:shd w:val="clear" w:color="auto" w:fill="auto"/>
            <w:vAlign w:val="center"/>
          </w:tcPr>
          <w:p w14:paraId="2A0CAE3F" w14:textId="77777777" w:rsidR="00B84439" w:rsidRPr="00567D48" w:rsidRDefault="00B84439" w:rsidP="00B84439">
            <w:pPr>
              <w:rPr>
                <w:rFonts w:asciiTheme="minorHAnsi" w:hAnsiTheme="minorHAnsi" w:cs="Arial"/>
                <w:snapToGrid w:val="0"/>
                <w:sz w:val="18"/>
                <w:szCs w:val="18"/>
                <w:lang w:eastAsia="en-US"/>
              </w:rPr>
            </w:pPr>
            <w:r w:rsidRPr="00567D48">
              <w:rPr>
                <w:rFonts w:asciiTheme="minorHAnsi" w:hAnsiTheme="minorHAnsi" w:cs="Arial"/>
                <w:snapToGrid w:val="0"/>
                <w:sz w:val="18"/>
                <w:szCs w:val="18"/>
                <w:u w:val="single"/>
                <w:lang w:eastAsia="en-US"/>
              </w:rPr>
              <w:t>Sponsor’s comment</w:t>
            </w:r>
            <w:r w:rsidRPr="00567D48">
              <w:rPr>
                <w:rFonts w:asciiTheme="minorHAnsi" w:hAnsiTheme="minorHAnsi" w:cs="Arial"/>
                <w:snapToGrid w:val="0"/>
                <w:sz w:val="18"/>
                <w:szCs w:val="18"/>
                <w:lang w:eastAsia="en-US"/>
              </w:rPr>
              <w:t>: The sponsor had no comment.</w:t>
            </w:r>
          </w:p>
          <w:p w14:paraId="64A9B6F1" w14:textId="7DB1D386" w:rsidR="00C92F67" w:rsidRPr="00567D48" w:rsidRDefault="00C92F67" w:rsidP="00B84439">
            <w:pPr>
              <w:rPr>
                <w:rFonts w:asciiTheme="minorHAnsi" w:hAnsiTheme="minorHAnsi" w:cs="Arial"/>
                <w:color w:val="000000"/>
                <w:sz w:val="18"/>
                <w:szCs w:val="18"/>
              </w:rPr>
            </w:pPr>
          </w:p>
        </w:tc>
      </w:tr>
      <w:tr w:rsidR="00895260" w:rsidRPr="00567D48" w14:paraId="53CB9DB4" w14:textId="77777777" w:rsidTr="00F00B7A">
        <w:trPr>
          <w:cantSplit/>
          <w:trHeight w:val="2256"/>
        </w:trPr>
        <w:tc>
          <w:tcPr>
            <w:tcW w:w="2972" w:type="dxa"/>
            <w:vMerge w:val="restart"/>
            <w:shd w:val="clear" w:color="auto" w:fill="auto"/>
            <w:tcMar>
              <w:top w:w="28" w:type="dxa"/>
              <w:bottom w:w="28" w:type="dxa"/>
            </w:tcMar>
            <w:vAlign w:val="center"/>
          </w:tcPr>
          <w:p w14:paraId="42CE2372" w14:textId="682E5943" w:rsidR="00895260" w:rsidRPr="00567D48" w:rsidRDefault="00895260"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t xml:space="preserve">APALUTAMIDE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Tablet 60 mg</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Erlyand</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Janssen-</w:t>
            </w:r>
            <w:proofErr w:type="spellStart"/>
            <w:r w:rsidRPr="00567D48">
              <w:rPr>
                <w:rFonts w:asciiTheme="minorHAnsi" w:hAnsiTheme="minorHAnsi" w:cs="Arial"/>
                <w:color w:val="000000"/>
                <w:sz w:val="18"/>
                <w:szCs w:val="18"/>
              </w:rPr>
              <w:t>Cilag</w:t>
            </w:r>
            <w:proofErr w:type="spellEnd"/>
            <w:r w:rsidRPr="00567D48">
              <w:rPr>
                <w:rFonts w:asciiTheme="minorHAnsi" w:hAnsiTheme="minorHAnsi" w:cs="Arial"/>
                <w:color w:val="000000"/>
                <w:sz w:val="18"/>
                <w:szCs w:val="18"/>
              </w:rPr>
              <w:t xml:space="preserve">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2 submission</w:t>
            </w:r>
            <w:r w:rsidRPr="00567D48">
              <w:rPr>
                <w:rFonts w:asciiTheme="minorHAnsi" w:hAnsiTheme="minorHAnsi" w:cs="Arial"/>
                <w:color w:val="000000"/>
                <w:sz w:val="18"/>
                <w:szCs w:val="18"/>
              </w:rPr>
              <w:br/>
              <w:t>(New PBS listing)</w:t>
            </w:r>
          </w:p>
        </w:tc>
        <w:tc>
          <w:tcPr>
            <w:tcW w:w="2491" w:type="dxa"/>
            <w:vMerge w:val="restart"/>
            <w:shd w:val="clear" w:color="auto" w:fill="auto"/>
            <w:vAlign w:val="center"/>
          </w:tcPr>
          <w:p w14:paraId="7932976A" w14:textId="55234684" w:rsidR="00895260" w:rsidRPr="00567D48" w:rsidRDefault="00895260"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Prostate cancer</w:t>
            </w:r>
          </w:p>
        </w:tc>
        <w:tc>
          <w:tcPr>
            <w:tcW w:w="0" w:type="auto"/>
            <w:vMerge w:val="restart"/>
            <w:shd w:val="clear" w:color="auto" w:fill="auto"/>
            <w:tcMar>
              <w:top w:w="28" w:type="dxa"/>
              <w:bottom w:w="28" w:type="dxa"/>
            </w:tcMar>
            <w:vAlign w:val="center"/>
          </w:tcPr>
          <w:p w14:paraId="24E7B6E5" w14:textId="4555145D" w:rsidR="00895260" w:rsidRPr="00567D48" w:rsidRDefault="00895260"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a General Schedule Authority Required listing for the treatment of patients with metastatic hormone-sensitive prostate cancer who have low-volume disease, or who have high-volume disease and are too frail for chemotherapy.</w:t>
            </w:r>
          </w:p>
        </w:tc>
        <w:tc>
          <w:tcPr>
            <w:tcW w:w="0" w:type="auto"/>
            <w:vMerge w:val="restart"/>
            <w:shd w:val="clear" w:color="auto" w:fill="auto"/>
            <w:vAlign w:val="center"/>
          </w:tcPr>
          <w:p w14:paraId="68602C8E" w14:textId="6BFB0887" w:rsidR="00895260" w:rsidRPr="00567D48" w:rsidRDefault="00895260"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Not Recommended</w:t>
            </w:r>
          </w:p>
        </w:tc>
        <w:tc>
          <w:tcPr>
            <w:tcW w:w="0" w:type="auto"/>
            <w:shd w:val="clear" w:color="auto" w:fill="auto"/>
            <w:vAlign w:val="bottom"/>
          </w:tcPr>
          <w:p w14:paraId="4C9A3AB9" w14:textId="2A33675D" w:rsidR="00895260" w:rsidRPr="00567D48" w:rsidRDefault="00895260" w:rsidP="00CE5CA9">
            <w:pPr>
              <w:rPr>
                <w:rFonts w:asciiTheme="minorHAnsi" w:hAnsiTheme="minorHAnsi" w:cs="Arial"/>
                <w:snapToGrid w:val="0"/>
                <w:sz w:val="18"/>
                <w:szCs w:val="18"/>
                <w:lang w:eastAsia="en-US"/>
              </w:rPr>
            </w:pPr>
            <w:r w:rsidRPr="00567D48">
              <w:rPr>
                <w:rFonts w:asciiTheme="minorHAnsi" w:hAnsiTheme="minorHAnsi" w:cs="Arial"/>
                <w:color w:val="000000"/>
                <w:sz w:val="18"/>
                <w:szCs w:val="18"/>
              </w:rPr>
              <w:t>The PBAC did not recommend apalutamide for the treatment of metastatic hormone sensitive prostate cancer (</w:t>
            </w:r>
            <w:proofErr w:type="spellStart"/>
            <w:r w:rsidRPr="00567D48">
              <w:rPr>
                <w:rFonts w:asciiTheme="minorHAnsi" w:hAnsiTheme="minorHAnsi" w:cs="Arial"/>
                <w:color w:val="000000"/>
                <w:sz w:val="18"/>
                <w:szCs w:val="18"/>
              </w:rPr>
              <w:t>mHSPC</w:t>
            </w:r>
            <w:proofErr w:type="spellEnd"/>
            <w:r w:rsidRPr="00567D48">
              <w:rPr>
                <w:rFonts w:asciiTheme="minorHAnsi" w:hAnsiTheme="minorHAnsi" w:cs="Arial"/>
                <w:color w:val="000000"/>
                <w:sz w:val="18"/>
                <w:szCs w:val="18"/>
              </w:rPr>
              <w:t xml:space="preserve">) in patients who have low volume (LV) disease, or high volume (HV) disease and who are unsuitable for chemotherapy. The PBAC noted that although apalutamide provides a moderate clinical benefit compared to androgen deprivation therapy alone for patients with </w:t>
            </w:r>
            <w:proofErr w:type="spellStart"/>
            <w:r w:rsidRPr="00567D48">
              <w:rPr>
                <w:rFonts w:asciiTheme="minorHAnsi" w:hAnsiTheme="minorHAnsi" w:cs="Arial"/>
                <w:color w:val="000000"/>
                <w:sz w:val="18"/>
                <w:szCs w:val="18"/>
              </w:rPr>
              <w:t>mHSPC</w:t>
            </w:r>
            <w:proofErr w:type="spellEnd"/>
            <w:r w:rsidRPr="00567D48">
              <w:rPr>
                <w:rFonts w:asciiTheme="minorHAnsi" w:hAnsiTheme="minorHAnsi" w:cs="Arial"/>
                <w:color w:val="000000"/>
                <w:sz w:val="18"/>
                <w:szCs w:val="18"/>
              </w:rPr>
              <w:t>, it considered that there were issues with the listed contraindications and comorbidities for docetaxel unsuitability in the proposed restriction for the HV population and hence, the comparator proposed. The PBAC considered that the incremental cost effectiveness ratios presented in the submission were highly uncertain and likely underestimated. In addition, the PBAC considered that the financial impact estimates were high and likely overestimated.</w:t>
            </w:r>
          </w:p>
        </w:tc>
      </w:tr>
      <w:tr w:rsidR="00895260" w:rsidRPr="00567D48" w14:paraId="30F06DAC" w14:textId="77777777" w:rsidTr="00F00B7A">
        <w:trPr>
          <w:cantSplit/>
          <w:trHeight w:val="1029"/>
        </w:trPr>
        <w:tc>
          <w:tcPr>
            <w:tcW w:w="2972" w:type="dxa"/>
            <w:vMerge/>
            <w:shd w:val="clear" w:color="auto" w:fill="auto"/>
            <w:tcMar>
              <w:top w:w="28" w:type="dxa"/>
              <w:bottom w:w="28" w:type="dxa"/>
            </w:tcMar>
            <w:vAlign w:val="center"/>
          </w:tcPr>
          <w:p w14:paraId="757CB6E6" w14:textId="77777777" w:rsidR="00895260" w:rsidRPr="00567D48" w:rsidRDefault="00895260" w:rsidP="00124585">
            <w:pPr>
              <w:keepLines/>
              <w:spacing w:after="120"/>
              <w:rPr>
                <w:rFonts w:asciiTheme="minorHAnsi" w:hAnsiTheme="minorHAnsi" w:cs="Arial"/>
                <w:color w:val="000000"/>
                <w:sz w:val="18"/>
                <w:szCs w:val="18"/>
              </w:rPr>
            </w:pPr>
          </w:p>
        </w:tc>
        <w:tc>
          <w:tcPr>
            <w:tcW w:w="2491" w:type="dxa"/>
            <w:vMerge/>
            <w:shd w:val="clear" w:color="auto" w:fill="auto"/>
            <w:vAlign w:val="center"/>
          </w:tcPr>
          <w:p w14:paraId="4C818AAB" w14:textId="77777777" w:rsidR="00895260" w:rsidRPr="00567D48" w:rsidRDefault="00895260" w:rsidP="00124585">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20B1985E" w14:textId="77777777" w:rsidR="00895260" w:rsidRPr="00567D48" w:rsidRDefault="00895260" w:rsidP="00124585">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582F043F" w14:textId="77777777" w:rsidR="00895260" w:rsidRPr="00567D48" w:rsidRDefault="00895260" w:rsidP="00124585">
            <w:pPr>
              <w:pStyle w:val="ListParagraph"/>
              <w:keepLines/>
              <w:spacing w:after="120"/>
              <w:ind w:left="0"/>
              <w:rPr>
                <w:rFonts w:asciiTheme="minorHAnsi" w:hAnsiTheme="minorHAnsi" w:cs="Arial"/>
                <w:color w:val="000000"/>
                <w:sz w:val="18"/>
                <w:szCs w:val="18"/>
              </w:rPr>
            </w:pPr>
          </w:p>
        </w:tc>
        <w:tc>
          <w:tcPr>
            <w:tcW w:w="0" w:type="auto"/>
            <w:shd w:val="clear" w:color="auto" w:fill="auto"/>
          </w:tcPr>
          <w:p w14:paraId="1EC2C446" w14:textId="293019B4" w:rsidR="00895260" w:rsidRPr="00567D48" w:rsidRDefault="00895260" w:rsidP="00895260">
            <w:pPr>
              <w:rPr>
                <w:rFonts w:asciiTheme="minorHAnsi" w:hAnsiTheme="minorHAnsi" w:cs="Arial"/>
                <w:color w:val="000000"/>
                <w:sz w:val="18"/>
                <w:szCs w:val="18"/>
                <w:u w:val="single"/>
              </w:rPr>
            </w:pPr>
            <w:r w:rsidRPr="00567D48">
              <w:rPr>
                <w:rFonts w:asciiTheme="minorHAnsi" w:hAnsiTheme="minorHAnsi" w:cs="Arial"/>
                <w:color w:val="000000"/>
                <w:sz w:val="18"/>
                <w:szCs w:val="18"/>
                <w:u w:val="single"/>
              </w:rPr>
              <w:t>Sponsor’s comment</w:t>
            </w:r>
            <w:r w:rsidRPr="00567D48">
              <w:rPr>
                <w:rFonts w:asciiTheme="minorHAnsi" w:hAnsiTheme="minorHAnsi" w:cs="Arial"/>
                <w:color w:val="000000"/>
                <w:sz w:val="18"/>
                <w:szCs w:val="18"/>
              </w:rPr>
              <w:t>:</w:t>
            </w:r>
            <w:r w:rsidR="00DE54CA" w:rsidRPr="00567D48">
              <w:rPr>
                <w:rFonts w:asciiTheme="minorHAnsi" w:hAnsiTheme="minorHAnsi" w:cs="Arial"/>
                <w:color w:val="000000"/>
                <w:sz w:val="18"/>
                <w:szCs w:val="18"/>
              </w:rPr>
              <w:t xml:space="preserve"> Janssen </w:t>
            </w:r>
            <w:r w:rsidR="001C3D80" w:rsidRPr="00567D48">
              <w:rPr>
                <w:rFonts w:asciiTheme="minorHAnsi" w:hAnsiTheme="minorHAnsi" w:cs="Arial"/>
                <w:color w:val="000000"/>
                <w:sz w:val="18"/>
                <w:szCs w:val="18"/>
              </w:rPr>
              <w:t>is</w:t>
            </w:r>
            <w:r w:rsidR="00DE54CA" w:rsidRPr="00567D48">
              <w:rPr>
                <w:rFonts w:asciiTheme="minorHAnsi" w:hAnsiTheme="minorHAnsi" w:cs="Arial"/>
                <w:color w:val="000000"/>
                <w:sz w:val="18"/>
                <w:szCs w:val="18"/>
              </w:rPr>
              <w:t xml:space="preserve"> disappointed that the PBAC did not recommend </w:t>
            </w:r>
            <w:proofErr w:type="spellStart"/>
            <w:r w:rsidR="00DE54CA" w:rsidRPr="00567D48">
              <w:rPr>
                <w:rFonts w:asciiTheme="minorHAnsi" w:hAnsiTheme="minorHAnsi" w:cs="Arial"/>
                <w:color w:val="000000"/>
                <w:sz w:val="18"/>
                <w:szCs w:val="18"/>
              </w:rPr>
              <w:t>Erlyand</w:t>
            </w:r>
            <w:proofErr w:type="spellEnd"/>
            <w:r w:rsidR="00DE54CA" w:rsidRPr="00567D48">
              <w:rPr>
                <w:rFonts w:asciiTheme="minorHAnsi" w:hAnsiTheme="minorHAnsi" w:cs="Arial"/>
                <w:color w:val="000000"/>
                <w:sz w:val="18"/>
                <w:szCs w:val="18"/>
              </w:rPr>
              <w:t xml:space="preserve"> and considers that the population requested for listing are the </w:t>
            </w:r>
            <w:proofErr w:type="spellStart"/>
            <w:r w:rsidR="00DE54CA" w:rsidRPr="00567D48">
              <w:rPr>
                <w:rFonts w:asciiTheme="minorHAnsi" w:hAnsiTheme="minorHAnsi" w:cs="Arial"/>
                <w:color w:val="000000"/>
                <w:sz w:val="18"/>
                <w:szCs w:val="18"/>
              </w:rPr>
              <w:t>mHSPC</w:t>
            </w:r>
            <w:proofErr w:type="spellEnd"/>
            <w:r w:rsidR="00DE54CA" w:rsidRPr="00567D48">
              <w:rPr>
                <w:rFonts w:asciiTheme="minorHAnsi" w:hAnsiTheme="minorHAnsi" w:cs="Arial"/>
                <w:color w:val="000000"/>
                <w:sz w:val="18"/>
                <w:szCs w:val="18"/>
              </w:rPr>
              <w:t xml:space="preserve"> patients with the highest clinical need for additional PBS therapies. Janssen do</w:t>
            </w:r>
            <w:r w:rsidR="001C3D80" w:rsidRPr="00567D48">
              <w:rPr>
                <w:rFonts w:asciiTheme="minorHAnsi" w:hAnsiTheme="minorHAnsi" w:cs="Arial"/>
                <w:color w:val="000000"/>
                <w:sz w:val="18"/>
                <w:szCs w:val="18"/>
              </w:rPr>
              <w:t>es</w:t>
            </w:r>
            <w:r w:rsidR="00DE54CA" w:rsidRPr="00567D48">
              <w:rPr>
                <w:rFonts w:asciiTheme="minorHAnsi" w:hAnsiTheme="minorHAnsi" w:cs="Arial"/>
                <w:color w:val="000000"/>
                <w:sz w:val="18"/>
                <w:szCs w:val="18"/>
              </w:rPr>
              <w:t xml:space="preserve"> not agree with the PBAC’s comment that apalutamide provides moderate clinical benefit versus ADT. The TITAN trial demonstrates that apalutamide is associated with a statistically significant and clinically important 39% reduction in the risk of death versus ADT after adjustment for treatment switching.</w:t>
            </w:r>
            <w:r w:rsidR="00DE54CA" w:rsidRPr="00567D48">
              <w:rPr>
                <w:rFonts w:asciiTheme="minorHAnsi" w:hAnsiTheme="minorHAnsi" w:cs="Arial"/>
                <w:color w:val="000000"/>
                <w:sz w:val="18"/>
                <w:szCs w:val="18"/>
              </w:rPr>
              <w:br/>
            </w:r>
            <w:r w:rsidR="00DE54CA" w:rsidRPr="00567D48">
              <w:rPr>
                <w:rFonts w:asciiTheme="minorHAnsi" w:hAnsiTheme="minorHAnsi" w:cs="Arial"/>
                <w:color w:val="000000"/>
                <w:sz w:val="18"/>
                <w:szCs w:val="18"/>
              </w:rPr>
              <w:br/>
              <w:t>Janssen recognise the challenges in defining the restriction for the requested population. However, inclusion of docetaxel as a comparator creates significant cost-effectiveness challenges for new agents to gain PBS reimbursement. We will review the details of the outcome to understand implications and consider next steps.</w:t>
            </w:r>
          </w:p>
        </w:tc>
      </w:tr>
      <w:tr w:rsidR="00124585" w:rsidRPr="00567D48" w14:paraId="7BC44947" w14:textId="77777777" w:rsidTr="00F00B7A">
        <w:trPr>
          <w:cantSplit/>
          <w:trHeight w:val="574"/>
        </w:trPr>
        <w:tc>
          <w:tcPr>
            <w:tcW w:w="2972" w:type="dxa"/>
            <w:shd w:val="clear" w:color="auto" w:fill="auto"/>
            <w:tcMar>
              <w:top w:w="28" w:type="dxa"/>
              <w:bottom w:w="28" w:type="dxa"/>
            </w:tcMar>
            <w:vAlign w:val="center"/>
          </w:tcPr>
          <w:p w14:paraId="652246CE" w14:textId="18830D98" w:rsidR="00124585" w:rsidRPr="00567D48" w:rsidRDefault="00124585"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t xml:space="preserve">APALUTAMIDE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Tablet 60 mg</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Erlyand</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Janssen-</w:t>
            </w:r>
            <w:proofErr w:type="spellStart"/>
            <w:r w:rsidRPr="00567D48">
              <w:rPr>
                <w:rFonts w:asciiTheme="minorHAnsi" w:hAnsiTheme="minorHAnsi" w:cs="Arial"/>
                <w:color w:val="000000"/>
                <w:sz w:val="18"/>
                <w:szCs w:val="18"/>
              </w:rPr>
              <w:t>Cilag</w:t>
            </w:r>
            <w:proofErr w:type="spellEnd"/>
            <w:r w:rsidRPr="00567D48">
              <w:rPr>
                <w:rFonts w:asciiTheme="minorHAnsi" w:hAnsiTheme="minorHAnsi" w:cs="Arial"/>
                <w:color w:val="000000"/>
                <w:sz w:val="18"/>
                <w:szCs w:val="18"/>
              </w:rPr>
              <w:t xml:space="preserve">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Standard Re-entry submission</w:t>
            </w:r>
            <w:r w:rsidRPr="00567D48">
              <w:rPr>
                <w:rFonts w:asciiTheme="minorHAnsi" w:hAnsiTheme="minorHAnsi" w:cs="Arial"/>
                <w:color w:val="000000"/>
                <w:sz w:val="18"/>
                <w:szCs w:val="18"/>
              </w:rPr>
              <w:br/>
              <w:t>(New PBS listing)</w:t>
            </w:r>
          </w:p>
        </w:tc>
        <w:tc>
          <w:tcPr>
            <w:tcW w:w="2491" w:type="dxa"/>
            <w:shd w:val="clear" w:color="auto" w:fill="auto"/>
            <w:vAlign w:val="center"/>
          </w:tcPr>
          <w:p w14:paraId="6F03386E" w14:textId="76AD3F15" w:rsidR="00124585" w:rsidRPr="00567D48" w:rsidRDefault="00124585"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Prostate cancer</w:t>
            </w:r>
          </w:p>
        </w:tc>
        <w:tc>
          <w:tcPr>
            <w:tcW w:w="0" w:type="auto"/>
            <w:shd w:val="clear" w:color="auto" w:fill="auto"/>
            <w:tcMar>
              <w:top w:w="28" w:type="dxa"/>
              <w:bottom w:w="28" w:type="dxa"/>
            </w:tcMar>
            <w:vAlign w:val="center"/>
          </w:tcPr>
          <w:p w14:paraId="6998CDDE" w14:textId="6F59F1AD"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 xml:space="preserve">Resubmission to request a General Schedule Authority Required listing for the treatment of castration-resistant prostate cancer with no distant metastases on conventional imaging. </w:t>
            </w:r>
          </w:p>
        </w:tc>
        <w:tc>
          <w:tcPr>
            <w:tcW w:w="0" w:type="auto"/>
            <w:shd w:val="clear" w:color="auto" w:fill="auto"/>
            <w:vAlign w:val="center"/>
          </w:tcPr>
          <w:p w14:paraId="261EABDF" w14:textId="68996D29"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01B444E9" w14:textId="60FDACB6" w:rsidR="00124585" w:rsidRPr="00567D48" w:rsidRDefault="00124585" w:rsidP="00124585">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The PBAC recommended the listing of apalutamide for the treatment of patients with non-metastatic castration resistant prostate cancer. The PBAC was satisfied that apalutamide provides, for some patients, a moderate overall survival benefit compared to standard of care and was non-inferior in terms of efficacy and safety compared to darolutamide. The PBAC’s recommendation for listing was based on, among other matters, its assessment that the cost-effectiveness of apalutamide would be acceptable if it were cost-minimised to darolutamide. The PBAC recommended potential flow on changes to the PBS restrictions for darolutamide, abiraterone and enzalutamide to prevent the subsequent use of novel hormonal agents.</w:t>
            </w:r>
          </w:p>
        </w:tc>
      </w:tr>
      <w:tr w:rsidR="00B0396C" w:rsidRPr="00567D48" w14:paraId="1D8A6CAE" w14:textId="77777777" w:rsidTr="00F00B7A">
        <w:trPr>
          <w:cantSplit/>
          <w:trHeight w:val="2970"/>
        </w:trPr>
        <w:tc>
          <w:tcPr>
            <w:tcW w:w="2972" w:type="dxa"/>
            <w:vMerge w:val="restart"/>
            <w:shd w:val="clear" w:color="auto" w:fill="auto"/>
            <w:tcMar>
              <w:top w:w="28" w:type="dxa"/>
              <w:bottom w:w="28" w:type="dxa"/>
            </w:tcMar>
            <w:vAlign w:val="center"/>
          </w:tcPr>
          <w:p w14:paraId="1F13A119" w14:textId="6FA092FB" w:rsidR="00B0396C" w:rsidRPr="00567D48" w:rsidRDefault="00B0396C"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AVALGLUCOSIDASE ALFA</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Powder for injection 100 mg in 10 mL</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Nexviazyme</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Sanofi-Aventis Australia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2 submission</w:t>
            </w:r>
            <w:r w:rsidRPr="00567D48">
              <w:rPr>
                <w:rFonts w:asciiTheme="minorHAnsi" w:hAnsiTheme="minorHAnsi" w:cs="Arial"/>
                <w:color w:val="000000"/>
                <w:sz w:val="18"/>
                <w:szCs w:val="18"/>
              </w:rPr>
              <w:br/>
              <w:t>(New PBS listing)</w:t>
            </w:r>
          </w:p>
        </w:tc>
        <w:tc>
          <w:tcPr>
            <w:tcW w:w="2491" w:type="dxa"/>
            <w:vMerge w:val="restart"/>
            <w:shd w:val="clear" w:color="auto" w:fill="auto"/>
            <w:vAlign w:val="center"/>
          </w:tcPr>
          <w:p w14:paraId="4F180729" w14:textId="343E4CDF" w:rsidR="00B0396C" w:rsidRPr="00567D48" w:rsidRDefault="00B0396C" w:rsidP="00124585">
            <w:pPr>
              <w:keepLines/>
              <w:widowControl w:val="0"/>
              <w:spacing w:after="120"/>
              <w:rPr>
                <w:rFonts w:asciiTheme="minorHAnsi" w:hAnsiTheme="minorHAnsi" w:cs="Arial"/>
                <w:color w:val="000000"/>
                <w:sz w:val="18"/>
                <w:szCs w:val="18"/>
              </w:rPr>
            </w:pPr>
            <w:proofErr w:type="spellStart"/>
            <w:r w:rsidRPr="00567D48">
              <w:rPr>
                <w:rFonts w:asciiTheme="minorHAnsi" w:hAnsiTheme="minorHAnsi" w:cs="Arial"/>
                <w:color w:val="000000"/>
                <w:sz w:val="18"/>
                <w:szCs w:val="18"/>
              </w:rPr>
              <w:t>Pompe</w:t>
            </w:r>
            <w:proofErr w:type="spellEnd"/>
            <w:r w:rsidRPr="00567D48">
              <w:rPr>
                <w:rFonts w:asciiTheme="minorHAnsi" w:hAnsiTheme="minorHAnsi" w:cs="Arial"/>
                <w:color w:val="000000"/>
                <w:sz w:val="18"/>
                <w:szCs w:val="18"/>
              </w:rPr>
              <w:t xml:space="preserve"> disease</w:t>
            </w:r>
          </w:p>
        </w:tc>
        <w:tc>
          <w:tcPr>
            <w:tcW w:w="0" w:type="auto"/>
            <w:vMerge w:val="restart"/>
            <w:shd w:val="clear" w:color="auto" w:fill="auto"/>
            <w:tcMar>
              <w:top w:w="28" w:type="dxa"/>
              <w:bottom w:w="28" w:type="dxa"/>
            </w:tcMar>
            <w:vAlign w:val="center"/>
          </w:tcPr>
          <w:p w14:paraId="67D789E2" w14:textId="5517CB1F" w:rsidR="00B0396C" w:rsidRPr="00567D48" w:rsidRDefault="00B0396C"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 xml:space="preserve">To request a Section 100 (Highly Specialised Drugs Program) Authority Required listing for the treatment of </w:t>
            </w:r>
            <w:proofErr w:type="spellStart"/>
            <w:r w:rsidRPr="00567D48">
              <w:rPr>
                <w:rFonts w:asciiTheme="minorHAnsi" w:hAnsiTheme="minorHAnsi" w:cs="Arial"/>
                <w:color w:val="000000"/>
                <w:sz w:val="18"/>
                <w:szCs w:val="18"/>
              </w:rPr>
              <w:t>Pompe</w:t>
            </w:r>
            <w:proofErr w:type="spellEnd"/>
            <w:r w:rsidRPr="00567D48">
              <w:rPr>
                <w:rFonts w:asciiTheme="minorHAnsi" w:hAnsiTheme="minorHAnsi" w:cs="Arial"/>
                <w:color w:val="000000"/>
                <w:sz w:val="18"/>
                <w:szCs w:val="18"/>
              </w:rPr>
              <w:t xml:space="preserve"> disease. </w:t>
            </w:r>
          </w:p>
        </w:tc>
        <w:tc>
          <w:tcPr>
            <w:tcW w:w="0" w:type="auto"/>
            <w:vMerge w:val="restart"/>
            <w:shd w:val="clear" w:color="auto" w:fill="auto"/>
            <w:vAlign w:val="center"/>
          </w:tcPr>
          <w:p w14:paraId="52D182B6" w14:textId="0CD84260" w:rsidR="00B0396C" w:rsidRPr="00567D48" w:rsidRDefault="00B0396C"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Not Recommended</w:t>
            </w:r>
          </w:p>
        </w:tc>
        <w:tc>
          <w:tcPr>
            <w:tcW w:w="0" w:type="auto"/>
            <w:shd w:val="clear" w:color="auto" w:fill="auto"/>
            <w:vAlign w:val="bottom"/>
          </w:tcPr>
          <w:p w14:paraId="4A905144" w14:textId="31B017A2" w:rsidR="00B0396C" w:rsidRPr="00567D48" w:rsidRDefault="00B0396C" w:rsidP="00811982">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snapToGrid w:val="0"/>
                <w:sz w:val="18"/>
                <w:szCs w:val="18"/>
                <w:lang w:eastAsia="en-US"/>
              </w:rPr>
              <w:t xml:space="preserve">The PBAC did not recommend the Section 100 (Highly Specialised Drugs Program) listing of </w:t>
            </w:r>
            <w:proofErr w:type="spellStart"/>
            <w:r w:rsidRPr="00567D48">
              <w:rPr>
                <w:rFonts w:asciiTheme="minorHAnsi" w:hAnsiTheme="minorHAnsi" w:cs="Arial"/>
                <w:snapToGrid w:val="0"/>
                <w:sz w:val="18"/>
                <w:szCs w:val="18"/>
                <w:lang w:eastAsia="en-US"/>
              </w:rPr>
              <w:t>avalglucosidase</w:t>
            </w:r>
            <w:proofErr w:type="spellEnd"/>
            <w:r w:rsidRPr="00567D48">
              <w:rPr>
                <w:rFonts w:asciiTheme="minorHAnsi" w:hAnsiTheme="minorHAnsi" w:cs="Arial"/>
                <w:snapToGrid w:val="0"/>
                <w:sz w:val="18"/>
                <w:szCs w:val="18"/>
                <w:lang w:eastAsia="en-US"/>
              </w:rPr>
              <w:t xml:space="preserve"> alfa (AVAL) for the treatment of infantile-onset </w:t>
            </w:r>
            <w:proofErr w:type="spellStart"/>
            <w:r w:rsidRPr="00567D48">
              <w:rPr>
                <w:rFonts w:asciiTheme="minorHAnsi" w:hAnsiTheme="minorHAnsi" w:cs="Arial"/>
                <w:snapToGrid w:val="0"/>
                <w:sz w:val="18"/>
                <w:szCs w:val="18"/>
                <w:lang w:eastAsia="en-US"/>
              </w:rPr>
              <w:t>Pompe</w:t>
            </w:r>
            <w:proofErr w:type="spellEnd"/>
            <w:r w:rsidRPr="00567D48">
              <w:rPr>
                <w:rFonts w:asciiTheme="minorHAnsi" w:hAnsiTheme="minorHAnsi" w:cs="Arial"/>
                <w:snapToGrid w:val="0"/>
                <w:sz w:val="18"/>
                <w:szCs w:val="18"/>
                <w:lang w:eastAsia="en-US"/>
              </w:rPr>
              <w:t xml:space="preserve"> disease (IOPD), juvenile-onset </w:t>
            </w:r>
            <w:proofErr w:type="spellStart"/>
            <w:r w:rsidRPr="00567D48">
              <w:rPr>
                <w:rFonts w:asciiTheme="minorHAnsi" w:hAnsiTheme="minorHAnsi" w:cs="Arial"/>
                <w:snapToGrid w:val="0"/>
                <w:sz w:val="18"/>
                <w:szCs w:val="18"/>
                <w:lang w:eastAsia="en-US"/>
              </w:rPr>
              <w:t>Pompe</w:t>
            </w:r>
            <w:proofErr w:type="spellEnd"/>
            <w:r w:rsidRPr="00567D48">
              <w:rPr>
                <w:rFonts w:asciiTheme="minorHAnsi" w:hAnsiTheme="minorHAnsi" w:cs="Arial"/>
                <w:snapToGrid w:val="0"/>
                <w:sz w:val="18"/>
                <w:szCs w:val="18"/>
                <w:lang w:eastAsia="en-US"/>
              </w:rPr>
              <w:t xml:space="preserve"> disease (JOPD) or adult-onset </w:t>
            </w:r>
            <w:proofErr w:type="spellStart"/>
            <w:r w:rsidRPr="00567D48">
              <w:rPr>
                <w:rFonts w:asciiTheme="minorHAnsi" w:hAnsiTheme="minorHAnsi" w:cs="Arial"/>
                <w:snapToGrid w:val="0"/>
                <w:sz w:val="18"/>
                <w:szCs w:val="18"/>
                <w:lang w:eastAsia="en-US"/>
              </w:rPr>
              <w:t>Pompe</w:t>
            </w:r>
            <w:proofErr w:type="spellEnd"/>
            <w:r w:rsidRPr="00567D48">
              <w:rPr>
                <w:rFonts w:asciiTheme="minorHAnsi" w:hAnsiTheme="minorHAnsi" w:cs="Arial"/>
                <w:snapToGrid w:val="0"/>
                <w:sz w:val="18"/>
                <w:szCs w:val="18"/>
                <w:lang w:eastAsia="en-US"/>
              </w:rPr>
              <w:t xml:space="preserve"> disease (AOPD). The primary comparator for AVAL was </w:t>
            </w:r>
            <w:proofErr w:type="spellStart"/>
            <w:r w:rsidRPr="00567D48">
              <w:rPr>
                <w:rFonts w:asciiTheme="minorHAnsi" w:hAnsiTheme="minorHAnsi" w:cs="Arial"/>
                <w:snapToGrid w:val="0"/>
                <w:sz w:val="18"/>
                <w:szCs w:val="18"/>
                <w:lang w:eastAsia="en-US"/>
              </w:rPr>
              <w:t>alglucosidase</w:t>
            </w:r>
            <w:proofErr w:type="spellEnd"/>
            <w:r w:rsidRPr="00567D48">
              <w:rPr>
                <w:rFonts w:asciiTheme="minorHAnsi" w:hAnsiTheme="minorHAnsi" w:cs="Arial"/>
                <w:snapToGrid w:val="0"/>
                <w:sz w:val="18"/>
                <w:szCs w:val="18"/>
                <w:lang w:eastAsia="en-US"/>
              </w:rPr>
              <w:t xml:space="preserve"> alfa (ALGLU), a medicine currently included on the life-saving drugs program for this population.  The PBAC considered AVAL treatment for late onset </w:t>
            </w:r>
            <w:proofErr w:type="spellStart"/>
            <w:r w:rsidRPr="00567D48">
              <w:rPr>
                <w:rFonts w:asciiTheme="minorHAnsi" w:hAnsiTheme="minorHAnsi" w:cs="Arial"/>
                <w:snapToGrid w:val="0"/>
                <w:sz w:val="18"/>
                <w:szCs w:val="18"/>
                <w:lang w:eastAsia="en-US"/>
              </w:rPr>
              <w:t>Pompe</w:t>
            </w:r>
            <w:proofErr w:type="spellEnd"/>
            <w:r w:rsidRPr="00567D48">
              <w:rPr>
                <w:rFonts w:asciiTheme="minorHAnsi" w:hAnsiTheme="minorHAnsi" w:cs="Arial"/>
                <w:snapToGrid w:val="0"/>
                <w:sz w:val="18"/>
                <w:szCs w:val="18"/>
                <w:lang w:eastAsia="en-US"/>
              </w:rPr>
              <w:t xml:space="preserve"> disease (LOPD), including the AOPD and JOPD populations, was likely non-inferior to ALGLU. The PBAC considered the lack of evidence for the IOPD population made the clinical claim of non-inferiority for that population highly uncertain but that, overall, AVAL was likely to provide similar health outcomes to ALGLU. The PBAC considered AVAL was an effective treatment for IOPD and LOPD (compared to no treatment) but the extent of benefit was uncertain. The PBAC considered the incremental cost effectiveness ratio for AVAL compared to no treatment was very high and uncertain.  </w:t>
            </w:r>
          </w:p>
        </w:tc>
      </w:tr>
      <w:tr w:rsidR="00B0396C" w:rsidRPr="00567D48" w14:paraId="68BBE708" w14:textId="77777777" w:rsidTr="00F00B7A">
        <w:trPr>
          <w:cantSplit/>
          <w:trHeight w:val="574"/>
        </w:trPr>
        <w:tc>
          <w:tcPr>
            <w:tcW w:w="2972" w:type="dxa"/>
            <w:vMerge/>
            <w:shd w:val="clear" w:color="auto" w:fill="auto"/>
            <w:tcMar>
              <w:top w:w="28" w:type="dxa"/>
              <w:bottom w:w="28" w:type="dxa"/>
            </w:tcMar>
            <w:vAlign w:val="center"/>
          </w:tcPr>
          <w:p w14:paraId="28FD60A5" w14:textId="77777777" w:rsidR="00B0396C" w:rsidRPr="00567D48" w:rsidRDefault="00B0396C" w:rsidP="00124585">
            <w:pPr>
              <w:keepLines/>
              <w:spacing w:after="120"/>
              <w:rPr>
                <w:rFonts w:asciiTheme="minorHAnsi" w:hAnsiTheme="minorHAnsi" w:cs="Arial"/>
                <w:color w:val="000000"/>
                <w:sz w:val="18"/>
                <w:szCs w:val="18"/>
              </w:rPr>
            </w:pPr>
          </w:p>
        </w:tc>
        <w:tc>
          <w:tcPr>
            <w:tcW w:w="2491" w:type="dxa"/>
            <w:vMerge/>
            <w:shd w:val="clear" w:color="auto" w:fill="auto"/>
            <w:vAlign w:val="center"/>
          </w:tcPr>
          <w:p w14:paraId="1B716CE4" w14:textId="77777777" w:rsidR="00B0396C" w:rsidRPr="00567D48" w:rsidRDefault="00B0396C" w:rsidP="00124585">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696B1D39" w14:textId="77777777" w:rsidR="00B0396C" w:rsidRPr="00567D48" w:rsidRDefault="00B0396C" w:rsidP="00124585">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4D4D0EF7" w14:textId="77777777" w:rsidR="00B0396C" w:rsidRPr="00567D48" w:rsidRDefault="00B0396C" w:rsidP="00124585">
            <w:pPr>
              <w:pStyle w:val="ListParagraph"/>
              <w:keepLines/>
              <w:spacing w:after="120"/>
              <w:ind w:left="0"/>
              <w:rPr>
                <w:rFonts w:asciiTheme="minorHAnsi" w:hAnsiTheme="minorHAnsi" w:cs="Arial"/>
                <w:color w:val="000000"/>
                <w:sz w:val="18"/>
                <w:szCs w:val="18"/>
              </w:rPr>
            </w:pPr>
          </w:p>
        </w:tc>
        <w:tc>
          <w:tcPr>
            <w:tcW w:w="0" w:type="auto"/>
            <w:shd w:val="clear" w:color="auto" w:fill="auto"/>
            <w:vAlign w:val="center"/>
          </w:tcPr>
          <w:p w14:paraId="2043EBDB" w14:textId="529F9437" w:rsidR="00B0396C" w:rsidRPr="00567D48" w:rsidRDefault="00B0396C"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snapToGrid w:val="0"/>
                <w:sz w:val="18"/>
                <w:szCs w:val="18"/>
                <w:u w:val="single"/>
                <w:lang w:eastAsia="en-US"/>
              </w:rPr>
              <w:t>Sponsor’s comment</w:t>
            </w:r>
            <w:r w:rsidRPr="00567D48">
              <w:rPr>
                <w:rFonts w:asciiTheme="minorHAnsi" w:hAnsiTheme="minorHAnsi" w:cs="Arial"/>
                <w:snapToGrid w:val="0"/>
                <w:sz w:val="18"/>
                <w:szCs w:val="18"/>
                <w:lang w:eastAsia="en-US"/>
              </w:rPr>
              <w:t>: The sponsor had no comment.</w:t>
            </w:r>
          </w:p>
        </w:tc>
      </w:tr>
      <w:tr w:rsidR="00124585" w:rsidRPr="00567D48" w14:paraId="13F1EBBA" w14:textId="77777777" w:rsidTr="00F00B7A">
        <w:trPr>
          <w:cantSplit/>
          <w:trHeight w:val="574"/>
        </w:trPr>
        <w:tc>
          <w:tcPr>
            <w:tcW w:w="2972" w:type="dxa"/>
            <w:shd w:val="clear" w:color="auto" w:fill="auto"/>
            <w:tcMar>
              <w:top w:w="28" w:type="dxa"/>
              <w:bottom w:w="28" w:type="dxa"/>
            </w:tcMar>
            <w:vAlign w:val="center"/>
          </w:tcPr>
          <w:p w14:paraId="2EAE82F0" w14:textId="5F7715BE" w:rsidR="00124585" w:rsidRPr="00567D48" w:rsidRDefault="00124585"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BEVACIZUMAB</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Solution for I.V. infusion 100 mg in 4 mL</w:t>
            </w:r>
            <w:r w:rsidRPr="00567D48">
              <w:rPr>
                <w:rFonts w:asciiTheme="minorHAnsi" w:hAnsiTheme="minorHAnsi" w:cs="Arial"/>
                <w:color w:val="000000"/>
                <w:sz w:val="18"/>
                <w:szCs w:val="18"/>
              </w:rPr>
              <w:br/>
              <w:t>Solution for I.V. infusion 400 mg in 16 mL</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Abevmy</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Alphapharm</w:t>
            </w:r>
            <w:proofErr w:type="spellEnd"/>
            <w:r w:rsidRPr="00567D48">
              <w:rPr>
                <w:rFonts w:asciiTheme="minorHAnsi" w:hAnsiTheme="minorHAnsi" w:cs="Arial"/>
                <w:color w:val="000000"/>
                <w:sz w:val="18"/>
                <w:szCs w:val="18"/>
              </w:rPr>
              <w:t xml:space="preserve">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3 submission</w:t>
            </w:r>
            <w:r w:rsidRPr="00567D48">
              <w:rPr>
                <w:rFonts w:asciiTheme="minorHAnsi" w:hAnsiTheme="minorHAnsi" w:cs="Arial"/>
                <w:color w:val="000000"/>
                <w:sz w:val="18"/>
                <w:szCs w:val="18"/>
              </w:rPr>
              <w:br/>
              <w:t>(New PBS listing)</w:t>
            </w:r>
          </w:p>
        </w:tc>
        <w:tc>
          <w:tcPr>
            <w:tcW w:w="2491" w:type="dxa"/>
            <w:shd w:val="clear" w:color="auto" w:fill="auto"/>
            <w:vAlign w:val="center"/>
          </w:tcPr>
          <w:p w14:paraId="77E2046E" w14:textId="768A150D" w:rsidR="00124585" w:rsidRPr="00567D48" w:rsidRDefault="00124585"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Relapsed or recurrent glioblastoma;</w:t>
            </w:r>
            <w:r w:rsidRPr="00567D48">
              <w:rPr>
                <w:rFonts w:asciiTheme="minorHAnsi" w:hAnsiTheme="minorHAnsi" w:cs="Arial"/>
                <w:color w:val="000000"/>
                <w:sz w:val="18"/>
                <w:szCs w:val="18"/>
              </w:rPr>
              <w:br/>
              <w:t>Advanced (unresectable) Barcelona Clinic Liver Cancer;</w:t>
            </w:r>
            <w:r w:rsidRPr="00567D48">
              <w:rPr>
                <w:rFonts w:asciiTheme="minorHAnsi" w:hAnsiTheme="minorHAnsi" w:cs="Arial"/>
                <w:color w:val="000000"/>
                <w:sz w:val="18"/>
                <w:szCs w:val="18"/>
              </w:rPr>
              <w:br/>
              <w:t>Stage B or Stage C hepatocellular carcinoma;</w:t>
            </w:r>
            <w:r w:rsidRPr="00567D48">
              <w:rPr>
                <w:rFonts w:asciiTheme="minorHAnsi" w:hAnsiTheme="minorHAnsi" w:cs="Arial"/>
                <w:color w:val="000000"/>
                <w:sz w:val="18"/>
                <w:szCs w:val="18"/>
              </w:rPr>
              <w:br/>
              <w:t>Stage IV (metastatic) non-small cell lung cancer (NSCLC);</w:t>
            </w:r>
            <w:r w:rsidRPr="00567D48">
              <w:rPr>
                <w:rFonts w:asciiTheme="minorHAnsi" w:hAnsiTheme="minorHAnsi" w:cs="Arial"/>
                <w:color w:val="000000"/>
                <w:sz w:val="18"/>
                <w:szCs w:val="18"/>
              </w:rPr>
              <w:br/>
              <w:t>Advanced carcinoma of cervix;</w:t>
            </w:r>
            <w:r w:rsidRPr="00567D48">
              <w:rPr>
                <w:rFonts w:asciiTheme="minorHAnsi" w:hAnsiTheme="minorHAnsi" w:cs="Arial"/>
                <w:color w:val="000000"/>
                <w:sz w:val="18"/>
                <w:szCs w:val="18"/>
              </w:rPr>
              <w:br/>
              <w:t xml:space="preserve">Advanced International Federation of </w:t>
            </w:r>
            <w:proofErr w:type="spellStart"/>
            <w:r w:rsidRPr="00567D48">
              <w:rPr>
                <w:rFonts w:asciiTheme="minorHAnsi" w:hAnsiTheme="minorHAnsi" w:cs="Arial"/>
                <w:color w:val="000000"/>
                <w:sz w:val="18"/>
                <w:szCs w:val="18"/>
              </w:rPr>
              <w:t>Gynecology</w:t>
            </w:r>
            <w:proofErr w:type="spellEnd"/>
            <w:r w:rsidRPr="00567D48">
              <w:rPr>
                <w:rFonts w:asciiTheme="minorHAnsi" w:hAnsiTheme="minorHAnsi" w:cs="Arial"/>
                <w:color w:val="000000"/>
                <w:sz w:val="18"/>
                <w:szCs w:val="18"/>
              </w:rPr>
              <w:t xml:space="preserve"> and Obstetrics (FIGO) Stage IIIB, IIIC or Stage IV epithelial ovarian, fallopian tube or primary peritoneal cancer;</w:t>
            </w:r>
            <w:r w:rsidRPr="00567D48">
              <w:rPr>
                <w:rFonts w:asciiTheme="minorHAnsi" w:hAnsiTheme="minorHAnsi" w:cs="Arial"/>
                <w:color w:val="000000"/>
                <w:sz w:val="18"/>
                <w:szCs w:val="18"/>
              </w:rPr>
              <w:br/>
              <w:t>Metastatic colorectal cancer.</w:t>
            </w:r>
          </w:p>
        </w:tc>
        <w:tc>
          <w:tcPr>
            <w:tcW w:w="0" w:type="auto"/>
            <w:shd w:val="clear" w:color="auto" w:fill="auto"/>
            <w:tcMar>
              <w:top w:w="28" w:type="dxa"/>
              <w:bottom w:w="28" w:type="dxa"/>
            </w:tcMar>
            <w:vAlign w:val="center"/>
          </w:tcPr>
          <w:p w14:paraId="34D0E899" w14:textId="2A569DAB"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listing of bevacizumab biosimilar under the same conditions as its reference biologic.</w:t>
            </w:r>
          </w:p>
        </w:tc>
        <w:tc>
          <w:tcPr>
            <w:tcW w:w="0" w:type="auto"/>
            <w:shd w:val="clear" w:color="auto" w:fill="auto"/>
            <w:vAlign w:val="center"/>
          </w:tcPr>
          <w:p w14:paraId="4D77FA24" w14:textId="57EB6C08"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0EC418A3" w14:textId="26697A9C" w:rsidR="00124585" w:rsidRPr="00567D48" w:rsidRDefault="00124585" w:rsidP="00124585">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 xml:space="preserve">The PBAC recommended the listing under Section 100 (Efficient Funding of Chemotherapy), of a new biosimilar brand of bevacizumab, </w:t>
            </w:r>
            <w:proofErr w:type="spellStart"/>
            <w:r w:rsidRPr="00567D48">
              <w:rPr>
                <w:rFonts w:asciiTheme="minorHAnsi" w:hAnsiTheme="minorHAnsi" w:cs="Arial"/>
                <w:color w:val="000000"/>
                <w:sz w:val="18"/>
                <w:szCs w:val="18"/>
              </w:rPr>
              <w:t>Abevmy</w:t>
            </w:r>
            <w:proofErr w:type="spellEnd"/>
            <w:r w:rsidRPr="00567D48">
              <w:rPr>
                <w:rFonts w:asciiTheme="minorHAnsi" w:hAnsiTheme="minorHAnsi" w:cs="Arial"/>
                <w:color w:val="000000"/>
                <w:sz w:val="18"/>
                <w:szCs w:val="18"/>
              </w:rPr>
              <w:t xml:space="preserve">, for the same conditions as the currently listed biosimilar brand, </w:t>
            </w:r>
            <w:proofErr w:type="spellStart"/>
            <w:r w:rsidRPr="00567D48">
              <w:rPr>
                <w:rFonts w:asciiTheme="minorHAnsi" w:hAnsiTheme="minorHAnsi" w:cs="Arial"/>
                <w:color w:val="000000"/>
                <w:sz w:val="18"/>
                <w:szCs w:val="18"/>
              </w:rPr>
              <w:t>Mvasi</w:t>
            </w:r>
            <w:proofErr w:type="spellEnd"/>
            <w:r w:rsidR="00002288" w:rsidRPr="00567D48">
              <w:rPr>
                <w:rFonts w:asciiTheme="minorHAnsi" w:hAnsiTheme="minorHAnsi" w:cs="Arial"/>
                <w:color w:val="000000"/>
                <w:sz w:val="18"/>
                <w:szCs w:val="18"/>
              </w:rPr>
              <w:t>®</w:t>
            </w:r>
            <w:r w:rsidRPr="00567D48">
              <w:rPr>
                <w:rFonts w:asciiTheme="minorHAnsi" w:hAnsiTheme="minorHAnsi" w:cs="Arial"/>
                <w:color w:val="000000"/>
                <w:sz w:val="18"/>
                <w:szCs w:val="18"/>
              </w:rPr>
              <w:t xml:space="preserve">. The PBAC’s recommendation for listing was based on its assessment that the cost-effectiveness of </w:t>
            </w:r>
            <w:proofErr w:type="spellStart"/>
            <w:r w:rsidRPr="00567D48">
              <w:rPr>
                <w:rFonts w:asciiTheme="minorHAnsi" w:hAnsiTheme="minorHAnsi" w:cs="Arial"/>
                <w:color w:val="000000"/>
                <w:sz w:val="18"/>
                <w:szCs w:val="18"/>
              </w:rPr>
              <w:t>Abevmy</w:t>
            </w:r>
            <w:proofErr w:type="spellEnd"/>
            <w:r w:rsidRPr="00567D48">
              <w:rPr>
                <w:rFonts w:asciiTheme="minorHAnsi" w:hAnsiTheme="minorHAnsi" w:cs="Arial"/>
                <w:color w:val="000000"/>
                <w:sz w:val="18"/>
                <w:szCs w:val="18"/>
              </w:rPr>
              <w:t xml:space="preserve"> would be acceptable if it were cost-minimised to </w:t>
            </w:r>
            <w:proofErr w:type="spellStart"/>
            <w:r w:rsidRPr="00567D48">
              <w:rPr>
                <w:rFonts w:asciiTheme="minorHAnsi" w:hAnsiTheme="minorHAnsi" w:cs="Arial"/>
                <w:color w:val="000000"/>
                <w:sz w:val="18"/>
                <w:szCs w:val="18"/>
              </w:rPr>
              <w:t>Mvasi</w:t>
            </w:r>
            <w:proofErr w:type="spellEnd"/>
            <w:r w:rsidRPr="00567D48">
              <w:rPr>
                <w:rFonts w:asciiTheme="minorHAnsi" w:hAnsiTheme="minorHAnsi" w:cs="Arial"/>
                <w:color w:val="000000"/>
                <w:sz w:val="18"/>
                <w:szCs w:val="18"/>
              </w:rPr>
              <w:t xml:space="preserve">. </w:t>
            </w:r>
          </w:p>
        </w:tc>
      </w:tr>
      <w:tr w:rsidR="00124585" w:rsidRPr="00567D48" w14:paraId="10045114" w14:textId="77777777" w:rsidTr="00F00B7A">
        <w:trPr>
          <w:cantSplit/>
          <w:trHeight w:val="574"/>
        </w:trPr>
        <w:tc>
          <w:tcPr>
            <w:tcW w:w="2972" w:type="dxa"/>
            <w:shd w:val="clear" w:color="auto" w:fill="auto"/>
            <w:tcMar>
              <w:top w:w="28" w:type="dxa"/>
              <w:bottom w:w="28" w:type="dxa"/>
            </w:tcMar>
            <w:vAlign w:val="center"/>
          </w:tcPr>
          <w:p w14:paraId="355FAE23" w14:textId="268A3385" w:rsidR="00124585" w:rsidRPr="00567D48" w:rsidRDefault="00124585" w:rsidP="00811982">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t>BUDESONIDE</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Tablet (orally disintegrating) 0.5</w:t>
            </w:r>
            <w:r w:rsidR="00A54524" w:rsidRPr="00567D48">
              <w:rPr>
                <w:rFonts w:asciiTheme="minorHAnsi" w:hAnsiTheme="minorHAnsi" w:cs="Arial"/>
                <w:color w:val="000000"/>
                <w:sz w:val="18"/>
                <w:szCs w:val="18"/>
              </w:rPr>
              <w:t> </w:t>
            </w:r>
            <w:r w:rsidRPr="00567D48">
              <w:rPr>
                <w:rFonts w:asciiTheme="minorHAnsi" w:hAnsiTheme="minorHAnsi" w:cs="Arial"/>
                <w:color w:val="000000"/>
                <w:sz w:val="18"/>
                <w:szCs w:val="18"/>
              </w:rPr>
              <w:t>mg</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Tablet (orally disintegrating) 1</w:t>
            </w:r>
            <w:r w:rsidR="00A54524" w:rsidRPr="00567D48">
              <w:rPr>
                <w:rFonts w:asciiTheme="minorHAnsi" w:hAnsiTheme="minorHAnsi" w:cs="Arial"/>
                <w:color w:val="000000"/>
                <w:sz w:val="18"/>
                <w:szCs w:val="18"/>
              </w:rPr>
              <w:t> </w:t>
            </w:r>
            <w:r w:rsidRPr="00567D48">
              <w:rPr>
                <w:rFonts w:asciiTheme="minorHAnsi" w:hAnsiTheme="minorHAnsi" w:cs="Arial"/>
                <w:color w:val="000000"/>
                <w:sz w:val="18"/>
                <w:szCs w:val="18"/>
              </w:rPr>
              <w:t>mg</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Jorveza</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Dr Falk Pharma Australia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Early Re-entry submission</w:t>
            </w:r>
            <w:r w:rsidRPr="00567D48">
              <w:rPr>
                <w:rFonts w:asciiTheme="minorHAnsi" w:hAnsiTheme="minorHAnsi" w:cs="Arial"/>
                <w:color w:val="000000"/>
                <w:sz w:val="18"/>
                <w:szCs w:val="18"/>
              </w:rPr>
              <w:br/>
              <w:t>(New PBS listing)</w:t>
            </w:r>
          </w:p>
        </w:tc>
        <w:tc>
          <w:tcPr>
            <w:tcW w:w="2491" w:type="dxa"/>
            <w:shd w:val="clear" w:color="auto" w:fill="auto"/>
            <w:vAlign w:val="center"/>
          </w:tcPr>
          <w:p w14:paraId="32A8444A" w14:textId="13A11C70" w:rsidR="00124585" w:rsidRPr="00567D48" w:rsidRDefault="00124585"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Eosinophilic oesophagitis (</w:t>
            </w:r>
            <w:proofErr w:type="spellStart"/>
            <w:r w:rsidRPr="00567D48">
              <w:rPr>
                <w:rFonts w:asciiTheme="minorHAnsi" w:hAnsiTheme="minorHAnsi" w:cs="Arial"/>
                <w:color w:val="000000"/>
                <w:sz w:val="18"/>
                <w:szCs w:val="18"/>
              </w:rPr>
              <w:t>EoE</w:t>
            </w:r>
            <w:proofErr w:type="spellEnd"/>
            <w:r w:rsidRPr="00567D48">
              <w:rPr>
                <w:rFonts w:asciiTheme="minorHAnsi" w:hAnsiTheme="minorHAnsi" w:cs="Arial"/>
                <w:color w:val="000000"/>
                <w:sz w:val="18"/>
                <w:szCs w:val="18"/>
              </w:rPr>
              <w:t>)</w:t>
            </w:r>
          </w:p>
        </w:tc>
        <w:tc>
          <w:tcPr>
            <w:tcW w:w="0" w:type="auto"/>
            <w:shd w:val="clear" w:color="auto" w:fill="auto"/>
            <w:tcMar>
              <w:top w:w="28" w:type="dxa"/>
              <w:bottom w:w="28" w:type="dxa"/>
            </w:tcMar>
            <w:vAlign w:val="center"/>
          </w:tcPr>
          <w:p w14:paraId="7C50A0F9" w14:textId="26CCA492"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 xml:space="preserve">Resubmission to request an Authority Required listing for the treatment of </w:t>
            </w:r>
            <w:proofErr w:type="spellStart"/>
            <w:r w:rsidRPr="00567D48">
              <w:rPr>
                <w:rFonts w:asciiTheme="minorHAnsi" w:hAnsiTheme="minorHAnsi" w:cs="Arial"/>
                <w:color w:val="000000"/>
                <w:sz w:val="18"/>
                <w:szCs w:val="18"/>
              </w:rPr>
              <w:t>EoE</w:t>
            </w:r>
            <w:proofErr w:type="spellEnd"/>
            <w:r w:rsidRPr="00567D48">
              <w:rPr>
                <w:rFonts w:asciiTheme="minorHAnsi" w:hAnsiTheme="minorHAnsi" w:cs="Arial"/>
                <w:color w:val="000000"/>
                <w:sz w:val="18"/>
                <w:szCs w:val="18"/>
              </w:rPr>
              <w:t>.</w:t>
            </w:r>
          </w:p>
        </w:tc>
        <w:tc>
          <w:tcPr>
            <w:tcW w:w="0" w:type="auto"/>
            <w:shd w:val="clear" w:color="auto" w:fill="auto"/>
            <w:vAlign w:val="center"/>
          </w:tcPr>
          <w:p w14:paraId="3C3C6559" w14:textId="13D22B24"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7408C897" w14:textId="5D2E19F1" w:rsidR="00124585" w:rsidRPr="00567D48" w:rsidRDefault="00124585" w:rsidP="00811982">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 xml:space="preserve">The PBAC recommended the Authority Required (immediate assessment) listing of budesonide orally disintegrating tablets (BOT) for the treatment of </w:t>
            </w:r>
            <w:proofErr w:type="spellStart"/>
            <w:r w:rsidRPr="00567D48">
              <w:rPr>
                <w:rFonts w:asciiTheme="minorHAnsi" w:hAnsiTheme="minorHAnsi" w:cs="Arial"/>
                <w:color w:val="000000"/>
                <w:sz w:val="18"/>
                <w:szCs w:val="18"/>
              </w:rPr>
              <w:t>EoE</w:t>
            </w:r>
            <w:proofErr w:type="spellEnd"/>
            <w:r w:rsidRPr="00567D48">
              <w:rPr>
                <w:rFonts w:asciiTheme="minorHAnsi" w:hAnsiTheme="minorHAnsi" w:cs="Arial"/>
                <w:color w:val="000000"/>
                <w:sz w:val="18"/>
                <w:szCs w:val="18"/>
              </w:rPr>
              <w:t xml:space="preserve">. The PBAC noted TGA approval for maintenance therapy of </w:t>
            </w:r>
            <w:proofErr w:type="spellStart"/>
            <w:r w:rsidRPr="00567D48">
              <w:rPr>
                <w:rFonts w:asciiTheme="minorHAnsi" w:hAnsiTheme="minorHAnsi" w:cs="Arial"/>
                <w:color w:val="000000"/>
                <w:sz w:val="18"/>
                <w:szCs w:val="18"/>
              </w:rPr>
              <w:t>EoE</w:t>
            </w:r>
            <w:proofErr w:type="spellEnd"/>
            <w:r w:rsidRPr="00567D48">
              <w:rPr>
                <w:rFonts w:asciiTheme="minorHAnsi" w:hAnsiTheme="minorHAnsi" w:cs="Arial"/>
                <w:color w:val="000000"/>
                <w:sz w:val="18"/>
                <w:szCs w:val="18"/>
              </w:rPr>
              <w:t xml:space="preserve"> and registration of BOT 0.5 mg for this indication. Although uncertainty remained regarding the cost-effectiveness, the PBAC considered BOT likely cost-effective at the proposed price. The PBAC considered the uptake used to inform the financial estimates and Risk Sharing Arrangement should be based on the March 2021 DUSC advice.</w:t>
            </w:r>
          </w:p>
        </w:tc>
      </w:tr>
      <w:tr w:rsidR="00124585" w:rsidRPr="00567D48" w14:paraId="4DE96A36" w14:textId="77777777" w:rsidTr="00F00B7A">
        <w:trPr>
          <w:trHeight w:val="574"/>
        </w:trPr>
        <w:tc>
          <w:tcPr>
            <w:tcW w:w="2972" w:type="dxa"/>
            <w:shd w:val="clear" w:color="auto" w:fill="auto"/>
            <w:tcMar>
              <w:top w:w="28" w:type="dxa"/>
              <w:bottom w:w="28" w:type="dxa"/>
            </w:tcMar>
            <w:vAlign w:val="center"/>
          </w:tcPr>
          <w:p w14:paraId="721C6C5F" w14:textId="308590F8" w:rsidR="00124585" w:rsidRPr="00567D48" w:rsidRDefault="00124585"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BUPRENORPHINE</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Buvidal</w:t>
            </w:r>
            <w:proofErr w:type="spellEnd"/>
            <w:r w:rsidRPr="00567D48">
              <w:rPr>
                <w:rFonts w:asciiTheme="minorHAnsi" w:hAnsiTheme="minorHAnsi" w:cs="Arial"/>
                <w:color w:val="000000"/>
                <w:sz w:val="18"/>
                <w:szCs w:val="18"/>
              </w:rPr>
              <w:t>® Weekly:</w:t>
            </w:r>
            <w:r w:rsidRPr="00567D48">
              <w:rPr>
                <w:rFonts w:asciiTheme="minorHAnsi" w:hAnsiTheme="minorHAnsi" w:cs="Arial"/>
                <w:color w:val="000000"/>
                <w:sz w:val="18"/>
                <w:szCs w:val="18"/>
              </w:rPr>
              <w:br/>
              <w:t>Injection (modified release) 8</w:t>
            </w:r>
            <w:r w:rsidR="007F3395" w:rsidRPr="00567D48">
              <w:rPr>
                <w:rFonts w:asciiTheme="minorHAnsi" w:hAnsiTheme="minorHAnsi" w:cs="Arial"/>
                <w:color w:val="000000"/>
                <w:sz w:val="18"/>
                <w:szCs w:val="18"/>
              </w:rPr>
              <w:t> </w:t>
            </w:r>
            <w:r w:rsidRPr="00567D48">
              <w:rPr>
                <w:rFonts w:asciiTheme="minorHAnsi" w:hAnsiTheme="minorHAnsi" w:cs="Arial"/>
                <w:color w:val="000000"/>
                <w:sz w:val="18"/>
                <w:szCs w:val="18"/>
              </w:rPr>
              <w:t>mg in 0.16 mL pre-filled syringe</w:t>
            </w:r>
            <w:r w:rsidRPr="00567D48">
              <w:rPr>
                <w:rFonts w:asciiTheme="minorHAnsi" w:hAnsiTheme="minorHAnsi" w:cs="Arial"/>
                <w:color w:val="000000"/>
                <w:sz w:val="18"/>
                <w:szCs w:val="18"/>
              </w:rPr>
              <w:br/>
              <w:t>Injection (modified release) 16</w:t>
            </w:r>
            <w:r w:rsidR="007F3395" w:rsidRPr="00567D48">
              <w:rPr>
                <w:rFonts w:asciiTheme="minorHAnsi" w:hAnsiTheme="minorHAnsi" w:cs="Arial"/>
                <w:color w:val="000000"/>
                <w:sz w:val="18"/>
                <w:szCs w:val="18"/>
              </w:rPr>
              <w:t> </w:t>
            </w:r>
            <w:r w:rsidRPr="00567D48">
              <w:rPr>
                <w:rFonts w:asciiTheme="minorHAnsi" w:hAnsiTheme="minorHAnsi" w:cs="Arial"/>
                <w:color w:val="000000"/>
                <w:sz w:val="18"/>
                <w:szCs w:val="18"/>
              </w:rPr>
              <w:t>mg in 0.32 mL pre-filled syringe</w:t>
            </w:r>
            <w:r w:rsidRPr="00567D48">
              <w:rPr>
                <w:rFonts w:asciiTheme="minorHAnsi" w:hAnsiTheme="minorHAnsi" w:cs="Arial"/>
                <w:color w:val="000000"/>
                <w:sz w:val="18"/>
                <w:szCs w:val="18"/>
              </w:rPr>
              <w:br/>
              <w:t>Injection (modified release) 24</w:t>
            </w:r>
            <w:r w:rsidR="007F3395" w:rsidRPr="00567D48">
              <w:rPr>
                <w:rFonts w:asciiTheme="minorHAnsi" w:hAnsiTheme="minorHAnsi" w:cs="Arial"/>
                <w:color w:val="000000"/>
                <w:sz w:val="18"/>
                <w:szCs w:val="18"/>
              </w:rPr>
              <w:t> </w:t>
            </w:r>
            <w:r w:rsidRPr="00567D48">
              <w:rPr>
                <w:rFonts w:asciiTheme="minorHAnsi" w:hAnsiTheme="minorHAnsi" w:cs="Arial"/>
                <w:color w:val="000000"/>
                <w:sz w:val="18"/>
                <w:szCs w:val="18"/>
              </w:rPr>
              <w:t xml:space="preserve">mg in 0.48 mL pre-filled syringe </w:t>
            </w:r>
            <w:r w:rsidRPr="00567D48">
              <w:rPr>
                <w:rFonts w:asciiTheme="minorHAnsi" w:hAnsiTheme="minorHAnsi" w:cs="Arial"/>
                <w:color w:val="000000"/>
                <w:sz w:val="18"/>
                <w:szCs w:val="18"/>
              </w:rPr>
              <w:br/>
              <w:t>Injection (modified release) 32</w:t>
            </w:r>
            <w:r w:rsidR="007F3395" w:rsidRPr="00567D48">
              <w:rPr>
                <w:rFonts w:asciiTheme="minorHAnsi" w:hAnsiTheme="minorHAnsi" w:cs="Arial"/>
                <w:color w:val="000000"/>
                <w:sz w:val="18"/>
                <w:szCs w:val="18"/>
              </w:rPr>
              <w:t> </w:t>
            </w:r>
            <w:r w:rsidRPr="00567D48">
              <w:rPr>
                <w:rFonts w:asciiTheme="minorHAnsi" w:hAnsiTheme="minorHAnsi" w:cs="Arial"/>
                <w:color w:val="000000"/>
                <w:sz w:val="18"/>
                <w:szCs w:val="18"/>
              </w:rPr>
              <w:t xml:space="preserve">mg in 0.64 mL pre-filled syringe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Buvidal</w:t>
            </w:r>
            <w:proofErr w:type="spellEnd"/>
            <w:r w:rsidRPr="00567D48">
              <w:rPr>
                <w:rFonts w:asciiTheme="minorHAnsi" w:hAnsiTheme="minorHAnsi" w:cs="Arial"/>
                <w:color w:val="000000"/>
                <w:sz w:val="18"/>
                <w:szCs w:val="18"/>
              </w:rPr>
              <w:t>® Monthly:</w:t>
            </w:r>
            <w:r w:rsidRPr="00567D48">
              <w:rPr>
                <w:rFonts w:asciiTheme="minorHAnsi" w:hAnsiTheme="minorHAnsi" w:cs="Arial"/>
                <w:color w:val="000000"/>
                <w:sz w:val="18"/>
                <w:szCs w:val="18"/>
              </w:rPr>
              <w:br/>
              <w:t>Injection (modified release) 64</w:t>
            </w:r>
            <w:r w:rsidR="007F3395" w:rsidRPr="00567D48">
              <w:rPr>
                <w:rFonts w:asciiTheme="minorHAnsi" w:hAnsiTheme="minorHAnsi" w:cs="Arial"/>
                <w:color w:val="000000"/>
                <w:sz w:val="18"/>
                <w:szCs w:val="18"/>
              </w:rPr>
              <w:t> </w:t>
            </w:r>
            <w:r w:rsidRPr="00567D48">
              <w:rPr>
                <w:rFonts w:asciiTheme="minorHAnsi" w:hAnsiTheme="minorHAnsi" w:cs="Arial"/>
                <w:color w:val="000000"/>
                <w:sz w:val="18"/>
                <w:szCs w:val="18"/>
              </w:rPr>
              <w:t>mg in 0.18 mL pre-filled syringe</w:t>
            </w:r>
            <w:r w:rsidRPr="00567D48">
              <w:rPr>
                <w:rFonts w:asciiTheme="minorHAnsi" w:hAnsiTheme="minorHAnsi" w:cs="Arial"/>
                <w:color w:val="000000"/>
                <w:sz w:val="18"/>
                <w:szCs w:val="18"/>
              </w:rPr>
              <w:br/>
              <w:t>Injection (modified release) 96</w:t>
            </w:r>
            <w:r w:rsidR="007F3395" w:rsidRPr="00567D48">
              <w:rPr>
                <w:rFonts w:asciiTheme="minorHAnsi" w:hAnsiTheme="minorHAnsi" w:cs="Arial"/>
                <w:color w:val="000000"/>
                <w:sz w:val="18"/>
                <w:szCs w:val="18"/>
              </w:rPr>
              <w:t> </w:t>
            </w:r>
            <w:r w:rsidRPr="00567D48">
              <w:rPr>
                <w:rFonts w:asciiTheme="minorHAnsi" w:hAnsiTheme="minorHAnsi" w:cs="Arial"/>
                <w:color w:val="000000"/>
                <w:sz w:val="18"/>
                <w:szCs w:val="18"/>
              </w:rPr>
              <w:t>mg in 0.27 mL pre-filled syringe</w:t>
            </w:r>
            <w:r w:rsidRPr="00567D48">
              <w:rPr>
                <w:rFonts w:asciiTheme="minorHAnsi" w:hAnsiTheme="minorHAnsi" w:cs="Arial"/>
                <w:color w:val="000000"/>
                <w:sz w:val="18"/>
                <w:szCs w:val="18"/>
              </w:rPr>
              <w:br/>
              <w:t>Injection (modified release) 128</w:t>
            </w:r>
            <w:r w:rsidR="007F3395" w:rsidRPr="00567D48">
              <w:rPr>
                <w:rFonts w:asciiTheme="minorHAnsi" w:hAnsiTheme="minorHAnsi" w:cs="Arial"/>
                <w:color w:val="000000"/>
                <w:sz w:val="18"/>
                <w:szCs w:val="18"/>
              </w:rPr>
              <w:t> </w:t>
            </w:r>
            <w:r w:rsidRPr="00567D48">
              <w:rPr>
                <w:rFonts w:asciiTheme="minorHAnsi" w:hAnsiTheme="minorHAnsi" w:cs="Arial"/>
                <w:color w:val="000000"/>
                <w:sz w:val="18"/>
                <w:szCs w:val="18"/>
              </w:rPr>
              <w:t>mg in 0.36 mL pre-filled syringe</w:t>
            </w:r>
            <w:r w:rsidRPr="00567D48">
              <w:rPr>
                <w:rFonts w:asciiTheme="minorHAnsi" w:hAnsiTheme="minorHAnsi" w:cs="Arial"/>
                <w:color w:val="000000"/>
                <w:sz w:val="18"/>
                <w:szCs w:val="18"/>
              </w:rPr>
              <w:br/>
              <w:t>Injection (modified release) 160</w:t>
            </w:r>
            <w:r w:rsidR="007F3395" w:rsidRPr="00567D48">
              <w:rPr>
                <w:rFonts w:asciiTheme="minorHAnsi" w:hAnsiTheme="minorHAnsi" w:cs="Arial"/>
                <w:color w:val="000000"/>
                <w:sz w:val="18"/>
                <w:szCs w:val="18"/>
              </w:rPr>
              <w:t> </w:t>
            </w:r>
            <w:r w:rsidRPr="00567D48">
              <w:rPr>
                <w:rFonts w:asciiTheme="minorHAnsi" w:hAnsiTheme="minorHAnsi" w:cs="Arial"/>
                <w:color w:val="000000"/>
                <w:sz w:val="18"/>
                <w:szCs w:val="18"/>
              </w:rPr>
              <w:t>mg in 0.45 mL pre-filled syringe (new strength)</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Buvidal</w:t>
            </w:r>
            <w:proofErr w:type="spellEnd"/>
            <w:r w:rsidRPr="00567D48">
              <w:rPr>
                <w:rFonts w:asciiTheme="minorHAnsi" w:hAnsiTheme="minorHAnsi" w:cs="Arial"/>
                <w:color w:val="000000"/>
                <w:sz w:val="18"/>
                <w:szCs w:val="18"/>
              </w:rPr>
              <w:t xml:space="preserve">® Weekly; </w:t>
            </w:r>
            <w:proofErr w:type="spellStart"/>
            <w:r w:rsidRPr="00567D48">
              <w:rPr>
                <w:rFonts w:asciiTheme="minorHAnsi" w:hAnsiTheme="minorHAnsi" w:cs="Arial"/>
                <w:color w:val="000000"/>
                <w:sz w:val="18"/>
                <w:szCs w:val="18"/>
              </w:rPr>
              <w:t>Buvidal</w:t>
            </w:r>
            <w:proofErr w:type="spellEnd"/>
            <w:r w:rsidRPr="00567D48">
              <w:rPr>
                <w:rFonts w:asciiTheme="minorHAnsi" w:hAnsiTheme="minorHAnsi" w:cs="Arial"/>
                <w:color w:val="000000"/>
                <w:sz w:val="18"/>
                <w:szCs w:val="18"/>
              </w:rPr>
              <w:t>® Monthly</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Camurus</w:t>
            </w:r>
            <w:proofErr w:type="spellEnd"/>
            <w:r w:rsidRPr="00567D48">
              <w:rPr>
                <w:rFonts w:asciiTheme="minorHAnsi" w:hAnsiTheme="minorHAnsi" w:cs="Arial"/>
                <w:color w:val="000000"/>
                <w:sz w:val="18"/>
                <w:szCs w:val="18"/>
              </w:rPr>
              <w:t xml:space="preserve">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2 submission</w:t>
            </w:r>
            <w:r w:rsidRPr="00567D48">
              <w:rPr>
                <w:rFonts w:asciiTheme="minorHAnsi" w:hAnsiTheme="minorHAnsi" w:cs="Arial"/>
                <w:color w:val="000000"/>
                <w:sz w:val="18"/>
                <w:szCs w:val="18"/>
              </w:rPr>
              <w:br/>
              <w:t>(New PBS listing)</w:t>
            </w:r>
          </w:p>
          <w:p w14:paraId="5794D730" w14:textId="6817BF8D" w:rsidR="00195A6E" w:rsidRPr="00567D48" w:rsidRDefault="00195A6E" w:rsidP="00124585">
            <w:pPr>
              <w:keepLines/>
              <w:spacing w:after="120"/>
              <w:rPr>
                <w:rFonts w:asciiTheme="minorHAnsi" w:hAnsiTheme="minorHAnsi" w:cs="Arial"/>
                <w:color w:val="000000"/>
                <w:sz w:val="18"/>
                <w:szCs w:val="18"/>
              </w:rPr>
            </w:pPr>
          </w:p>
        </w:tc>
        <w:tc>
          <w:tcPr>
            <w:tcW w:w="2491" w:type="dxa"/>
            <w:shd w:val="clear" w:color="auto" w:fill="auto"/>
            <w:vAlign w:val="center"/>
          </w:tcPr>
          <w:p w14:paraId="041039E9" w14:textId="712A1D46" w:rsidR="00124585" w:rsidRPr="00567D48" w:rsidRDefault="00124585"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Opioid dependence</w:t>
            </w:r>
          </w:p>
        </w:tc>
        <w:tc>
          <w:tcPr>
            <w:tcW w:w="0" w:type="auto"/>
            <w:shd w:val="clear" w:color="auto" w:fill="auto"/>
            <w:tcMar>
              <w:top w:w="28" w:type="dxa"/>
              <w:bottom w:w="28" w:type="dxa"/>
            </w:tcMar>
            <w:vAlign w:val="center"/>
          </w:tcPr>
          <w:p w14:paraId="7D8A6194" w14:textId="1BC86C63" w:rsidR="00124585" w:rsidRPr="00567D48" w:rsidRDefault="00124585" w:rsidP="007E6257">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 xml:space="preserve">To request: a General Schedule listing in addition to the existing Section 100 (Opiate Dependence Treatment Program) listing under the same circumstances as the currently listed </w:t>
            </w:r>
            <w:proofErr w:type="spellStart"/>
            <w:r w:rsidRPr="00567D48">
              <w:rPr>
                <w:rFonts w:asciiTheme="minorHAnsi" w:hAnsiTheme="minorHAnsi" w:cs="Arial"/>
                <w:color w:val="000000"/>
                <w:sz w:val="18"/>
                <w:szCs w:val="18"/>
              </w:rPr>
              <w:t>Buvidal</w:t>
            </w:r>
            <w:proofErr w:type="spellEnd"/>
            <w:r w:rsidRPr="00567D48">
              <w:rPr>
                <w:rFonts w:asciiTheme="minorHAnsi" w:hAnsiTheme="minorHAnsi" w:cs="Arial"/>
                <w:color w:val="000000"/>
                <w:sz w:val="18"/>
                <w:szCs w:val="18"/>
              </w:rPr>
              <w:t xml:space="preserve">®; listing an additional 160 mg strength of </w:t>
            </w:r>
            <w:proofErr w:type="spellStart"/>
            <w:r w:rsidRPr="00567D48">
              <w:rPr>
                <w:rFonts w:asciiTheme="minorHAnsi" w:hAnsiTheme="minorHAnsi" w:cs="Arial"/>
                <w:color w:val="000000"/>
                <w:sz w:val="18"/>
                <w:szCs w:val="18"/>
              </w:rPr>
              <w:t>Buvidal</w:t>
            </w:r>
            <w:proofErr w:type="spellEnd"/>
            <w:r w:rsidRPr="00567D48">
              <w:rPr>
                <w:rFonts w:asciiTheme="minorHAnsi" w:hAnsiTheme="minorHAnsi" w:cs="Arial"/>
                <w:color w:val="000000"/>
                <w:sz w:val="18"/>
                <w:szCs w:val="18"/>
              </w:rPr>
              <w:t xml:space="preserve"> Monthly under the same circumstances as the currently listed </w:t>
            </w:r>
            <w:proofErr w:type="spellStart"/>
            <w:r w:rsidRPr="00567D48">
              <w:rPr>
                <w:rFonts w:asciiTheme="minorHAnsi" w:hAnsiTheme="minorHAnsi" w:cs="Arial"/>
                <w:color w:val="000000"/>
                <w:sz w:val="18"/>
                <w:szCs w:val="18"/>
              </w:rPr>
              <w:t>Buvidal</w:t>
            </w:r>
            <w:proofErr w:type="spellEnd"/>
            <w:r w:rsidRPr="00567D48">
              <w:rPr>
                <w:rFonts w:asciiTheme="minorHAnsi" w:hAnsiTheme="minorHAnsi" w:cs="Arial"/>
                <w:color w:val="000000"/>
                <w:sz w:val="18"/>
                <w:szCs w:val="18"/>
              </w:rPr>
              <w:t xml:space="preserve"> Monthly; removing the requirement that a patient must be stabilised on sublingual buprenorphine or buprenorphine/naloxone prior to commencing treatment with </w:t>
            </w:r>
            <w:proofErr w:type="spellStart"/>
            <w:r w:rsidRPr="00567D48">
              <w:rPr>
                <w:rFonts w:asciiTheme="minorHAnsi" w:hAnsiTheme="minorHAnsi" w:cs="Arial"/>
                <w:color w:val="000000"/>
                <w:sz w:val="18"/>
                <w:szCs w:val="18"/>
              </w:rPr>
              <w:t>Buvidal</w:t>
            </w:r>
            <w:proofErr w:type="spellEnd"/>
            <w:r w:rsidRPr="00567D48">
              <w:rPr>
                <w:rFonts w:asciiTheme="minorHAnsi" w:hAnsiTheme="minorHAnsi" w:cs="Arial"/>
                <w:color w:val="000000"/>
                <w:sz w:val="18"/>
                <w:szCs w:val="18"/>
              </w:rPr>
              <w:t xml:space="preserve"> to align with recent</w:t>
            </w:r>
            <w:r w:rsidR="00811982" w:rsidRPr="00567D48">
              <w:rPr>
                <w:rFonts w:asciiTheme="minorHAnsi" w:hAnsiTheme="minorHAnsi" w:cs="Arial"/>
                <w:color w:val="000000"/>
                <w:sz w:val="18"/>
                <w:szCs w:val="18"/>
              </w:rPr>
              <w:t xml:space="preserve"> regulatory updates by the TGA.</w:t>
            </w:r>
          </w:p>
        </w:tc>
        <w:tc>
          <w:tcPr>
            <w:tcW w:w="0" w:type="auto"/>
            <w:shd w:val="clear" w:color="auto" w:fill="auto"/>
            <w:vAlign w:val="center"/>
          </w:tcPr>
          <w:p w14:paraId="40CE64F9" w14:textId="021D18F7"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2CB87640" w14:textId="77777777" w:rsidR="00811982" w:rsidRPr="00567D48" w:rsidRDefault="00124585" w:rsidP="00811982">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The PBAC recommended the listing of the new form, 160 mg monthly prolonged release buprenorphine, for the treatment of opiate dependence on the basis that it should be available only under special arrangements under Section 100 for opiate dependence with restricted benefit. The PBAC also recommended changing the PBS restriction to remove the requirement for stabilisation on sublingual buprenorphine or sublingual buprenorphine/naloxone prior to commencing treatment with weekly prolonged release buprenorphine, consistent with the recent a</w:t>
            </w:r>
            <w:r w:rsidR="00811982" w:rsidRPr="00567D48">
              <w:rPr>
                <w:rFonts w:asciiTheme="minorHAnsi" w:hAnsiTheme="minorHAnsi" w:cs="Arial"/>
                <w:color w:val="000000"/>
                <w:sz w:val="18"/>
                <w:szCs w:val="18"/>
              </w:rPr>
              <w:t>mendment to the TGA indication.</w:t>
            </w:r>
          </w:p>
          <w:p w14:paraId="4F159A26" w14:textId="77777777" w:rsidR="00811982" w:rsidRPr="00567D48" w:rsidRDefault="00811982" w:rsidP="00811982">
            <w:pPr>
              <w:pStyle w:val="ListParagraph"/>
              <w:keepLines/>
              <w:spacing w:after="120"/>
              <w:ind w:left="0"/>
              <w:rPr>
                <w:rFonts w:asciiTheme="minorHAnsi" w:hAnsiTheme="minorHAnsi" w:cs="Arial"/>
                <w:color w:val="000000"/>
                <w:sz w:val="18"/>
                <w:szCs w:val="18"/>
              </w:rPr>
            </w:pPr>
          </w:p>
          <w:p w14:paraId="49048830" w14:textId="72F2D459" w:rsidR="00124585" w:rsidRPr="00567D48" w:rsidRDefault="00124585" w:rsidP="008D5469">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The PBAC did not recommend the requested price increase and could not make a decision for the consideration of the Section 85 (Restricted Benefit) listing in addition to the current Section 100 (</w:t>
            </w:r>
            <w:r w:rsidR="007E6257" w:rsidRPr="00567D48">
              <w:rPr>
                <w:rFonts w:asciiTheme="minorHAnsi" w:hAnsiTheme="minorHAnsi" w:cs="Arial"/>
                <w:color w:val="000000"/>
                <w:sz w:val="18"/>
                <w:szCs w:val="18"/>
              </w:rPr>
              <w:t>Opiate Dependence Treatment Program</w:t>
            </w:r>
            <w:r w:rsidRPr="00567D48">
              <w:rPr>
                <w:rFonts w:asciiTheme="minorHAnsi" w:hAnsiTheme="minorHAnsi" w:cs="Arial"/>
                <w:color w:val="000000"/>
                <w:sz w:val="18"/>
                <w:szCs w:val="18"/>
              </w:rPr>
              <w:t>). The PBAC noted the current Post-market Review of Opiate Dependence Treatment Program medicines (ODTP PMR), which will consider barriers to access including affordability of ODTP medicines. The PBAC considered that the request for dual Section 85/100 listing should be informed by the ODTP PMR. The sponsor may wish to resubmit to the PBAC concerning these matters after the outcomes of the ODTP PMR become available.</w:t>
            </w:r>
          </w:p>
        </w:tc>
      </w:tr>
      <w:tr w:rsidR="00124585" w:rsidRPr="00567D48" w14:paraId="00BC7550" w14:textId="77777777" w:rsidTr="00F00B7A">
        <w:trPr>
          <w:cantSplit/>
          <w:trHeight w:val="574"/>
        </w:trPr>
        <w:tc>
          <w:tcPr>
            <w:tcW w:w="2972" w:type="dxa"/>
            <w:shd w:val="clear" w:color="auto" w:fill="auto"/>
            <w:tcMar>
              <w:top w:w="28" w:type="dxa"/>
              <w:bottom w:w="28" w:type="dxa"/>
            </w:tcMar>
            <w:vAlign w:val="center"/>
          </w:tcPr>
          <w:p w14:paraId="360BF33E" w14:textId="68C957FC" w:rsidR="00124585" w:rsidRPr="00567D48" w:rsidRDefault="00124585"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CABOTEGRAVIR</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Tablet containing cabotegravir 30 mg</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Vocabria</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CABOTEGRAVIR AND</w:t>
            </w:r>
            <w:r w:rsidRPr="00567D48">
              <w:rPr>
                <w:rFonts w:asciiTheme="minorHAnsi" w:hAnsiTheme="minorHAnsi" w:cs="Arial"/>
                <w:color w:val="000000"/>
                <w:sz w:val="18"/>
                <w:szCs w:val="18"/>
              </w:rPr>
              <w:br/>
              <w:t>RILPIVIRINE</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 xml:space="preserve">Pack containing 1 injection of cabotegravir 600 mg in 3 mL and 1 injection of </w:t>
            </w:r>
            <w:proofErr w:type="spellStart"/>
            <w:r w:rsidRPr="00567D48">
              <w:rPr>
                <w:rFonts w:asciiTheme="minorHAnsi" w:hAnsiTheme="minorHAnsi" w:cs="Arial"/>
                <w:color w:val="000000"/>
                <w:sz w:val="18"/>
                <w:szCs w:val="18"/>
              </w:rPr>
              <w:t>rilpivirine</w:t>
            </w:r>
            <w:proofErr w:type="spellEnd"/>
            <w:r w:rsidRPr="00567D48">
              <w:rPr>
                <w:rFonts w:asciiTheme="minorHAnsi" w:hAnsiTheme="minorHAnsi" w:cs="Arial"/>
                <w:color w:val="000000"/>
                <w:sz w:val="18"/>
                <w:szCs w:val="18"/>
              </w:rPr>
              <w:t xml:space="preserve"> 900 mg in 3 mL</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Cabenuva</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ViiV</w:t>
            </w:r>
            <w:proofErr w:type="spellEnd"/>
            <w:r w:rsidRPr="00567D48">
              <w:rPr>
                <w:rFonts w:asciiTheme="minorHAnsi" w:hAnsiTheme="minorHAnsi" w:cs="Arial"/>
                <w:color w:val="000000"/>
                <w:sz w:val="18"/>
                <w:szCs w:val="18"/>
              </w:rPr>
              <w:t xml:space="preserve"> Healthcare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Standard Re-entry submission</w:t>
            </w:r>
            <w:r w:rsidRPr="00567D48">
              <w:rPr>
                <w:rFonts w:asciiTheme="minorHAnsi" w:hAnsiTheme="minorHAnsi" w:cs="Arial"/>
                <w:color w:val="000000"/>
                <w:sz w:val="18"/>
                <w:szCs w:val="18"/>
              </w:rPr>
              <w:br/>
              <w:t>(New PBS listing)</w:t>
            </w:r>
          </w:p>
        </w:tc>
        <w:tc>
          <w:tcPr>
            <w:tcW w:w="2491" w:type="dxa"/>
            <w:shd w:val="clear" w:color="auto" w:fill="auto"/>
            <w:vAlign w:val="center"/>
          </w:tcPr>
          <w:p w14:paraId="037F7269" w14:textId="12F241A8" w:rsidR="00124585" w:rsidRPr="00567D48" w:rsidRDefault="00124585"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Human Immunodeficiency virus (HIV)</w:t>
            </w:r>
          </w:p>
        </w:tc>
        <w:tc>
          <w:tcPr>
            <w:tcW w:w="0" w:type="auto"/>
            <w:shd w:val="clear" w:color="auto" w:fill="auto"/>
            <w:tcMar>
              <w:top w:w="28" w:type="dxa"/>
              <w:bottom w:w="28" w:type="dxa"/>
            </w:tcMar>
            <w:vAlign w:val="center"/>
          </w:tcPr>
          <w:p w14:paraId="4B54D44D" w14:textId="72CD9448"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Resubmission to request a Section 100 (Highly Specialised Drugs Program - Community Access) Authority Required (STREAMLINED) listing for the treatment of HIV infection in adults who are virologically suppressed.</w:t>
            </w:r>
          </w:p>
        </w:tc>
        <w:tc>
          <w:tcPr>
            <w:tcW w:w="0" w:type="auto"/>
            <w:shd w:val="clear" w:color="auto" w:fill="auto"/>
            <w:vAlign w:val="center"/>
          </w:tcPr>
          <w:p w14:paraId="1061639E" w14:textId="53BE8E95"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tcPr>
          <w:p w14:paraId="03376F7B" w14:textId="2461B477" w:rsidR="00124585" w:rsidRPr="00567D48" w:rsidRDefault="00124585" w:rsidP="00124585">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 xml:space="preserve">The PBAC recommended the Section 100 (Highly Specialised Drugs Program – Community Access) listing of cabotegravir and </w:t>
            </w:r>
            <w:proofErr w:type="spellStart"/>
            <w:r w:rsidRPr="00567D48">
              <w:rPr>
                <w:rFonts w:asciiTheme="minorHAnsi" w:hAnsiTheme="minorHAnsi" w:cs="Arial"/>
                <w:color w:val="000000"/>
                <w:sz w:val="18"/>
                <w:szCs w:val="18"/>
              </w:rPr>
              <w:t>rilpirivine</w:t>
            </w:r>
            <w:proofErr w:type="spellEnd"/>
            <w:r w:rsidRPr="00567D48">
              <w:rPr>
                <w:rFonts w:asciiTheme="minorHAnsi" w:hAnsiTheme="minorHAnsi" w:cs="Arial"/>
                <w:color w:val="000000"/>
                <w:sz w:val="18"/>
                <w:szCs w:val="18"/>
              </w:rPr>
              <w:t xml:space="preserve"> long-acting injectable (CAB LA + RPV LA) for the management of HIV infection.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In making this recommendation, the PBAC considered CAB LA + RPV LA to be of non</w:t>
            </w:r>
            <w:r w:rsidR="00EC4DE4" w:rsidRPr="00567D48">
              <w:rPr>
                <w:rFonts w:asciiTheme="minorHAnsi" w:hAnsiTheme="minorHAnsi" w:cs="Arial"/>
                <w:color w:val="000000"/>
                <w:sz w:val="18"/>
                <w:szCs w:val="18"/>
              </w:rPr>
              <w:t>-</w:t>
            </w:r>
            <w:r w:rsidRPr="00567D48">
              <w:rPr>
                <w:rFonts w:asciiTheme="minorHAnsi" w:hAnsiTheme="minorHAnsi" w:cs="Arial"/>
                <w:color w:val="000000"/>
                <w:sz w:val="18"/>
                <w:szCs w:val="18"/>
              </w:rPr>
              <w:t>inferior comparative effectiveness to daily oral anti-retroviral therapy (ART) in terms of virologic suppression and recognised that some people living with HIV (PLHIV) in certain populations, such as Aboriginal and/or Torres Strait Islander people, those living in rural or remote settings, and individuals with complex living or social circumstances, had issues adhering to a daily oral regimen and would potentially have improved QoL from a long-acting injectable option administered in a clinical setting. The Committee welcomed the input from consumers and clinicians, which highlighted the potential benefits the listing of a long-acting injectable option may have for some PLHIV.</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The PBAC considered the magnitude of this benefit was difficult to quantify and differentiate from patient preference or convenience factors, which may also lead some patients to take up a long-acting injectable option. The PBAC considered that as CAB LA + RPV LA offers benefits in terms of quality of l</w:t>
            </w:r>
            <w:r w:rsidR="00035CFA" w:rsidRPr="00567D48">
              <w:rPr>
                <w:rFonts w:asciiTheme="minorHAnsi" w:hAnsiTheme="minorHAnsi" w:cs="Arial"/>
                <w:color w:val="000000"/>
                <w:sz w:val="18"/>
                <w:szCs w:val="18"/>
              </w:rPr>
              <w:t xml:space="preserve">ife and increased adherence for </w:t>
            </w:r>
            <w:r w:rsidRPr="00567D48">
              <w:rPr>
                <w:rFonts w:asciiTheme="minorHAnsi" w:hAnsiTheme="minorHAnsi" w:cs="Arial"/>
                <w:color w:val="000000"/>
                <w:sz w:val="18"/>
                <w:szCs w:val="18"/>
              </w:rPr>
              <w:t>some PLHIV compared to daily oral ART, a premium over the least costly alternative daily oral ART option was reasonable.</w:t>
            </w:r>
          </w:p>
        </w:tc>
      </w:tr>
      <w:tr w:rsidR="00124585" w:rsidRPr="00567D48" w14:paraId="3EE7C8DE" w14:textId="77777777" w:rsidTr="00F00B7A">
        <w:trPr>
          <w:cantSplit/>
          <w:trHeight w:val="574"/>
        </w:trPr>
        <w:tc>
          <w:tcPr>
            <w:tcW w:w="2972" w:type="dxa"/>
            <w:shd w:val="clear" w:color="auto" w:fill="auto"/>
            <w:tcMar>
              <w:top w:w="28" w:type="dxa"/>
              <w:bottom w:w="28" w:type="dxa"/>
            </w:tcMar>
            <w:vAlign w:val="center"/>
          </w:tcPr>
          <w:p w14:paraId="3B26F85F" w14:textId="13093C86" w:rsidR="00124585" w:rsidRPr="00567D48" w:rsidRDefault="00124585"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 xml:space="preserve">CEMIPLIMAB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Solution for I.V. infusion 350 mg in 7 mL</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Libtayo</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Sanofi-Aventis Australia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2 submission</w:t>
            </w:r>
            <w:r w:rsidRPr="00567D48">
              <w:rPr>
                <w:rFonts w:asciiTheme="minorHAnsi" w:hAnsiTheme="minorHAnsi" w:cs="Arial"/>
                <w:color w:val="000000"/>
                <w:sz w:val="18"/>
                <w:szCs w:val="18"/>
              </w:rPr>
              <w:br/>
              <w:t>(New PBS listing)</w:t>
            </w:r>
          </w:p>
        </w:tc>
        <w:tc>
          <w:tcPr>
            <w:tcW w:w="2491" w:type="dxa"/>
            <w:shd w:val="clear" w:color="auto" w:fill="auto"/>
            <w:vAlign w:val="center"/>
          </w:tcPr>
          <w:p w14:paraId="61131ACB" w14:textId="6463A7C9" w:rsidR="00124585" w:rsidRPr="00567D48" w:rsidRDefault="00124585"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Non-small cell lung cancer (NSCLC)</w:t>
            </w:r>
          </w:p>
        </w:tc>
        <w:tc>
          <w:tcPr>
            <w:tcW w:w="0" w:type="auto"/>
            <w:shd w:val="clear" w:color="auto" w:fill="auto"/>
            <w:tcMar>
              <w:top w:w="28" w:type="dxa"/>
              <w:bottom w:w="28" w:type="dxa"/>
            </w:tcMar>
            <w:vAlign w:val="center"/>
          </w:tcPr>
          <w:p w14:paraId="34F7C61F" w14:textId="5E28B251"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 xml:space="preserve">To request a Section 100 (Efficient Funding of Chemotherapy Program) Authority Required (STREAMLINED) listing for the treatment of patients with stage IV NSCLC expressing PD-L1 with a tumour proportion score ≥50%. </w:t>
            </w:r>
          </w:p>
        </w:tc>
        <w:tc>
          <w:tcPr>
            <w:tcW w:w="0" w:type="auto"/>
            <w:shd w:val="clear" w:color="auto" w:fill="auto"/>
            <w:vAlign w:val="center"/>
          </w:tcPr>
          <w:p w14:paraId="20786E14" w14:textId="5A4DC7A2"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4723AE70" w14:textId="271468C1" w:rsidR="00124585" w:rsidRPr="00567D48" w:rsidRDefault="00124585" w:rsidP="000F0D73">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The PBAC recommended the Section 100 (Efficient Funding of Chemotherapy) Authority Required (</w:t>
            </w:r>
            <w:r w:rsidR="0096451A" w:rsidRPr="00567D48">
              <w:rPr>
                <w:rFonts w:asciiTheme="minorHAnsi" w:hAnsiTheme="minorHAnsi" w:cs="Arial"/>
                <w:color w:val="000000"/>
                <w:sz w:val="18"/>
                <w:szCs w:val="18"/>
              </w:rPr>
              <w:t>STREAMLINED</w:t>
            </w:r>
            <w:r w:rsidRPr="00567D48">
              <w:rPr>
                <w:rFonts w:asciiTheme="minorHAnsi" w:hAnsiTheme="minorHAnsi" w:cs="Arial"/>
                <w:color w:val="000000"/>
                <w:sz w:val="18"/>
                <w:szCs w:val="18"/>
              </w:rPr>
              <w:t xml:space="preserve">) listing of </w:t>
            </w:r>
            <w:proofErr w:type="spellStart"/>
            <w:r w:rsidRPr="00567D48">
              <w:rPr>
                <w:rFonts w:asciiTheme="minorHAnsi" w:hAnsiTheme="minorHAnsi" w:cs="Arial"/>
                <w:color w:val="000000"/>
                <w:sz w:val="18"/>
                <w:szCs w:val="18"/>
              </w:rPr>
              <w:t>cemiplimab</w:t>
            </w:r>
            <w:proofErr w:type="spellEnd"/>
            <w:r w:rsidRPr="00567D48">
              <w:rPr>
                <w:rFonts w:asciiTheme="minorHAnsi" w:hAnsiTheme="minorHAnsi" w:cs="Arial"/>
                <w:color w:val="000000"/>
                <w:sz w:val="18"/>
                <w:szCs w:val="18"/>
              </w:rPr>
              <w:t xml:space="preserve"> for the treatment of previously untreated metastatic NSCLC, in patients with a programmed cell death ligand 1 (PD-L1) tumour proportion score (TPS) ≥50%. The PBAC’s recommendation for listing was based on, among other matters, its assessment that the cost-effectiveness of </w:t>
            </w:r>
            <w:proofErr w:type="spellStart"/>
            <w:r w:rsidRPr="00567D48">
              <w:rPr>
                <w:rFonts w:asciiTheme="minorHAnsi" w:hAnsiTheme="minorHAnsi" w:cs="Arial"/>
                <w:color w:val="000000"/>
                <w:sz w:val="18"/>
                <w:szCs w:val="18"/>
              </w:rPr>
              <w:t>cemiplimab</w:t>
            </w:r>
            <w:proofErr w:type="spellEnd"/>
            <w:r w:rsidRPr="00567D48">
              <w:rPr>
                <w:rFonts w:asciiTheme="minorHAnsi" w:hAnsiTheme="minorHAnsi" w:cs="Arial"/>
                <w:color w:val="000000"/>
                <w:sz w:val="18"/>
                <w:szCs w:val="18"/>
              </w:rPr>
              <w:t xml:space="preserve"> would be acceptable if it were</w:t>
            </w:r>
            <w:r w:rsidR="000F0D73" w:rsidRPr="00567D48">
              <w:rPr>
                <w:rFonts w:asciiTheme="minorHAnsi" w:hAnsiTheme="minorHAnsi" w:cs="Arial"/>
                <w:color w:val="000000"/>
                <w:sz w:val="18"/>
                <w:szCs w:val="18"/>
              </w:rPr>
              <w:t xml:space="preserve"> </w:t>
            </w:r>
            <w:r w:rsidRPr="00567D48">
              <w:rPr>
                <w:rFonts w:asciiTheme="minorHAnsi" w:hAnsiTheme="minorHAnsi" w:cs="Arial"/>
                <w:color w:val="000000"/>
                <w:sz w:val="18"/>
                <w:szCs w:val="18"/>
              </w:rPr>
              <w:t xml:space="preserve">cost-minimised against pembrolizumab. The PBAC advised that the </w:t>
            </w:r>
            <w:proofErr w:type="spellStart"/>
            <w:r w:rsidRPr="00567D48">
              <w:rPr>
                <w:rFonts w:asciiTheme="minorHAnsi" w:hAnsiTheme="minorHAnsi" w:cs="Arial"/>
                <w:color w:val="000000"/>
                <w:sz w:val="18"/>
                <w:szCs w:val="18"/>
              </w:rPr>
              <w:t>equi</w:t>
            </w:r>
            <w:proofErr w:type="spellEnd"/>
            <w:r w:rsidRPr="00567D48">
              <w:rPr>
                <w:rFonts w:asciiTheme="minorHAnsi" w:hAnsiTheme="minorHAnsi" w:cs="Arial"/>
                <w:color w:val="000000"/>
                <w:sz w:val="18"/>
                <w:szCs w:val="18"/>
              </w:rPr>
              <w:t xml:space="preserve">-effective doses are </w:t>
            </w:r>
            <w:proofErr w:type="spellStart"/>
            <w:r w:rsidRPr="00567D48">
              <w:rPr>
                <w:rFonts w:asciiTheme="minorHAnsi" w:hAnsiTheme="minorHAnsi" w:cs="Arial"/>
                <w:color w:val="000000"/>
                <w:sz w:val="18"/>
                <w:szCs w:val="18"/>
              </w:rPr>
              <w:t>cemiplimab</w:t>
            </w:r>
            <w:proofErr w:type="spellEnd"/>
            <w:r w:rsidRPr="00567D48">
              <w:rPr>
                <w:rFonts w:asciiTheme="minorHAnsi" w:hAnsiTheme="minorHAnsi" w:cs="Arial"/>
                <w:color w:val="000000"/>
                <w:sz w:val="18"/>
                <w:szCs w:val="18"/>
              </w:rPr>
              <w:t xml:space="preserve"> 350 mg Q3W</w:t>
            </w:r>
            <w:r w:rsidR="00035CFA" w:rsidRPr="00567D48">
              <w:rPr>
                <w:rFonts w:asciiTheme="minorHAnsi" w:hAnsiTheme="minorHAnsi" w:cs="Arial"/>
                <w:color w:val="000000"/>
                <w:sz w:val="18"/>
                <w:szCs w:val="18"/>
              </w:rPr>
              <w:t xml:space="preserve"> and pembrolizumab 200 mg Q3W. </w:t>
            </w:r>
            <w:r w:rsidRPr="00567D48">
              <w:rPr>
                <w:rFonts w:asciiTheme="minorHAnsi" w:hAnsiTheme="minorHAnsi" w:cs="Arial"/>
                <w:color w:val="000000"/>
                <w:sz w:val="18"/>
                <w:szCs w:val="18"/>
              </w:rPr>
              <w:t xml:space="preserve">The PBAC advised flow on changes to the pembrolizumab NSCLC restriction criteria for consistency with the </w:t>
            </w:r>
            <w:proofErr w:type="spellStart"/>
            <w:r w:rsidRPr="00567D48">
              <w:rPr>
                <w:rFonts w:asciiTheme="minorHAnsi" w:hAnsiTheme="minorHAnsi" w:cs="Arial"/>
                <w:color w:val="000000"/>
                <w:sz w:val="18"/>
                <w:szCs w:val="18"/>
              </w:rPr>
              <w:t>cemipli</w:t>
            </w:r>
            <w:r w:rsidR="00035CFA" w:rsidRPr="00567D48">
              <w:rPr>
                <w:rFonts w:asciiTheme="minorHAnsi" w:hAnsiTheme="minorHAnsi" w:cs="Arial"/>
                <w:color w:val="000000"/>
                <w:sz w:val="18"/>
                <w:szCs w:val="18"/>
              </w:rPr>
              <w:t>mab</w:t>
            </w:r>
            <w:proofErr w:type="spellEnd"/>
            <w:r w:rsidR="00035CFA" w:rsidRPr="00567D48">
              <w:rPr>
                <w:rFonts w:asciiTheme="minorHAnsi" w:hAnsiTheme="minorHAnsi" w:cs="Arial"/>
                <w:color w:val="000000"/>
                <w:sz w:val="18"/>
                <w:szCs w:val="18"/>
              </w:rPr>
              <w:t xml:space="preserve"> restriction criteria.</w:t>
            </w:r>
          </w:p>
        </w:tc>
      </w:tr>
      <w:tr w:rsidR="00124585" w:rsidRPr="00567D48" w14:paraId="4BF5C66E" w14:textId="77777777" w:rsidTr="00F00B7A">
        <w:trPr>
          <w:cantSplit/>
          <w:trHeight w:val="574"/>
        </w:trPr>
        <w:tc>
          <w:tcPr>
            <w:tcW w:w="2972" w:type="dxa"/>
            <w:shd w:val="clear" w:color="auto" w:fill="auto"/>
            <w:tcMar>
              <w:top w:w="28" w:type="dxa"/>
              <w:bottom w:w="28" w:type="dxa"/>
            </w:tcMar>
            <w:vAlign w:val="center"/>
          </w:tcPr>
          <w:p w14:paraId="6EA4993F" w14:textId="47D8C608" w:rsidR="00124585" w:rsidRPr="00567D48" w:rsidRDefault="00124585"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t xml:space="preserve">CEMIPLIMAB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Solution for I.V. infusion 350 mg in 7 mL</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Libtayo</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Sanofi-Aventis Australia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Standard Re-entry submission</w:t>
            </w:r>
            <w:r w:rsidRPr="00567D48">
              <w:rPr>
                <w:rFonts w:asciiTheme="minorHAnsi" w:hAnsiTheme="minorHAnsi" w:cs="Arial"/>
                <w:color w:val="000000"/>
                <w:sz w:val="18"/>
                <w:szCs w:val="18"/>
              </w:rPr>
              <w:br/>
              <w:t>(New PBS listing)</w:t>
            </w:r>
          </w:p>
        </w:tc>
        <w:tc>
          <w:tcPr>
            <w:tcW w:w="2491" w:type="dxa"/>
            <w:shd w:val="clear" w:color="auto" w:fill="auto"/>
            <w:vAlign w:val="center"/>
          </w:tcPr>
          <w:p w14:paraId="3B97F455" w14:textId="6231F799" w:rsidR="00124585" w:rsidRPr="00567D48" w:rsidRDefault="00124585"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Squamous cell carcinoma (SCC)</w:t>
            </w:r>
          </w:p>
        </w:tc>
        <w:tc>
          <w:tcPr>
            <w:tcW w:w="0" w:type="auto"/>
            <w:shd w:val="clear" w:color="auto" w:fill="auto"/>
            <w:tcMar>
              <w:top w:w="28" w:type="dxa"/>
              <w:bottom w:w="28" w:type="dxa"/>
            </w:tcMar>
            <w:vAlign w:val="center"/>
          </w:tcPr>
          <w:p w14:paraId="4F8530D4" w14:textId="31F4887E"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 xml:space="preserve">Resubmission to request Section 100 (Efficient Funding of Chemotherapy Program) Authority Required (STREAMLINED) listing for the treatment of metastatic or locally advanced cutaneous SCC in patients who are not candidates for curative surgery or curative radiation. </w:t>
            </w:r>
          </w:p>
        </w:tc>
        <w:tc>
          <w:tcPr>
            <w:tcW w:w="0" w:type="auto"/>
            <w:shd w:val="clear" w:color="auto" w:fill="auto"/>
            <w:vAlign w:val="center"/>
          </w:tcPr>
          <w:p w14:paraId="43AF0796" w14:textId="0D226101" w:rsidR="00124585" w:rsidRPr="00567D48" w:rsidRDefault="00EC4DE4"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Not Applicable</w:t>
            </w:r>
          </w:p>
        </w:tc>
        <w:tc>
          <w:tcPr>
            <w:tcW w:w="0" w:type="auto"/>
            <w:shd w:val="clear" w:color="auto" w:fill="auto"/>
            <w:vAlign w:val="center"/>
          </w:tcPr>
          <w:p w14:paraId="2CC2E5C7" w14:textId="01CA5D1A" w:rsidR="00124585" w:rsidRPr="00567D48" w:rsidRDefault="00EC4DE4" w:rsidP="00EC4DE4">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To be considered at a future PBAC meeting</w:t>
            </w:r>
          </w:p>
        </w:tc>
      </w:tr>
      <w:tr w:rsidR="00DF6443" w:rsidRPr="00567D48" w14:paraId="01BE16AC" w14:textId="77777777" w:rsidTr="00CF7271">
        <w:trPr>
          <w:cantSplit/>
          <w:trHeight w:val="603"/>
        </w:trPr>
        <w:tc>
          <w:tcPr>
            <w:tcW w:w="2972" w:type="dxa"/>
            <w:shd w:val="clear" w:color="auto" w:fill="auto"/>
            <w:tcMar>
              <w:top w:w="28" w:type="dxa"/>
              <w:bottom w:w="28" w:type="dxa"/>
            </w:tcMar>
            <w:vAlign w:val="center"/>
          </w:tcPr>
          <w:p w14:paraId="324E7213" w14:textId="7B8C9E6C" w:rsidR="00DF6443" w:rsidRPr="00567D48" w:rsidRDefault="00DF6443"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 xml:space="preserve">CLADRIBINE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Tablet 10 mg</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Mavenclad®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Merck Healthcare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2 submission</w:t>
            </w:r>
            <w:r w:rsidRPr="00567D48">
              <w:rPr>
                <w:rFonts w:asciiTheme="minorHAnsi" w:hAnsiTheme="minorHAnsi" w:cs="Arial"/>
                <w:color w:val="000000"/>
                <w:sz w:val="18"/>
                <w:szCs w:val="18"/>
              </w:rPr>
              <w:br/>
            </w:r>
            <w:r w:rsidRPr="00567D48">
              <w:rPr>
                <w:rFonts w:asciiTheme="minorHAnsi" w:hAnsiTheme="minorHAnsi" w:cs="Arial"/>
                <w:sz w:val="18"/>
                <w:szCs w:val="18"/>
              </w:rPr>
              <w:t>(Other business)</w:t>
            </w:r>
          </w:p>
        </w:tc>
        <w:tc>
          <w:tcPr>
            <w:tcW w:w="2491" w:type="dxa"/>
            <w:shd w:val="clear" w:color="auto" w:fill="auto"/>
            <w:vAlign w:val="center"/>
          </w:tcPr>
          <w:p w14:paraId="067B1088" w14:textId="70018822" w:rsidR="00DF6443" w:rsidRPr="00567D48" w:rsidRDefault="00DF6443"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Multiple sclerosis</w:t>
            </w:r>
          </w:p>
        </w:tc>
        <w:tc>
          <w:tcPr>
            <w:tcW w:w="0" w:type="auto"/>
            <w:shd w:val="clear" w:color="auto" w:fill="auto"/>
            <w:tcMar>
              <w:top w:w="28" w:type="dxa"/>
              <w:bottom w:w="28" w:type="dxa"/>
            </w:tcMar>
            <w:vAlign w:val="center"/>
          </w:tcPr>
          <w:p w14:paraId="3A35EBC7" w14:textId="05D061C3" w:rsidR="00DF6443" w:rsidRPr="00567D48" w:rsidRDefault="00DF6443"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 xml:space="preserve">To request the PBAC consider the </w:t>
            </w:r>
            <w:proofErr w:type="spellStart"/>
            <w:r w:rsidRPr="00567D48">
              <w:rPr>
                <w:rFonts w:asciiTheme="minorHAnsi" w:hAnsiTheme="minorHAnsi" w:cs="Arial"/>
                <w:color w:val="000000"/>
                <w:sz w:val="18"/>
                <w:szCs w:val="18"/>
              </w:rPr>
              <w:t>equi</w:t>
            </w:r>
            <w:proofErr w:type="spellEnd"/>
            <w:r w:rsidRPr="00567D48">
              <w:rPr>
                <w:rFonts w:asciiTheme="minorHAnsi" w:hAnsiTheme="minorHAnsi" w:cs="Arial"/>
                <w:color w:val="000000"/>
                <w:sz w:val="18"/>
                <w:szCs w:val="18"/>
              </w:rPr>
              <w:t>-effective doses of cladribine and other PBS-listed therapies for the treatment of relapsing-remitting multiple sclerosis.</w:t>
            </w:r>
          </w:p>
        </w:tc>
        <w:tc>
          <w:tcPr>
            <w:tcW w:w="0" w:type="auto"/>
            <w:shd w:val="clear" w:color="auto" w:fill="auto"/>
            <w:vAlign w:val="center"/>
          </w:tcPr>
          <w:p w14:paraId="41A2F7E0" w14:textId="26432E6A" w:rsidR="00DF6443" w:rsidRPr="00567D48" w:rsidRDefault="00DF6443"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Not Recommended</w:t>
            </w:r>
          </w:p>
        </w:tc>
        <w:tc>
          <w:tcPr>
            <w:tcW w:w="0" w:type="auto"/>
            <w:shd w:val="clear" w:color="auto" w:fill="auto"/>
            <w:vAlign w:val="bottom"/>
          </w:tcPr>
          <w:p w14:paraId="50CD5D7D" w14:textId="64E6A491" w:rsidR="00DF6443" w:rsidRPr="00567D48" w:rsidRDefault="00DF6443" w:rsidP="00F97724">
            <w:pPr>
              <w:rPr>
                <w:rFonts w:asciiTheme="minorHAnsi" w:hAnsiTheme="minorHAnsi" w:cs="Arial"/>
                <w:color w:val="000000"/>
                <w:sz w:val="18"/>
                <w:szCs w:val="18"/>
              </w:rPr>
            </w:pPr>
            <w:r w:rsidRPr="00567D48">
              <w:rPr>
                <w:rFonts w:asciiTheme="minorHAnsi" w:hAnsiTheme="minorHAnsi" w:cs="Arial"/>
                <w:color w:val="000000"/>
                <w:sz w:val="18"/>
                <w:szCs w:val="18"/>
              </w:rPr>
              <w:t xml:space="preserve">The PBAC did not recommend amending the existing </w:t>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equi</w:t>
            </w:r>
            <w:proofErr w:type="spellEnd"/>
            <w:r w:rsidRPr="00567D48">
              <w:rPr>
                <w:rFonts w:asciiTheme="minorHAnsi" w:hAnsiTheme="minorHAnsi" w:cs="Arial"/>
                <w:color w:val="000000"/>
                <w:sz w:val="18"/>
                <w:szCs w:val="18"/>
              </w:rPr>
              <w:t>-effective doses of cladribine and fingolimod (and other disease modifying therapies (DMTs)) for the treatment of relapsing-remitting multiple sclerosis (RRMS), on the basis that the evidence presented did not satisfactorily establish that 2 years of treatment with cladribine (plus 1 or 2 years of no treatment) is non-inferior to either 3 or 4 years of treatment with fingolimod.</w:t>
            </w:r>
          </w:p>
          <w:p w14:paraId="5112A67C" w14:textId="77777777" w:rsidR="00DF6443" w:rsidRPr="00567D48" w:rsidRDefault="00DF6443" w:rsidP="00F97724">
            <w:pPr>
              <w:rPr>
                <w:rFonts w:asciiTheme="minorHAnsi" w:hAnsiTheme="minorHAnsi" w:cs="Arial"/>
                <w:color w:val="000000"/>
                <w:sz w:val="18"/>
                <w:szCs w:val="18"/>
              </w:rPr>
            </w:pPr>
          </w:p>
          <w:p w14:paraId="1C899CAE" w14:textId="394B8AF0" w:rsidR="00DF6443" w:rsidRPr="00567D48" w:rsidRDefault="00DF6443" w:rsidP="00F97724">
            <w:pPr>
              <w:rPr>
                <w:rFonts w:asciiTheme="minorHAnsi" w:hAnsiTheme="minorHAnsi" w:cs="Arial"/>
                <w:color w:val="000000"/>
                <w:sz w:val="18"/>
                <w:szCs w:val="18"/>
              </w:rPr>
            </w:pPr>
            <w:r w:rsidRPr="00567D48">
              <w:rPr>
                <w:rFonts w:asciiTheme="minorHAnsi" w:hAnsiTheme="minorHAnsi" w:cs="Arial"/>
                <w:color w:val="000000"/>
                <w:sz w:val="18"/>
                <w:szCs w:val="18"/>
              </w:rPr>
              <w:t xml:space="preserve">In making the decision not to recommend re-specifying the </w:t>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equi</w:t>
            </w:r>
            <w:proofErr w:type="spellEnd"/>
            <w:r w:rsidRPr="00567D48">
              <w:rPr>
                <w:rFonts w:asciiTheme="minorHAnsi" w:hAnsiTheme="minorHAnsi" w:cs="Arial"/>
                <w:color w:val="000000"/>
                <w:sz w:val="18"/>
                <w:szCs w:val="18"/>
              </w:rPr>
              <w:t xml:space="preserve">-effective doses, the PBAC considered the clinical comparison presented, primarily based on a naïve comparison of the extension phases of the CLARITY (cladribine) and FREEDOMS (fingolimod) studies was not reliable for decision-making due to a lack of comparability between the studies. </w:t>
            </w:r>
          </w:p>
          <w:p w14:paraId="58AC31D3" w14:textId="77777777" w:rsidR="00DF6443" w:rsidRPr="00567D48" w:rsidRDefault="00DF6443" w:rsidP="00F97724">
            <w:pPr>
              <w:rPr>
                <w:rFonts w:asciiTheme="minorHAnsi" w:hAnsiTheme="minorHAnsi" w:cs="Arial"/>
                <w:color w:val="000000"/>
                <w:sz w:val="18"/>
                <w:szCs w:val="18"/>
              </w:rPr>
            </w:pPr>
          </w:p>
          <w:p w14:paraId="724BF7E5" w14:textId="6EF06366" w:rsidR="00DF6443" w:rsidRPr="00567D48" w:rsidRDefault="00DF6443" w:rsidP="00F97724">
            <w:pPr>
              <w:rPr>
                <w:rFonts w:asciiTheme="minorHAnsi" w:hAnsiTheme="minorHAnsi" w:cs="Arial"/>
                <w:color w:val="000000"/>
                <w:sz w:val="18"/>
                <w:szCs w:val="18"/>
              </w:rPr>
            </w:pPr>
            <w:r w:rsidRPr="00567D48">
              <w:rPr>
                <w:rFonts w:asciiTheme="minorHAnsi" w:hAnsiTheme="minorHAnsi" w:cs="Arial"/>
                <w:color w:val="000000"/>
                <w:sz w:val="18"/>
                <w:szCs w:val="18"/>
              </w:rPr>
              <w:t xml:space="preserve">Further, the PBAC considered that the real-world evidence presented was not reliable for the purposes of establishing </w:t>
            </w:r>
            <w:r w:rsidRPr="00567D48">
              <w:rPr>
                <w:rFonts w:asciiTheme="minorHAnsi" w:hAnsiTheme="minorHAnsi" w:cs="Arial"/>
                <w:color w:val="000000"/>
                <w:sz w:val="18"/>
                <w:szCs w:val="18"/>
              </w:rPr>
              <w:br/>
              <w:t>non-inferiority as it did not include direct measures of the comparative effectiveness of cladribine and fingolimod in years 3 and 4.</w:t>
            </w:r>
            <w:r w:rsidRPr="00567D48">
              <w:rPr>
                <w:rFonts w:asciiTheme="minorHAnsi" w:hAnsiTheme="minorHAnsi" w:cs="Arial"/>
                <w:color w:val="000000"/>
                <w:sz w:val="18"/>
                <w:szCs w:val="18"/>
              </w:rPr>
              <w:br/>
            </w:r>
          </w:p>
          <w:p w14:paraId="5CE4A716" w14:textId="77777777" w:rsidR="00DF6443" w:rsidRPr="00567D48" w:rsidRDefault="00DF6443" w:rsidP="00FB603D">
            <w:pPr>
              <w:rPr>
                <w:rFonts w:asciiTheme="minorHAnsi" w:hAnsiTheme="minorHAnsi" w:cs="Arial"/>
                <w:color w:val="000000"/>
                <w:sz w:val="18"/>
                <w:szCs w:val="18"/>
              </w:rPr>
            </w:pPr>
            <w:r w:rsidRPr="00567D48">
              <w:rPr>
                <w:rFonts w:asciiTheme="minorHAnsi" w:hAnsiTheme="minorHAnsi" w:cs="Arial"/>
                <w:color w:val="000000"/>
                <w:sz w:val="18"/>
                <w:szCs w:val="18"/>
              </w:rPr>
              <w:t xml:space="preserve">The PBAC considered that the existing </w:t>
            </w:r>
            <w:proofErr w:type="spellStart"/>
            <w:r w:rsidRPr="00567D48">
              <w:rPr>
                <w:rFonts w:asciiTheme="minorHAnsi" w:hAnsiTheme="minorHAnsi" w:cs="Arial"/>
                <w:color w:val="000000"/>
                <w:sz w:val="18"/>
                <w:szCs w:val="18"/>
              </w:rPr>
              <w:t>equi</w:t>
            </w:r>
            <w:proofErr w:type="spellEnd"/>
            <w:r w:rsidRPr="00567D48">
              <w:rPr>
                <w:rFonts w:asciiTheme="minorHAnsi" w:hAnsiTheme="minorHAnsi" w:cs="Arial"/>
                <w:color w:val="000000"/>
                <w:sz w:val="18"/>
                <w:szCs w:val="18"/>
              </w:rPr>
              <w:t>-effective doses and therapeutic relativities for cladribine and fingolimod remained appropriate.</w:t>
            </w:r>
          </w:p>
          <w:p w14:paraId="058A9875" w14:textId="082A514C" w:rsidR="00C92F67" w:rsidRPr="00567D48" w:rsidRDefault="00C92F67" w:rsidP="00FB603D">
            <w:pPr>
              <w:rPr>
                <w:rFonts w:asciiTheme="minorHAnsi" w:hAnsiTheme="minorHAnsi" w:cs="Arial"/>
                <w:color w:val="000000"/>
                <w:sz w:val="18"/>
                <w:szCs w:val="18"/>
              </w:rPr>
            </w:pPr>
            <w:r w:rsidRPr="00567D48">
              <w:rPr>
                <w:rFonts w:asciiTheme="minorHAnsi" w:hAnsiTheme="minorHAnsi" w:cs="Arial"/>
                <w:noProof/>
                <w:color w:val="000000"/>
                <w:sz w:val="18"/>
                <w:szCs w:val="18"/>
              </w:rPr>
              <mc:AlternateContent>
                <mc:Choice Requires="wps">
                  <w:drawing>
                    <wp:anchor distT="0" distB="0" distL="114300" distR="114300" simplePos="0" relativeHeight="251661312" behindDoc="0" locked="0" layoutInCell="1" allowOverlap="1" wp14:anchorId="5A7D92EB" wp14:editId="7D3DE953">
                      <wp:simplePos x="0" y="0"/>
                      <wp:positionH relativeFrom="column">
                        <wp:posOffset>-39370</wp:posOffset>
                      </wp:positionH>
                      <wp:positionV relativeFrom="paragraph">
                        <wp:posOffset>85090</wp:posOffset>
                      </wp:positionV>
                      <wp:extent cx="2860675" cy="16510"/>
                      <wp:effectExtent l="0" t="0" r="34925" b="21590"/>
                      <wp:wrapNone/>
                      <wp:docPr id="5" name="Straight Connector 5"/>
                      <wp:cNvGraphicFramePr/>
                      <a:graphic xmlns:a="http://schemas.openxmlformats.org/drawingml/2006/main">
                        <a:graphicData uri="http://schemas.microsoft.com/office/word/2010/wordprocessingShape">
                          <wps:wsp>
                            <wps:cNvCnPr/>
                            <wps:spPr>
                              <a:xfrm>
                                <a:off x="0" y="0"/>
                                <a:ext cx="2860675" cy="16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ACFEF"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6.7pt" to="222.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EY+uwEAALsDAAAOAAAAZHJzL2Uyb0RvYy54bWysU8GO2yAQvVfaf0DcN7YjJV1ZcfaQVXtZ&#10;tVG3/QAWQ4wKDBrY2Pn7DiTxVtuqqqpeMAPvzcx7jDf3k7PsqDAa8B1vFjVnykvojT90/NvXD7d3&#10;nMUkfC8seNXxk4r8fnvzbjOGVi1hANsrZJTEx3YMHR9SCm1VRTkoJ+ICgvJ0qQGdSBTioepRjJTd&#10;2WpZ1+tqBOwDglQx0unD+ZJvS36tlUyftY4qMdtx6i2VFcv6nNdquxHtAUUYjLy0If6hCyeMp6Jz&#10;qgeRBHtB80sqZyRCBJ0WElwFWhupigZS09Rv1DwNIqiihcyJYbYp/r+08tNxj8z0HV9x5oWjJ3pK&#10;KMxhSGwH3pOBgGyVfRpDbAm+83u8RDHsMYueNLr8JTlsKt6eZm/VlJikw+Xdul6/pyKS7pr1qine&#10;V6/kgDF9VOBY3nTcGp+li1YcH2OiggS9QijIzZzLl106WZXB1n9RmuRQwaawyyCpnUV2FDQC/fcm&#10;S6FcBZkp2lg7k+o/ky7YTFNluP6WOKNLRfBpJjrjAX9XNU3XVvUZf1V91pplP0N/Ko9R7KAJKcou&#10;05xH8Oe40F//ue0PAAAA//8DAFBLAwQUAAYACAAAACEAkV39Ud4AAAAIAQAADwAAAGRycy9kb3du&#10;cmV2LnhtbEyPQU+DQBCF7yb9D5tp0lu72BLaIEtj1J70gOjB45YdgZSdJewW0F/veNLjvPfy5nvZ&#10;cbadGHHwrSMFt5sIBFLlTEu1gve30/oAwgdNRneOUMEXejjmi5tMp8ZN9IpjGWrBJeRTraAJoU+l&#10;9FWDVvuN65HY+3SD1YHPoZZm0BOX205uoyiRVrfEHxrd40OD1aW8WgX7p+ey6KfHl+9C7mVRjC4c&#10;Lh9KrZbz/R2IgHP4C8MvPqNDzkxndyXjRadgnWw5yfouBsF+HMc7EGcWkghknsn/A/IfAAAA//8D&#10;AFBLAQItABQABgAIAAAAIQC2gziS/gAAAOEBAAATAAAAAAAAAAAAAAAAAAAAAABbQ29udGVudF9U&#10;eXBlc10ueG1sUEsBAi0AFAAGAAgAAAAhADj9If/WAAAAlAEAAAsAAAAAAAAAAAAAAAAALwEAAF9y&#10;ZWxzLy5yZWxzUEsBAi0AFAAGAAgAAAAhAEWsRj67AQAAuwMAAA4AAAAAAAAAAAAAAAAALgIAAGRy&#10;cy9lMm9Eb2MueG1sUEsBAi0AFAAGAAgAAAAhAJFd/VHeAAAACAEAAA8AAAAAAAAAAAAAAAAAFQQA&#10;AGRycy9kb3ducmV2LnhtbFBLBQYAAAAABAAEAPMAAAAgBQAAAAA=&#10;" strokecolor="black [3040]"/>
                  </w:pict>
                </mc:Fallback>
              </mc:AlternateContent>
            </w:r>
          </w:p>
          <w:p w14:paraId="1F1AE883" w14:textId="77777777" w:rsidR="00C92F67" w:rsidRPr="00567D48" w:rsidRDefault="00C92F67" w:rsidP="00FB603D">
            <w:pPr>
              <w:rPr>
                <w:rFonts w:asciiTheme="minorHAnsi" w:hAnsiTheme="minorHAnsi" w:cs="Arial"/>
                <w:color w:val="000000"/>
                <w:sz w:val="18"/>
                <w:szCs w:val="18"/>
              </w:rPr>
            </w:pPr>
            <w:r w:rsidRPr="00567D48">
              <w:rPr>
                <w:rFonts w:asciiTheme="minorHAnsi" w:hAnsiTheme="minorHAnsi" w:cs="Arial"/>
                <w:color w:val="000000"/>
                <w:sz w:val="18"/>
                <w:szCs w:val="18"/>
                <w:u w:val="single"/>
              </w:rPr>
              <w:t>Sponsor’s comment</w:t>
            </w:r>
            <w:r w:rsidRPr="00567D48">
              <w:rPr>
                <w:rFonts w:asciiTheme="minorHAnsi" w:hAnsiTheme="minorHAnsi" w:cs="Arial"/>
                <w:color w:val="000000"/>
                <w:sz w:val="18"/>
                <w:szCs w:val="18"/>
              </w:rPr>
              <w:t>: The sponsor had no comment.</w:t>
            </w:r>
          </w:p>
          <w:p w14:paraId="240C2A43" w14:textId="27F5E33A" w:rsidR="00C92F67" w:rsidRPr="00567D48" w:rsidRDefault="00C92F67" w:rsidP="00FB603D">
            <w:pPr>
              <w:rPr>
                <w:rFonts w:asciiTheme="minorHAnsi" w:hAnsiTheme="minorHAnsi" w:cs="Arial"/>
                <w:color w:val="000000"/>
                <w:sz w:val="18"/>
                <w:szCs w:val="18"/>
              </w:rPr>
            </w:pPr>
          </w:p>
        </w:tc>
      </w:tr>
      <w:tr w:rsidR="003A4D4A" w:rsidRPr="00567D48" w14:paraId="52B63524" w14:textId="77777777" w:rsidTr="00CF7271">
        <w:trPr>
          <w:cantSplit/>
          <w:trHeight w:val="178"/>
        </w:trPr>
        <w:tc>
          <w:tcPr>
            <w:tcW w:w="2972" w:type="dxa"/>
            <w:vMerge w:val="restart"/>
            <w:shd w:val="clear" w:color="auto" w:fill="auto"/>
            <w:tcMar>
              <w:top w:w="28" w:type="dxa"/>
              <w:bottom w:w="28" w:type="dxa"/>
            </w:tcMar>
            <w:vAlign w:val="center"/>
          </w:tcPr>
          <w:p w14:paraId="16A09C26" w14:textId="77777777" w:rsidR="003A4D4A" w:rsidRPr="00567D48" w:rsidRDefault="003A4D4A" w:rsidP="00CE5CA9">
            <w:pPr>
              <w:keepLines/>
              <w:rPr>
                <w:rFonts w:asciiTheme="minorHAnsi" w:hAnsiTheme="minorHAnsi" w:cs="Arial"/>
                <w:color w:val="000000"/>
                <w:sz w:val="18"/>
                <w:szCs w:val="18"/>
              </w:rPr>
            </w:pPr>
            <w:r w:rsidRPr="00567D48">
              <w:rPr>
                <w:rFonts w:asciiTheme="minorHAnsi" w:hAnsiTheme="minorHAnsi" w:cs="Arial"/>
                <w:color w:val="000000"/>
                <w:sz w:val="18"/>
                <w:szCs w:val="18"/>
              </w:rPr>
              <w:lastRenderedPageBreak/>
              <w:t xml:space="preserve">DAPAGLIFLOZIN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 xml:space="preserve">Tablet 10 mg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Forxiga</w:t>
            </w:r>
            <w:proofErr w:type="spellEnd"/>
            <w:r w:rsidRPr="00567D48">
              <w:rPr>
                <w:rFonts w:asciiTheme="minorHAnsi" w:hAnsiTheme="minorHAnsi" w:cs="Arial"/>
                <w:color w:val="000000"/>
                <w:sz w:val="18"/>
                <w:szCs w:val="18"/>
              </w:rPr>
              <w:t xml:space="preserve">® </w:t>
            </w:r>
            <w:r w:rsidRPr="00567D48">
              <w:rPr>
                <w:rFonts w:asciiTheme="minorHAnsi" w:hAnsiTheme="minorHAnsi" w:cs="Arial"/>
                <w:color w:val="000000"/>
                <w:sz w:val="18"/>
                <w:szCs w:val="18"/>
              </w:rPr>
              <w:br/>
            </w:r>
          </w:p>
          <w:p w14:paraId="13D9AD35" w14:textId="77777777" w:rsidR="003A4D4A" w:rsidRPr="00567D48" w:rsidRDefault="003A4D4A" w:rsidP="00CE5CA9">
            <w:pPr>
              <w:keepLines/>
              <w:rPr>
                <w:rFonts w:asciiTheme="minorHAnsi" w:hAnsiTheme="minorHAnsi" w:cs="Arial"/>
                <w:color w:val="000000"/>
                <w:sz w:val="18"/>
                <w:szCs w:val="18"/>
              </w:rPr>
            </w:pPr>
            <w:r w:rsidRPr="00567D48">
              <w:rPr>
                <w:rFonts w:asciiTheme="minorHAnsi" w:hAnsiTheme="minorHAnsi" w:cs="Arial"/>
                <w:color w:val="000000"/>
                <w:sz w:val="18"/>
                <w:szCs w:val="18"/>
              </w:rPr>
              <w:t>AstraZeneca Pty Ltd</w:t>
            </w:r>
          </w:p>
          <w:p w14:paraId="5AE0BE62" w14:textId="14FB9D99" w:rsidR="003A4D4A" w:rsidRPr="00567D48" w:rsidRDefault="003A4D4A" w:rsidP="00CE5CA9">
            <w:pPr>
              <w:keepLines/>
              <w:rPr>
                <w:rFonts w:asciiTheme="minorHAnsi" w:hAnsiTheme="minorHAnsi" w:cs="Arial"/>
                <w:color w:val="000000"/>
                <w:sz w:val="18"/>
                <w:szCs w:val="18"/>
              </w:rPr>
            </w:pPr>
            <w:r w:rsidRPr="00567D48">
              <w:rPr>
                <w:rFonts w:asciiTheme="minorHAnsi" w:hAnsiTheme="minorHAnsi" w:cs="Arial"/>
                <w:color w:val="000000"/>
                <w:sz w:val="18"/>
                <w:szCs w:val="18"/>
              </w:rPr>
              <w:br/>
              <w:t>Matters Outstanding</w:t>
            </w:r>
          </w:p>
          <w:p w14:paraId="3B9B6309" w14:textId="3FB40D34" w:rsidR="003A4D4A" w:rsidRPr="00567D48" w:rsidRDefault="003A4D4A" w:rsidP="00CE5CA9">
            <w:pPr>
              <w:keepLines/>
              <w:rPr>
                <w:rFonts w:asciiTheme="minorHAnsi" w:hAnsiTheme="minorHAnsi" w:cs="Arial"/>
                <w:color w:val="000000"/>
                <w:sz w:val="18"/>
                <w:szCs w:val="18"/>
              </w:rPr>
            </w:pPr>
            <w:r w:rsidRPr="00567D48">
              <w:rPr>
                <w:rFonts w:asciiTheme="minorHAnsi" w:hAnsiTheme="minorHAnsi" w:cs="Arial"/>
                <w:color w:val="000000"/>
                <w:sz w:val="18"/>
                <w:szCs w:val="18"/>
              </w:rPr>
              <w:t>(Change to PBS listing)</w:t>
            </w:r>
          </w:p>
        </w:tc>
        <w:tc>
          <w:tcPr>
            <w:tcW w:w="2491" w:type="dxa"/>
            <w:vMerge w:val="restart"/>
            <w:shd w:val="clear" w:color="auto" w:fill="auto"/>
            <w:vAlign w:val="center"/>
          </w:tcPr>
          <w:p w14:paraId="53332DB4" w14:textId="2933EB0A" w:rsidR="003A4D4A" w:rsidRPr="00567D48" w:rsidRDefault="003A4D4A"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Chronic kidney disease</w:t>
            </w:r>
          </w:p>
        </w:tc>
        <w:tc>
          <w:tcPr>
            <w:tcW w:w="0" w:type="auto"/>
            <w:vMerge w:val="restart"/>
            <w:shd w:val="clear" w:color="auto" w:fill="auto"/>
            <w:tcMar>
              <w:top w:w="28" w:type="dxa"/>
              <w:bottom w:w="28" w:type="dxa"/>
            </w:tcMar>
            <w:vAlign w:val="center"/>
          </w:tcPr>
          <w:p w14:paraId="6D6D3FA2" w14:textId="47CCA00C" w:rsidR="003A4D4A" w:rsidRPr="00567D48" w:rsidRDefault="003A4D4A"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 xml:space="preserve">To consider new information from the sponsor following deferral of both dapagliflozin submissions at the July 2021 PBAC meeting. </w:t>
            </w:r>
          </w:p>
        </w:tc>
        <w:tc>
          <w:tcPr>
            <w:tcW w:w="0" w:type="auto"/>
            <w:vMerge w:val="restart"/>
            <w:shd w:val="clear" w:color="auto" w:fill="auto"/>
            <w:vAlign w:val="center"/>
          </w:tcPr>
          <w:p w14:paraId="132F239D" w14:textId="1024B5CB" w:rsidR="003A4D4A" w:rsidRPr="00567D48" w:rsidRDefault="003A4D4A"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Not Recommended</w:t>
            </w:r>
          </w:p>
        </w:tc>
        <w:tc>
          <w:tcPr>
            <w:tcW w:w="0" w:type="auto"/>
            <w:shd w:val="clear" w:color="auto" w:fill="auto"/>
            <w:vAlign w:val="bottom"/>
          </w:tcPr>
          <w:p w14:paraId="58FA23FB" w14:textId="19CF974A" w:rsidR="003A4D4A" w:rsidRPr="00567D48" w:rsidRDefault="003A4D4A" w:rsidP="00124585">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snapToGrid w:val="0"/>
                <w:sz w:val="18"/>
                <w:szCs w:val="18"/>
                <w:lang w:eastAsia="en-US"/>
              </w:rPr>
              <w:t xml:space="preserve">The PBAC did not recommend extending the existing listing of dapagliflozin to include a General Schedule Authority Required (STREAMLINED) listing for the treatment of patients with chronic kidney disease. The PBAC reiterated that it was satisfied that dapagliflozin added to standard care provides, for some patients, a significant improvement in efficacy over standard care alone. </w:t>
            </w:r>
          </w:p>
          <w:p w14:paraId="1275F7F5" w14:textId="7D72D52F" w:rsidR="003A4D4A" w:rsidRPr="00567D48" w:rsidRDefault="003A4D4A" w:rsidP="003A4D4A">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snapToGrid w:val="0"/>
                <w:sz w:val="18"/>
                <w:szCs w:val="18"/>
                <w:lang w:eastAsia="en-US"/>
              </w:rPr>
              <w:t>The PBAC remained of the view that the listing would be cost-effective at the price proposed in the pre-PBAC response from July 2021. However, the revised financial estimates remained high and uncertain, and did not form a reliable basis for a Risk Sharing Arrangement with the Australian Government. The PBAC considered that the outstanding issues could be easily resolved in a simple resubmission for dapagliflozin using the early re-entry pathway.</w:t>
            </w:r>
          </w:p>
        </w:tc>
      </w:tr>
      <w:tr w:rsidR="003A4D4A" w:rsidRPr="00567D48" w14:paraId="23C5B02D" w14:textId="77777777" w:rsidTr="00F00B7A">
        <w:trPr>
          <w:cantSplit/>
          <w:trHeight w:val="462"/>
        </w:trPr>
        <w:tc>
          <w:tcPr>
            <w:tcW w:w="2972" w:type="dxa"/>
            <w:vMerge/>
            <w:shd w:val="clear" w:color="auto" w:fill="auto"/>
            <w:tcMar>
              <w:top w:w="28" w:type="dxa"/>
              <w:bottom w:w="28" w:type="dxa"/>
            </w:tcMar>
            <w:vAlign w:val="center"/>
          </w:tcPr>
          <w:p w14:paraId="2E98606D" w14:textId="77777777" w:rsidR="003A4D4A" w:rsidRPr="00567D48" w:rsidRDefault="003A4D4A" w:rsidP="00CE5CA9">
            <w:pPr>
              <w:keepLines/>
              <w:rPr>
                <w:rFonts w:asciiTheme="minorHAnsi" w:hAnsiTheme="minorHAnsi" w:cs="Arial"/>
                <w:color w:val="000000"/>
                <w:sz w:val="18"/>
                <w:szCs w:val="18"/>
              </w:rPr>
            </w:pPr>
          </w:p>
        </w:tc>
        <w:tc>
          <w:tcPr>
            <w:tcW w:w="2491" w:type="dxa"/>
            <w:vMerge/>
            <w:shd w:val="clear" w:color="auto" w:fill="auto"/>
            <w:vAlign w:val="center"/>
          </w:tcPr>
          <w:p w14:paraId="26B81176" w14:textId="77777777" w:rsidR="003A4D4A" w:rsidRPr="00567D48" w:rsidRDefault="003A4D4A" w:rsidP="00124585">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7E82A9DD" w14:textId="77777777" w:rsidR="003A4D4A" w:rsidRPr="00567D48" w:rsidRDefault="003A4D4A" w:rsidP="00124585">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75BB86DB" w14:textId="77777777" w:rsidR="003A4D4A" w:rsidRPr="00567D48" w:rsidRDefault="003A4D4A" w:rsidP="00124585">
            <w:pPr>
              <w:pStyle w:val="ListParagraph"/>
              <w:keepLines/>
              <w:spacing w:after="120"/>
              <w:ind w:left="0"/>
              <w:rPr>
                <w:rFonts w:asciiTheme="minorHAnsi" w:hAnsiTheme="minorHAnsi" w:cs="Arial"/>
                <w:color w:val="000000"/>
                <w:sz w:val="18"/>
                <w:szCs w:val="18"/>
              </w:rPr>
            </w:pPr>
          </w:p>
        </w:tc>
        <w:tc>
          <w:tcPr>
            <w:tcW w:w="0" w:type="auto"/>
            <w:shd w:val="clear" w:color="auto" w:fill="auto"/>
            <w:vAlign w:val="bottom"/>
          </w:tcPr>
          <w:p w14:paraId="36317E43" w14:textId="3EEF20B7" w:rsidR="003A4D4A" w:rsidRPr="00567D48" w:rsidRDefault="003A4D4A" w:rsidP="00124585">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snapToGrid w:val="0"/>
                <w:sz w:val="18"/>
                <w:szCs w:val="18"/>
                <w:u w:val="single"/>
                <w:lang w:eastAsia="en-US"/>
              </w:rPr>
              <w:t>Sponsor’s comment</w:t>
            </w:r>
            <w:r w:rsidRPr="00567D48">
              <w:rPr>
                <w:rFonts w:asciiTheme="minorHAnsi" w:hAnsiTheme="minorHAnsi" w:cs="Arial"/>
                <w:snapToGrid w:val="0"/>
                <w:sz w:val="18"/>
                <w:szCs w:val="18"/>
                <w:lang w:eastAsia="en-US"/>
              </w:rPr>
              <w:t>: The sponsor had no comment.</w:t>
            </w:r>
          </w:p>
        </w:tc>
      </w:tr>
      <w:tr w:rsidR="00486B59" w:rsidRPr="00567D48" w14:paraId="28863F29" w14:textId="77777777" w:rsidTr="00F00B7A">
        <w:trPr>
          <w:cantSplit/>
          <w:trHeight w:val="1596"/>
        </w:trPr>
        <w:tc>
          <w:tcPr>
            <w:tcW w:w="2972" w:type="dxa"/>
            <w:vMerge w:val="restart"/>
            <w:shd w:val="clear" w:color="auto" w:fill="auto"/>
            <w:tcMar>
              <w:top w:w="28" w:type="dxa"/>
              <w:bottom w:w="28" w:type="dxa"/>
            </w:tcMar>
            <w:vAlign w:val="center"/>
          </w:tcPr>
          <w:p w14:paraId="0033DD44" w14:textId="6B5EE085" w:rsidR="00486B59" w:rsidRPr="00567D48" w:rsidRDefault="00486B59"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t xml:space="preserve">DARATUMUMAB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Solution for subcutaneous injection 1,800 mg in 15 mL vial</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Darzalex</w:t>
            </w:r>
            <w:proofErr w:type="spellEnd"/>
            <w:r w:rsidRPr="00567D48">
              <w:rPr>
                <w:rFonts w:asciiTheme="minorHAnsi" w:hAnsiTheme="minorHAnsi" w:cs="Arial"/>
                <w:color w:val="000000"/>
                <w:sz w:val="18"/>
                <w:szCs w:val="18"/>
              </w:rPr>
              <w:t>® SC</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Janssen-</w:t>
            </w:r>
            <w:proofErr w:type="spellStart"/>
            <w:r w:rsidRPr="00567D48">
              <w:rPr>
                <w:rFonts w:asciiTheme="minorHAnsi" w:hAnsiTheme="minorHAnsi" w:cs="Arial"/>
                <w:color w:val="000000"/>
                <w:sz w:val="18"/>
                <w:szCs w:val="18"/>
              </w:rPr>
              <w:t>Cilag</w:t>
            </w:r>
            <w:proofErr w:type="spellEnd"/>
            <w:r w:rsidRPr="00567D48">
              <w:rPr>
                <w:rFonts w:asciiTheme="minorHAnsi" w:hAnsiTheme="minorHAnsi" w:cs="Arial"/>
                <w:color w:val="000000"/>
                <w:sz w:val="18"/>
                <w:szCs w:val="18"/>
              </w:rPr>
              <w:t xml:space="preserve">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1 submission</w:t>
            </w:r>
            <w:r w:rsidRPr="00567D48">
              <w:rPr>
                <w:rFonts w:asciiTheme="minorHAnsi" w:hAnsiTheme="minorHAnsi" w:cs="Arial"/>
                <w:color w:val="000000"/>
                <w:sz w:val="18"/>
                <w:szCs w:val="18"/>
              </w:rPr>
              <w:br/>
              <w:t>(New PBS listing)</w:t>
            </w:r>
          </w:p>
        </w:tc>
        <w:tc>
          <w:tcPr>
            <w:tcW w:w="2491" w:type="dxa"/>
            <w:vMerge w:val="restart"/>
            <w:shd w:val="clear" w:color="auto" w:fill="auto"/>
            <w:vAlign w:val="center"/>
          </w:tcPr>
          <w:p w14:paraId="60BC34AC" w14:textId="31D83BDD" w:rsidR="00486B59" w:rsidRPr="00567D48" w:rsidRDefault="00486B59"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Amyloid light-chain (AL) amyloidosis</w:t>
            </w:r>
          </w:p>
        </w:tc>
        <w:tc>
          <w:tcPr>
            <w:tcW w:w="0" w:type="auto"/>
            <w:vMerge w:val="restart"/>
            <w:shd w:val="clear" w:color="auto" w:fill="auto"/>
            <w:tcMar>
              <w:top w:w="28" w:type="dxa"/>
              <w:bottom w:w="28" w:type="dxa"/>
            </w:tcMar>
            <w:vAlign w:val="center"/>
          </w:tcPr>
          <w:p w14:paraId="2F3D8274" w14:textId="4F7D5657" w:rsidR="00486B59" w:rsidRPr="00567D48" w:rsidRDefault="00486B59"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a Section 100 (Highly Specialised Drugs Program) Authority Required listing, for use in combination with cyclophosphamide, bortezomib and dexamethasone, for the treatment of patients with newly diagnosed AL amyloidosis.</w:t>
            </w:r>
          </w:p>
        </w:tc>
        <w:tc>
          <w:tcPr>
            <w:tcW w:w="0" w:type="auto"/>
            <w:vMerge w:val="restart"/>
            <w:shd w:val="clear" w:color="auto" w:fill="auto"/>
            <w:vAlign w:val="center"/>
          </w:tcPr>
          <w:p w14:paraId="65C26771" w14:textId="16662545" w:rsidR="00486B59" w:rsidRPr="00567D48" w:rsidRDefault="00486B59"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Not Recommended</w:t>
            </w:r>
          </w:p>
        </w:tc>
        <w:tc>
          <w:tcPr>
            <w:tcW w:w="0" w:type="auto"/>
            <w:shd w:val="clear" w:color="auto" w:fill="auto"/>
            <w:vAlign w:val="bottom"/>
          </w:tcPr>
          <w:p w14:paraId="3EAA8225" w14:textId="586A7461" w:rsidR="00486B59" w:rsidRPr="00567D48" w:rsidRDefault="00486B59" w:rsidP="00CE5CA9">
            <w:pPr>
              <w:rPr>
                <w:rFonts w:asciiTheme="minorHAnsi" w:hAnsiTheme="minorHAnsi" w:cs="Arial"/>
                <w:color w:val="000000"/>
                <w:sz w:val="18"/>
                <w:szCs w:val="18"/>
              </w:rPr>
            </w:pPr>
            <w:r w:rsidRPr="00567D48">
              <w:rPr>
                <w:rFonts w:asciiTheme="minorHAnsi" w:hAnsiTheme="minorHAnsi" w:cs="Arial"/>
                <w:color w:val="000000"/>
                <w:sz w:val="18"/>
                <w:szCs w:val="18"/>
              </w:rPr>
              <w:t>The PBAC did not recommend daratumumab SC, for use in combination with cyclophosphamide, bortezomib and dexamethasone (</w:t>
            </w:r>
            <w:proofErr w:type="spellStart"/>
            <w:r w:rsidRPr="00567D48">
              <w:rPr>
                <w:rFonts w:asciiTheme="minorHAnsi" w:hAnsiTheme="minorHAnsi" w:cs="Arial"/>
                <w:color w:val="000000"/>
                <w:sz w:val="18"/>
                <w:szCs w:val="18"/>
              </w:rPr>
              <w:t>CyBorD</w:t>
            </w:r>
            <w:proofErr w:type="spellEnd"/>
            <w:r w:rsidRPr="00567D48">
              <w:rPr>
                <w:rFonts w:asciiTheme="minorHAnsi" w:hAnsiTheme="minorHAnsi" w:cs="Arial"/>
                <w:color w:val="000000"/>
                <w:sz w:val="18"/>
                <w:szCs w:val="18"/>
              </w:rPr>
              <w:t xml:space="preserve">) for the treatment of patients with newly diagnosed systemic AL amyloidosis. The PBAC recognised that there are no treatments on the PBS available specifically for this condition, and it considered that the addition of daratumumab SC plus </w:t>
            </w:r>
            <w:proofErr w:type="spellStart"/>
            <w:r w:rsidRPr="00567D48">
              <w:rPr>
                <w:rFonts w:asciiTheme="minorHAnsi" w:hAnsiTheme="minorHAnsi" w:cs="Arial"/>
                <w:color w:val="000000"/>
                <w:sz w:val="18"/>
                <w:szCs w:val="18"/>
              </w:rPr>
              <w:t>CyBorD</w:t>
            </w:r>
            <w:proofErr w:type="spellEnd"/>
            <w:r w:rsidRPr="00567D48">
              <w:rPr>
                <w:rFonts w:asciiTheme="minorHAnsi" w:hAnsiTheme="minorHAnsi" w:cs="Arial"/>
                <w:color w:val="000000"/>
                <w:sz w:val="18"/>
                <w:szCs w:val="18"/>
              </w:rPr>
              <w:t xml:space="preserve"> offered high added therapeutic value. However, the PBAC considered that there were uncertainties in the cost-effectiveness analysis and financial estimates, particularly due to the overlap between patients with AL amyloidosis and multiple myeloma. The PBAC considered that these uncertainties could be managed through a re-specified economic analysis that included more conservative assumptions, and a Risk Sharing Arrangement.</w:t>
            </w:r>
          </w:p>
          <w:p w14:paraId="6E0748F1" w14:textId="3F883B8C" w:rsidR="00486B59" w:rsidRPr="00567D48" w:rsidRDefault="00486B59" w:rsidP="00CE5CA9">
            <w:pPr>
              <w:rPr>
                <w:rFonts w:asciiTheme="minorHAnsi" w:hAnsiTheme="minorHAnsi" w:cs="Arial"/>
                <w:snapToGrid w:val="0"/>
                <w:sz w:val="18"/>
                <w:szCs w:val="18"/>
                <w:lang w:eastAsia="en-US"/>
              </w:rPr>
            </w:pPr>
            <w:r w:rsidRPr="00567D48">
              <w:rPr>
                <w:rFonts w:asciiTheme="minorHAnsi" w:hAnsiTheme="minorHAnsi" w:cs="Arial"/>
                <w:color w:val="000000"/>
                <w:sz w:val="18"/>
                <w:szCs w:val="18"/>
              </w:rPr>
              <w:t>The PBAC nominated the Early Resolution re-submission pathway for this item.</w:t>
            </w:r>
          </w:p>
        </w:tc>
      </w:tr>
      <w:tr w:rsidR="00486B59" w:rsidRPr="00567D48" w14:paraId="29D68437" w14:textId="77777777" w:rsidTr="00F00B7A">
        <w:trPr>
          <w:cantSplit/>
          <w:trHeight w:val="2580"/>
        </w:trPr>
        <w:tc>
          <w:tcPr>
            <w:tcW w:w="2972" w:type="dxa"/>
            <w:vMerge/>
            <w:shd w:val="clear" w:color="auto" w:fill="auto"/>
            <w:tcMar>
              <w:top w:w="28" w:type="dxa"/>
              <w:bottom w:w="28" w:type="dxa"/>
            </w:tcMar>
            <w:vAlign w:val="center"/>
          </w:tcPr>
          <w:p w14:paraId="7B6D118D" w14:textId="77777777" w:rsidR="00486B59" w:rsidRPr="00567D48" w:rsidRDefault="00486B59" w:rsidP="00124585">
            <w:pPr>
              <w:keepLines/>
              <w:spacing w:after="120"/>
              <w:rPr>
                <w:rFonts w:asciiTheme="minorHAnsi" w:hAnsiTheme="minorHAnsi" w:cs="Arial"/>
                <w:color w:val="000000"/>
                <w:sz w:val="18"/>
                <w:szCs w:val="18"/>
              </w:rPr>
            </w:pPr>
          </w:p>
        </w:tc>
        <w:tc>
          <w:tcPr>
            <w:tcW w:w="2491" w:type="dxa"/>
            <w:vMerge/>
            <w:shd w:val="clear" w:color="auto" w:fill="auto"/>
            <w:vAlign w:val="center"/>
          </w:tcPr>
          <w:p w14:paraId="22473ED8" w14:textId="77777777" w:rsidR="00486B59" w:rsidRPr="00567D48" w:rsidRDefault="00486B59" w:rsidP="00124585">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2242983F" w14:textId="77777777" w:rsidR="00486B59" w:rsidRPr="00567D48" w:rsidRDefault="00486B59" w:rsidP="00124585">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6FD77011" w14:textId="77777777" w:rsidR="00486B59" w:rsidRPr="00567D48" w:rsidRDefault="00486B59" w:rsidP="00124585">
            <w:pPr>
              <w:pStyle w:val="ListParagraph"/>
              <w:keepLines/>
              <w:spacing w:after="120"/>
              <w:ind w:left="0"/>
              <w:rPr>
                <w:rFonts w:asciiTheme="minorHAnsi" w:hAnsiTheme="minorHAnsi" w:cs="Arial"/>
                <w:color w:val="000000"/>
                <w:sz w:val="18"/>
                <w:szCs w:val="18"/>
              </w:rPr>
            </w:pPr>
          </w:p>
        </w:tc>
        <w:tc>
          <w:tcPr>
            <w:tcW w:w="0" w:type="auto"/>
            <w:shd w:val="clear" w:color="auto" w:fill="auto"/>
          </w:tcPr>
          <w:p w14:paraId="499F5F59" w14:textId="0976F47F" w:rsidR="00486B59" w:rsidRPr="00567D48" w:rsidRDefault="00486B59" w:rsidP="00486B59">
            <w:pPr>
              <w:rPr>
                <w:rFonts w:asciiTheme="minorHAnsi" w:hAnsiTheme="minorHAnsi" w:cs="Arial"/>
                <w:color w:val="000000"/>
                <w:sz w:val="18"/>
                <w:szCs w:val="18"/>
              </w:rPr>
            </w:pPr>
            <w:r w:rsidRPr="00567D48">
              <w:rPr>
                <w:rFonts w:asciiTheme="minorHAnsi" w:hAnsiTheme="minorHAnsi" w:cs="Arial"/>
                <w:color w:val="000000"/>
                <w:sz w:val="18"/>
                <w:szCs w:val="18"/>
                <w:u w:val="single"/>
              </w:rPr>
              <w:t>Sponsor’s comment</w:t>
            </w:r>
            <w:r w:rsidRPr="00567D48">
              <w:rPr>
                <w:rFonts w:asciiTheme="minorHAnsi" w:hAnsiTheme="minorHAnsi" w:cs="Arial"/>
                <w:color w:val="000000"/>
                <w:sz w:val="18"/>
                <w:szCs w:val="18"/>
              </w:rPr>
              <w:t>:</w:t>
            </w:r>
            <w:r w:rsidR="0024723D" w:rsidRPr="00567D48">
              <w:rPr>
                <w:rFonts w:asciiTheme="minorHAnsi" w:hAnsiTheme="minorHAnsi" w:cs="Arial"/>
                <w:color w:val="000000"/>
                <w:sz w:val="18"/>
                <w:szCs w:val="18"/>
              </w:rPr>
              <w:t xml:space="preserve"> Whilst Janssen </w:t>
            </w:r>
            <w:r w:rsidR="00B64DCA" w:rsidRPr="00567D48">
              <w:rPr>
                <w:rFonts w:asciiTheme="minorHAnsi" w:hAnsiTheme="minorHAnsi" w:cs="Arial"/>
                <w:color w:val="000000"/>
                <w:sz w:val="18"/>
                <w:szCs w:val="18"/>
              </w:rPr>
              <w:t>is</w:t>
            </w:r>
            <w:r w:rsidR="0024723D" w:rsidRPr="00567D48">
              <w:rPr>
                <w:rFonts w:asciiTheme="minorHAnsi" w:hAnsiTheme="minorHAnsi" w:cs="Arial"/>
                <w:color w:val="000000"/>
                <w:sz w:val="18"/>
                <w:szCs w:val="18"/>
              </w:rPr>
              <w:t xml:space="preserve"> disappointed that the PBAC did not recommend daratumumab for systemic AL amyloidosis, we welcome the PBAC’s nomination of the early resolution pathway having recognised that daratumumab offered high added therapeutic value for a population with high and urgent unmet medical need for PBS reimbursed treatment. Janssen remain</w:t>
            </w:r>
            <w:r w:rsidR="00B64DCA" w:rsidRPr="00567D48">
              <w:rPr>
                <w:rFonts w:asciiTheme="minorHAnsi" w:hAnsiTheme="minorHAnsi" w:cs="Arial"/>
                <w:color w:val="000000"/>
                <w:sz w:val="18"/>
                <w:szCs w:val="18"/>
              </w:rPr>
              <w:t>s</w:t>
            </w:r>
            <w:r w:rsidR="0024723D" w:rsidRPr="00567D48">
              <w:rPr>
                <w:rFonts w:asciiTheme="minorHAnsi" w:hAnsiTheme="minorHAnsi" w:cs="Arial"/>
                <w:color w:val="000000"/>
                <w:sz w:val="18"/>
                <w:szCs w:val="18"/>
              </w:rPr>
              <w:t xml:space="preserve"> committed to ensuring people with AL amyloidosis can access the best available treatments and will review the details of the outcome and the PBAC’s requirements to move forward with the early resolution pathway.</w:t>
            </w:r>
          </w:p>
          <w:p w14:paraId="36F32B72" w14:textId="43B31E54" w:rsidR="0046569B" w:rsidRPr="00567D48" w:rsidRDefault="0046569B" w:rsidP="00486B59">
            <w:pPr>
              <w:rPr>
                <w:rFonts w:asciiTheme="minorHAnsi" w:hAnsiTheme="minorHAnsi" w:cs="Arial"/>
                <w:color w:val="000000"/>
                <w:sz w:val="18"/>
                <w:szCs w:val="18"/>
              </w:rPr>
            </w:pPr>
          </w:p>
        </w:tc>
      </w:tr>
      <w:tr w:rsidR="00CF7271" w:rsidRPr="00567D48" w14:paraId="04927C48" w14:textId="77777777" w:rsidTr="00CF7271">
        <w:trPr>
          <w:trHeight w:val="2580"/>
        </w:trPr>
        <w:tc>
          <w:tcPr>
            <w:tcW w:w="2972" w:type="dxa"/>
            <w:vMerge w:val="restart"/>
            <w:shd w:val="clear" w:color="auto" w:fill="auto"/>
            <w:tcMar>
              <w:top w:w="28" w:type="dxa"/>
              <w:bottom w:w="28" w:type="dxa"/>
            </w:tcMar>
            <w:vAlign w:val="center"/>
          </w:tcPr>
          <w:p w14:paraId="3A3E4ABC" w14:textId="56FEEF60" w:rsidR="00CF7271" w:rsidRPr="00567D48" w:rsidRDefault="00CF7271" w:rsidP="00CF7271">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t xml:space="preserve">ECULIZUMAB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Solution concentrate for I.V. infusion 300 mg in 30 mL</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Soliris</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Alexion Pharmaceuticals Australasia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Standard Re-entry submission</w:t>
            </w:r>
            <w:r w:rsidRPr="00567D48">
              <w:rPr>
                <w:rFonts w:asciiTheme="minorHAnsi" w:hAnsiTheme="minorHAnsi" w:cs="Arial"/>
                <w:color w:val="000000"/>
                <w:sz w:val="18"/>
                <w:szCs w:val="18"/>
              </w:rPr>
              <w:br/>
              <w:t>(Change to PBS listing)</w:t>
            </w:r>
          </w:p>
        </w:tc>
        <w:tc>
          <w:tcPr>
            <w:tcW w:w="2491" w:type="dxa"/>
            <w:vMerge w:val="restart"/>
            <w:shd w:val="clear" w:color="auto" w:fill="auto"/>
            <w:vAlign w:val="center"/>
          </w:tcPr>
          <w:p w14:paraId="02C5D2C9" w14:textId="0D320D8B" w:rsidR="00CF7271" w:rsidRPr="00567D48" w:rsidRDefault="00CF7271" w:rsidP="00CF7271">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 xml:space="preserve">Neuromyelitis </w:t>
            </w:r>
            <w:proofErr w:type="spellStart"/>
            <w:r w:rsidRPr="00567D48">
              <w:rPr>
                <w:rFonts w:asciiTheme="minorHAnsi" w:hAnsiTheme="minorHAnsi" w:cs="Arial"/>
                <w:color w:val="000000"/>
                <w:sz w:val="18"/>
                <w:szCs w:val="18"/>
              </w:rPr>
              <w:t>optica</w:t>
            </w:r>
            <w:proofErr w:type="spellEnd"/>
            <w:r w:rsidRPr="00567D48">
              <w:rPr>
                <w:rFonts w:asciiTheme="minorHAnsi" w:hAnsiTheme="minorHAnsi" w:cs="Arial"/>
                <w:color w:val="000000"/>
                <w:sz w:val="18"/>
                <w:szCs w:val="18"/>
              </w:rPr>
              <w:t xml:space="preserve"> spectrum disorder (NMOSD)</w:t>
            </w:r>
          </w:p>
        </w:tc>
        <w:tc>
          <w:tcPr>
            <w:tcW w:w="0" w:type="auto"/>
            <w:vMerge w:val="restart"/>
            <w:shd w:val="clear" w:color="auto" w:fill="auto"/>
            <w:tcMar>
              <w:top w:w="28" w:type="dxa"/>
              <w:bottom w:w="28" w:type="dxa"/>
            </w:tcMar>
            <w:vAlign w:val="center"/>
          </w:tcPr>
          <w:p w14:paraId="7A341D3E" w14:textId="543E54E7" w:rsidR="00CF7271" w:rsidRPr="00567D48" w:rsidRDefault="00CF7271" w:rsidP="00CF7271">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Resubmission to request an Authority Required (Written) listing for the treatment of patients with relapsing NMOSD who are anti-aquaporin-4 (AQP4) antibody positive.</w:t>
            </w:r>
          </w:p>
        </w:tc>
        <w:tc>
          <w:tcPr>
            <w:tcW w:w="0" w:type="auto"/>
            <w:vMerge w:val="restart"/>
            <w:shd w:val="clear" w:color="auto" w:fill="auto"/>
            <w:vAlign w:val="center"/>
          </w:tcPr>
          <w:p w14:paraId="3C52C485" w14:textId="764BFFBA" w:rsidR="00CF7271" w:rsidRPr="00567D48" w:rsidRDefault="00CF7271" w:rsidP="00CF7271">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Not Recommended</w:t>
            </w:r>
          </w:p>
        </w:tc>
        <w:tc>
          <w:tcPr>
            <w:tcW w:w="0" w:type="auto"/>
            <w:shd w:val="clear" w:color="auto" w:fill="auto"/>
            <w:vAlign w:val="center"/>
          </w:tcPr>
          <w:p w14:paraId="59635E85" w14:textId="77777777" w:rsidR="00CF7271" w:rsidRPr="00567D48" w:rsidRDefault="00CF7271" w:rsidP="00CF7271">
            <w:pPr>
              <w:rPr>
                <w:rFonts w:asciiTheme="minorHAnsi" w:hAnsiTheme="minorHAnsi" w:cs="Arial"/>
                <w:sz w:val="18"/>
                <w:szCs w:val="18"/>
              </w:rPr>
            </w:pPr>
            <w:r w:rsidRPr="00567D48">
              <w:rPr>
                <w:rFonts w:asciiTheme="minorHAnsi" w:hAnsiTheme="minorHAnsi" w:cs="Arial"/>
                <w:sz w:val="18"/>
                <w:szCs w:val="18"/>
              </w:rPr>
              <w:t>The PBAC did not recommend the listing of eculizumab for the treatment of patients with NMOSD who are AQP4 antibody positive.</w:t>
            </w:r>
          </w:p>
          <w:p w14:paraId="542DFDE4" w14:textId="77777777" w:rsidR="00CF7271" w:rsidRPr="00567D48" w:rsidRDefault="00CF7271" w:rsidP="00CF7271">
            <w:pPr>
              <w:rPr>
                <w:rFonts w:asciiTheme="minorHAnsi" w:hAnsiTheme="minorHAnsi" w:cs="Arial"/>
                <w:sz w:val="18"/>
                <w:szCs w:val="18"/>
              </w:rPr>
            </w:pPr>
          </w:p>
          <w:p w14:paraId="0371EB0C" w14:textId="77777777" w:rsidR="00CF7271" w:rsidRPr="00567D48" w:rsidRDefault="00CF7271" w:rsidP="00CF7271">
            <w:pPr>
              <w:rPr>
                <w:rFonts w:asciiTheme="minorHAnsi" w:hAnsiTheme="minorHAnsi" w:cs="Arial"/>
                <w:snapToGrid w:val="0"/>
                <w:sz w:val="18"/>
                <w:szCs w:val="18"/>
                <w:lang w:val="en-GB"/>
              </w:rPr>
            </w:pPr>
            <w:r w:rsidRPr="00567D48">
              <w:rPr>
                <w:rFonts w:asciiTheme="minorHAnsi" w:hAnsiTheme="minorHAnsi" w:cs="Arial"/>
                <w:snapToGrid w:val="0"/>
                <w:sz w:val="18"/>
                <w:szCs w:val="18"/>
                <w:lang w:val="en-GB"/>
              </w:rPr>
              <w:t>Although the PBAC considered that eculizumab was more effective than best supportive care in reducing relapses, the magnitude of this effect on disability progression and quality of life remained highly uncertain.</w:t>
            </w:r>
          </w:p>
          <w:p w14:paraId="4452EF52" w14:textId="77777777" w:rsidR="00CF7271" w:rsidRPr="00567D48" w:rsidRDefault="00CF7271" w:rsidP="00CF7271">
            <w:pPr>
              <w:rPr>
                <w:rFonts w:asciiTheme="minorHAnsi" w:hAnsiTheme="minorHAnsi" w:cs="Arial"/>
                <w:snapToGrid w:val="0"/>
                <w:sz w:val="18"/>
                <w:szCs w:val="18"/>
                <w:lang w:val="en-GB"/>
              </w:rPr>
            </w:pPr>
          </w:p>
          <w:p w14:paraId="3CB3ECF6" w14:textId="77777777" w:rsidR="00CF7271" w:rsidRPr="00567D48" w:rsidRDefault="00CF7271" w:rsidP="00CF7271">
            <w:pPr>
              <w:rPr>
                <w:rFonts w:asciiTheme="minorHAnsi" w:hAnsiTheme="minorHAnsi" w:cs="Arial"/>
                <w:snapToGrid w:val="0"/>
                <w:sz w:val="18"/>
                <w:szCs w:val="18"/>
                <w:lang w:val="en-GB"/>
              </w:rPr>
            </w:pPr>
            <w:r w:rsidRPr="00567D48">
              <w:rPr>
                <w:rFonts w:asciiTheme="minorHAnsi" w:hAnsiTheme="minorHAnsi" w:cs="Arial"/>
                <w:snapToGrid w:val="0"/>
                <w:sz w:val="18"/>
                <w:szCs w:val="18"/>
                <w:lang w:val="en-GB"/>
              </w:rPr>
              <w:t>The PBAC noted that although the resubmission partly addressed some of the concerns with the economic model, the incremental cost effectiveness ratio (ICER) remained excessively high (&gt; $1,055,000 per quality adjusted life year) and advised that a substantial price reduction would be required to achieve an acceptable ICER.</w:t>
            </w:r>
          </w:p>
          <w:p w14:paraId="5D9680D7" w14:textId="77777777" w:rsidR="00CF7271" w:rsidRPr="00567D48" w:rsidRDefault="00CF7271" w:rsidP="00CF7271">
            <w:pPr>
              <w:rPr>
                <w:rFonts w:asciiTheme="minorHAnsi" w:hAnsiTheme="minorHAnsi" w:cs="Arial"/>
                <w:snapToGrid w:val="0"/>
                <w:sz w:val="18"/>
                <w:szCs w:val="18"/>
                <w:lang w:val="en-GB"/>
              </w:rPr>
            </w:pPr>
          </w:p>
          <w:p w14:paraId="71D9B263" w14:textId="77777777" w:rsidR="00CF7271" w:rsidRPr="00567D48" w:rsidRDefault="00CF7271" w:rsidP="00CF7271">
            <w:pPr>
              <w:rPr>
                <w:rFonts w:asciiTheme="minorHAnsi" w:hAnsiTheme="minorHAnsi" w:cs="Arial"/>
                <w:sz w:val="18"/>
                <w:szCs w:val="18"/>
              </w:rPr>
            </w:pPr>
            <w:r w:rsidRPr="00567D48">
              <w:rPr>
                <w:rFonts w:asciiTheme="minorHAnsi" w:hAnsiTheme="minorHAnsi" w:cs="Arial"/>
                <w:snapToGrid w:val="0"/>
                <w:sz w:val="18"/>
                <w:szCs w:val="18"/>
                <w:lang w:val="en-GB"/>
              </w:rPr>
              <w:t>The PBAC noted that although the number of eligible patients had been reduced compared to the November 2020 submission, as eculizumab was proposed as a lifelong prophylactic treatment, at the proposed price, the cost of listing remained high.</w:t>
            </w:r>
          </w:p>
          <w:p w14:paraId="479D6A96" w14:textId="77777777" w:rsidR="00CF7271" w:rsidRPr="00567D48" w:rsidRDefault="00CF7271" w:rsidP="00CF7271">
            <w:pPr>
              <w:rPr>
                <w:rFonts w:asciiTheme="minorHAnsi" w:hAnsiTheme="minorHAnsi" w:cs="Arial"/>
                <w:sz w:val="18"/>
                <w:szCs w:val="18"/>
                <w:u w:val="single"/>
              </w:rPr>
            </w:pPr>
          </w:p>
          <w:p w14:paraId="7D0EE89C" w14:textId="77777777" w:rsidR="00CF7271" w:rsidRPr="00567D48" w:rsidRDefault="00CF7271" w:rsidP="00CF7271">
            <w:pPr>
              <w:rPr>
                <w:rFonts w:asciiTheme="minorHAnsi" w:hAnsiTheme="minorHAnsi" w:cs="Arial"/>
                <w:sz w:val="18"/>
                <w:szCs w:val="18"/>
                <w:u w:val="single"/>
              </w:rPr>
            </w:pPr>
            <w:r w:rsidRPr="00567D48">
              <w:rPr>
                <w:rFonts w:asciiTheme="minorHAnsi" w:hAnsiTheme="minorHAnsi" w:cs="Arial"/>
                <w:sz w:val="18"/>
                <w:szCs w:val="18"/>
                <w:u w:val="single"/>
              </w:rPr>
              <w:t>Comparator: Best supportive care/placebo</w:t>
            </w:r>
          </w:p>
          <w:p w14:paraId="3FFEACFF" w14:textId="77777777" w:rsidR="00CF7271" w:rsidRPr="00567D48" w:rsidRDefault="00CF7271" w:rsidP="00CF7271">
            <w:pPr>
              <w:rPr>
                <w:rFonts w:asciiTheme="minorHAnsi" w:hAnsiTheme="minorHAnsi" w:cs="Arial"/>
                <w:sz w:val="18"/>
                <w:szCs w:val="18"/>
              </w:rPr>
            </w:pPr>
            <w:r w:rsidRPr="00567D48">
              <w:rPr>
                <w:rFonts w:asciiTheme="minorHAnsi" w:hAnsiTheme="minorHAnsi" w:cs="Arial"/>
                <w:sz w:val="18"/>
                <w:szCs w:val="18"/>
              </w:rPr>
              <w:t xml:space="preserve">The PBAC accepted that best supportive care was an appropriate comparator but considered that rituximab is </w:t>
            </w:r>
            <w:r w:rsidRPr="00567D48">
              <w:rPr>
                <w:rFonts w:asciiTheme="minorHAnsi" w:hAnsiTheme="minorHAnsi" w:cs="Arial"/>
                <w:sz w:val="18"/>
                <w:szCs w:val="18"/>
              </w:rPr>
              <w:lastRenderedPageBreak/>
              <w:t>also a relevant compactor and a formal comparison would be informative.</w:t>
            </w:r>
          </w:p>
          <w:p w14:paraId="77D0A962" w14:textId="77777777" w:rsidR="00CF7271" w:rsidRDefault="00CF7271" w:rsidP="00CF7271">
            <w:pPr>
              <w:keepNext/>
              <w:rPr>
                <w:rFonts w:asciiTheme="minorHAnsi" w:hAnsiTheme="minorHAnsi" w:cs="Arial"/>
                <w:sz w:val="18"/>
                <w:szCs w:val="18"/>
                <w:u w:val="single"/>
              </w:rPr>
            </w:pPr>
          </w:p>
          <w:p w14:paraId="283F8416" w14:textId="6FCBC850" w:rsidR="00CF7271" w:rsidRPr="00567D48" w:rsidRDefault="00CF7271" w:rsidP="00CF7271">
            <w:pPr>
              <w:keepNext/>
              <w:rPr>
                <w:rFonts w:asciiTheme="minorHAnsi" w:hAnsiTheme="minorHAnsi" w:cs="Arial"/>
                <w:sz w:val="18"/>
                <w:szCs w:val="18"/>
                <w:u w:val="single"/>
              </w:rPr>
            </w:pPr>
            <w:r w:rsidRPr="00567D48">
              <w:rPr>
                <w:rFonts w:asciiTheme="minorHAnsi" w:hAnsiTheme="minorHAnsi" w:cs="Arial"/>
                <w:sz w:val="18"/>
                <w:szCs w:val="18"/>
                <w:u w:val="single"/>
              </w:rPr>
              <w:t xml:space="preserve">Clinical claim: Superior effectiveness and non-inferior safety compared with best supportive care/placebo </w:t>
            </w:r>
          </w:p>
          <w:p w14:paraId="27BB047A" w14:textId="77777777" w:rsidR="00CF7271" w:rsidRPr="00567D48" w:rsidRDefault="00CF7271" w:rsidP="00CF7271">
            <w:pPr>
              <w:rPr>
                <w:rFonts w:asciiTheme="minorHAnsi" w:hAnsiTheme="minorHAnsi" w:cs="Arial"/>
                <w:sz w:val="18"/>
                <w:szCs w:val="18"/>
              </w:rPr>
            </w:pPr>
            <w:r w:rsidRPr="00567D48">
              <w:rPr>
                <w:rFonts w:asciiTheme="minorHAnsi" w:hAnsiTheme="minorHAnsi" w:cs="Arial"/>
                <w:sz w:val="18"/>
                <w:szCs w:val="18"/>
              </w:rPr>
              <w:t>The PBAC considered that eculizumab was more effective than best supportive care/placebo in reducing relapses; however, the magnitude of this effect on disability progression and quality of life outcomes remained highly uncertain.</w:t>
            </w:r>
          </w:p>
          <w:p w14:paraId="4CA796E8" w14:textId="77777777" w:rsidR="00CF7271" w:rsidRPr="00567D48" w:rsidRDefault="00CF7271" w:rsidP="00CF7271">
            <w:pPr>
              <w:rPr>
                <w:rFonts w:asciiTheme="minorHAnsi" w:hAnsiTheme="minorHAnsi" w:cs="Arial"/>
                <w:sz w:val="18"/>
                <w:szCs w:val="18"/>
              </w:rPr>
            </w:pPr>
          </w:p>
          <w:p w14:paraId="54553346" w14:textId="77777777" w:rsidR="00CF7271" w:rsidRPr="00567D48" w:rsidRDefault="00CF7271" w:rsidP="00CF7271">
            <w:pPr>
              <w:rPr>
                <w:rFonts w:asciiTheme="minorHAnsi" w:hAnsiTheme="minorHAnsi" w:cs="Arial"/>
                <w:sz w:val="18"/>
                <w:szCs w:val="18"/>
              </w:rPr>
            </w:pPr>
            <w:r w:rsidRPr="00567D48">
              <w:rPr>
                <w:rFonts w:asciiTheme="minorHAnsi" w:hAnsiTheme="minorHAnsi" w:cs="Arial"/>
                <w:sz w:val="18"/>
                <w:szCs w:val="18"/>
              </w:rPr>
              <w:t>The PBAC considered that the claim of non-inferior comparative safety was reasonable.</w:t>
            </w:r>
          </w:p>
          <w:p w14:paraId="639CDAF8" w14:textId="77777777" w:rsidR="00CF7271" w:rsidRPr="00567D48" w:rsidRDefault="00CF7271" w:rsidP="00CF7271">
            <w:pPr>
              <w:rPr>
                <w:rFonts w:asciiTheme="minorHAnsi" w:hAnsiTheme="minorHAnsi" w:cs="Arial"/>
                <w:sz w:val="18"/>
                <w:szCs w:val="18"/>
                <w:u w:val="single"/>
              </w:rPr>
            </w:pPr>
          </w:p>
          <w:p w14:paraId="1389546E" w14:textId="77777777" w:rsidR="00CF7271" w:rsidRPr="00567D48" w:rsidRDefault="00CF7271" w:rsidP="00CF7271">
            <w:pPr>
              <w:rPr>
                <w:rFonts w:asciiTheme="minorHAnsi" w:hAnsiTheme="minorHAnsi" w:cs="Arial"/>
                <w:sz w:val="18"/>
                <w:szCs w:val="18"/>
              </w:rPr>
            </w:pPr>
            <w:r w:rsidRPr="00567D48">
              <w:rPr>
                <w:rFonts w:asciiTheme="minorHAnsi" w:hAnsiTheme="minorHAnsi" w:cs="Arial"/>
                <w:sz w:val="18"/>
                <w:szCs w:val="18"/>
                <w:u w:val="single"/>
              </w:rPr>
              <w:t>Economic claim: Cost-utility analysis compared with best supportive care/placebo.</w:t>
            </w:r>
          </w:p>
          <w:p w14:paraId="4E49E993" w14:textId="1678CEDD" w:rsidR="00CF7271" w:rsidRPr="00567D48" w:rsidRDefault="00CF7271" w:rsidP="00CF7271">
            <w:pPr>
              <w:rPr>
                <w:rFonts w:asciiTheme="minorHAnsi" w:hAnsiTheme="minorHAnsi" w:cs="Arial"/>
                <w:color w:val="000000"/>
                <w:sz w:val="18"/>
                <w:szCs w:val="18"/>
                <w:u w:val="single"/>
              </w:rPr>
            </w:pPr>
            <w:r w:rsidRPr="00567D48">
              <w:rPr>
                <w:rFonts w:asciiTheme="minorHAnsi" w:hAnsiTheme="minorHAnsi" w:cs="Arial"/>
                <w:sz w:val="18"/>
                <w:szCs w:val="18"/>
              </w:rPr>
              <w:t>The PBAC considered the ICER remained unacceptably high. The PBAC noted that the resubmission only partly addressed some of the issues raised in response to the original submission.</w:t>
            </w:r>
          </w:p>
        </w:tc>
      </w:tr>
      <w:tr w:rsidR="00CF7271" w:rsidRPr="00567D48" w14:paraId="7D418D18" w14:textId="77777777" w:rsidTr="00CF7271">
        <w:trPr>
          <w:trHeight w:val="2580"/>
        </w:trPr>
        <w:tc>
          <w:tcPr>
            <w:tcW w:w="2972" w:type="dxa"/>
            <w:vMerge/>
            <w:shd w:val="clear" w:color="auto" w:fill="auto"/>
            <w:tcMar>
              <w:top w:w="28" w:type="dxa"/>
              <w:bottom w:w="28" w:type="dxa"/>
            </w:tcMar>
            <w:vAlign w:val="center"/>
          </w:tcPr>
          <w:p w14:paraId="07FE0795" w14:textId="77777777" w:rsidR="00CF7271" w:rsidRPr="00567D48" w:rsidRDefault="00CF7271" w:rsidP="00CF7271">
            <w:pPr>
              <w:keepLines/>
              <w:spacing w:after="120"/>
              <w:rPr>
                <w:rFonts w:asciiTheme="minorHAnsi" w:hAnsiTheme="minorHAnsi" w:cs="Arial"/>
                <w:color w:val="000000"/>
                <w:sz w:val="18"/>
                <w:szCs w:val="18"/>
              </w:rPr>
            </w:pPr>
          </w:p>
        </w:tc>
        <w:tc>
          <w:tcPr>
            <w:tcW w:w="2491" w:type="dxa"/>
            <w:vMerge/>
            <w:shd w:val="clear" w:color="auto" w:fill="auto"/>
            <w:vAlign w:val="center"/>
          </w:tcPr>
          <w:p w14:paraId="37759467" w14:textId="77777777" w:rsidR="00CF7271" w:rsidRPr="00567D48" w:rsidRDefault="00CF7271" w:rsidP="00CF7271">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34CB12E1" w14:textId="77777777" w:rsidR="00CF7271" w:rsidRPr="00567D48" w:rsidRDefault="00CF7271" w:rsidP="00CF7271">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6DA004F2" w14:textId="77777777" w:rsidR="00CF7271" w:rsidRPr="00567D48" w:rsidRDefault="00CF7271" w:rsidP="00CF7271">
            <w:pPr>
              <w:pStyle w:val="ListParagraph"/>
              <w:keepLines/>
              <w:spacing w:after="120"/>
              <w:ind w:left="0"/>
              <w:rPr>
                <w:rFonts w:asciiTheme="minorHAnsi" w:hAnsiTheme="minorHAnsi" w:cs="Arial"/>
                <w:color w:val="000000"/>
                <w:sz w:val="18"/>
                <w:szCs w:val="18"/>
              </w:rPr>
            </w:pPr>
          </w:p>
        </w:tc>
        <w:tc>
          <w:tcPr>
            <w:tcW w:w="0" w:type="auto"/>
            <w:shd w:val="clear" w:color="auto" w:fill="auto"/>
          </w:tcPr>
          <w:p w14:paraId="2EEAB57F" w14:textId="69A34AAA" w:rsidR="00CF7271" w:rsidRPr="00567D48" w:rsidRDefault="00CF7271" w:rsidP="001B77E9">
            <w:pPr>
              <w:spacing w:before="120"/>
              <w:rPr>
                <w:rFonts w:asciiTheme="minorHAnsi" w:hAnsiTheme="minorHAnsi" w:cs="Arial"/>
                <w:sz w:val="18"/>
                <w:szCs w:val="18"/>
              </w:rPr>
            </w:pPr>
            <w:r w:rsidRPr="00567D48">
              <w:rPr>
                <w:rFonts w:asciiTheme="minorHAnsi" w:hAnsiTheme="minorHAnsi" w:cs="Arial"/>
                <w:sz w:val="18"/>
                <w:szCs w:val="18"/>
                <w:u w:val="single"/>
              </w:rPr>
              <w:t>Sponsor’s comment</w:t>
            </w:r>
            <w:r w:rsidRPr="00567D48">
              <w:rPr>
                <w:rFonts w:asciiTheme="minorHAnsi" w:hAnsiTheme="minorHAnsi" w:cs="Arial"/>
                <w:sz w:val="18"/>
                <w:szCs w:val="18"/>
              </w:rPr>
              <w:t xml:space="preserve">: </w:t>
            </w:r>
            <w:r w:rsidRPr="00567D48">
              <w:rPr>
                <w:rFonts w:asciiTheme="minorHAnsi" w:hAnsiTheme="minorHAnsi" w:cs="Arial"/>
                <w:color w:val="000000"/>
                <w:sz w:val="18"/>
                <w:szCs w:val="18"/>
              </w:rPr>
              <w:t xml:space="preserve">There are no TGA approved therapies reimbursed for neuromyelitis </w:t>
            </w:r>
            <w:proofErr w:type="spellStart"/>
            <w:r w:rsidRPr="00567D48">
              <w:rPr>
                <w:rFonts w:asciiTheme="minorHAnsi" w:hAnsiTheme="minorHAnsi" w:cs="Arial"/>
                <w:color w:val="000000"/>
                <w:sz w:val="18"/>
                <w:szCs w:val="18"/>
              </w:rPr>
              <w:t>optica</w:t>
            </w:r>
            <w:proofErr w:type="spellEnd"/>
            <w:r w:rsidRPr="00567D48">
              <w:rPr>
                <w:rFonts w:asciiTheme="minorHAnsi" w:hAnsiTheme="minorHAnsi" w:cs="Arial"/>
                <w:color w:val="000000"/>
                <w:sz w:val="18"/>
                <w:szCs w:val="18"/>
              </w:rPr>
              <w:t xml:space="preserve"> spectrum disorder (NMOSD) in Australia and given the severity and rare nature of this disease, Alexion is committed to continue to work with the Government to reach an agreement that ensures equitable access for people living with this devastating disease.</w:t>
            </w:r>
          </w:p>
        </w:tc>
      </w:tr>
      <w:tr w:rsidR="00124585" w:rsidRPr="00567D48" w14:paraId="08092339" w14:textId="77777777" w:rsidTr="00F00B7A">
        <w:trPr>
          <w:cantSplit/>
          <w:trHeight w:val="574"/>
        </w:trPr>
        <w:tc>
          <w:tcPr>
            <w:tcW w:w="2972" w:type="dxa"/>
            <w:shd w:val="clear" w:color="auto" w:fill="auto"/>
            <w:tcMar>
              <w:top w:w="28" w:type="dxa"/>
              <w:bottom w:w="28" w:type="dxa"/>
            </w:tcMar>
            <w:vAlign w:val="center"/>
          </w:tcPr>
          <w:p w14:paraId="51034C5C" w14:textId="3456D7A5" w:rsidR="00124585" w:rsidRPr="00567D48" w:rsidRDefault="00124585"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 xml:space="preserve">EMPAGLIFLOZIN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Tablet 10 mg</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Jardiance®</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Boehringer Ingelheim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2 submission</w:t>
            </w:r>
            <w:r w:rsidRPr="00567D48">
              <w:rPr>
                <w:rFonts w:asciiTheme="minorHAnsi" w:hAnsiTheme="minorHAnsi" w:cs="Arial"/>
                <w:color w:val="000000"/>
                <w:sz w:val="18"/>
                <w:szCs w:val="18"/>
              </w:rPr>
              <w:br/>
              <w:t>(Change to PBS listing)</w:t>
            </w:r>
          </w:p>
        </w:tc>
        <w:tc>
          <w:tcPr>
            <w:tcW w:w="2491" w:type="dxa"/>
            <w:shd w:val="clear" w:color="auto" w:fill="auto"/>
            <w:vAlign w:val="center"/>
          </w:tcPr>
          <w:p w14:paraId="06955119" w14:textId="029B9E27" w:rsidR="00124585" w:rsidRPr="00567D48" w:rsidRDefault="00124585"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Chronic heart failure</w:t>
            </w:r>
          </w:p>
        </w:tc>
        <w:tc>
          <w:tcPr>
            <w:tcW w:w="0" w:type="auto"/>
            <w:shd w:val="clear" w:color="auto" w:fill="auto"/>
            <w:tcMar>
              <w:top w:w="28" w:type="dxa"/>
              <w:bottom w:w="28" w:type="dxa"/>
            </w:tcMar>
            <w:vAlign w:val="center"/>
          </w:tcPr>
          <w:p w14:paraId="2954E03C" w14:textId="270EDD0A"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a General Schedule Authority Required (STREAMLINED) listing for the treatment of patients with chronic heart failure with reduced ejection fraction.</w:t>
            </w:r>
          </w:p>
        </w:tc>
        <w:tc>
          <w:tcPr>
            <w:tcW w:w="0" w:type="auto"/>
            <w:shd w:val="clear" w:color="auto" w:fill="auto"/>
            <w:vAlign w:val="center"/>
          </w:tcPr>
          <w:p w14:paraId="382B2175" w14:textId="00429C2F"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69AF602A" w14:textId="50F75EBC" w:rsidR="00124585" w:rsidRPr="00567D48" w:rsidRDefault="00124585" w:rsidP="00124585">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The PBAC recommended the listing of empagliflozin for the treatment of patients with chronic heart failure with reduced ejection fraction (</w:t>
            </w:r>
            <w:proofErr w:type="spellStart"/>
            <w:r w:rsidRPr="00567D48">
              <w:rPr>
                <w:rFonts w:asciiTheme="minorHAnsi" w:hAnsiTheme="minorHAnsi" w:cs="Arial"/>
                <w:color w:val="000000"/>
                <w:sz w:val="18"/>
                <w:szCs w:val="18"/>
              </w:rPr>
              <w:t>HFrEF</w:t>
            </w:r>
            <w:proofErr w:type="spellEnd"/>
            <w:r w:rsidRPr="00567D48">
              <w:rPr>
                <w:rFonts w:asciiTheme="minorHAnsi" w:hAnsiTheme="minorHAnsi" w:cs="Arial"/>
                <w:color w:val="000000"/>
                <w:sz w:val="18"/>
                <w:szCs w:val="18"/>
              </w:rPr>
              <w:t>), New York Heart Association classification II-IV, left ventricular ejection fraction (LVEF) ≤40%, who are receiving standard care including a beta blocker, and an angiotensin-converting enzyme inhibitor (</w:t>
            </w:r>
            <w:proofErr w:type="spellStart"/>
            <w:r w:rsidRPr="00567D48">
              <w:rPr>
                <w:rFonts w:asciiTheme="minorHAnsi" w:hAnsiTheme="minorHAnsi" w:cs="Arial"/>
                <w:color w:val="000000"/>
                <w:sz w:val="18"/>
                <w:szCs w:val="18"/>
              </w:rPr>
              <w:t>ACEi</w:t>
            </w:r>
            <w:proofErr w:type="spellEnd"/>
            <w:r w:rsidRPr="00567D48">
              <w:rPr>
                <w:rFonts w:asciiTheme="minorHAnsi" w:hAnsiTheme="minorHAnsi" w:cs="Arial"/>
                <w:color w:val="000000"/>
                <w:sz w:val="18"/>
                <w:szCs w:val="18"/>
              </w:rPr>
              <w:t xml:space="preserve">), or an angiotensin II receptor blocker (ARB), or an angiotensin receptor with </w:t>
            </w:r>
            <w:proofErr w:type="spellStart"/>
            <w:r w:rsidRPr="00567D48">
              <w:rPr>
                <w:rFonts w:asciiTheme="minorHAnsi" w:hAnsiTheme="minorHAnsi" w:cs="Arial"/>
                <w:color w:val="000000"/>
                <w:sz w:val="18"/>
                <w:szCs w:val="18"/>
              </w:rPr>
              <w:t>neprilysin</w:t>
            </w:r>
            <w:proofErr w:type="spellEnd"/>
            <w:r w:rsidRPr="00567D48">
              <w:rPr>
                <w:rFonts w:asciiTheme="minorHAnsi" w:hAnsiTheme="minorHAnsi" w:cs="Arial"/>
                <w:color w:val="000000"/>
                <w:sz w:val="18"/>
                <w:szCs w:val="18"/>
              </w:rPr>
              <w:t xml:space="preserve"> inhibitor (</w:t>
            </w:r>
            <w:proofErr w:type="spellStart"/>
            <w:r w:rsidRPr="00567D48">
              <w:rPr>
                <w:rFonts w:asciiTheme="minorHAnsi" w:hAnsiTheme="minorHAnsi" w:cs="Arial"/>
                <w:color w:val="000000"/>
                <w:sz w:val="18"/>
                <w:szCs w:val="18"/>
              </w:rPr>
              <w:t>ARNi</w:t>
            </w:r>
            <w:proofErr w:type="spellEnd"/>
            <w:r w:rsidRPr="00567D48">
              <w:rPr>
                <w:rFonts w:asciiTheme="minorHAnsi" w:hAnsiTheme="minorHAnsi" w:cs="Arial"/>
                <w:color w:val="000000"/>
                <w:sz w:val="18"/>
                <w:szCs w:val="18"/>
              </w:rPr>
              <w:t>). Although the submission presented a modelled economic evaluation against standard of care, the PBAC’s recommendation for listing was based on its assessment that the cost-effectiveness of empagliflozin would be acceptable if it were cost-minimised against dapagliflozin, which was recommended for listing of this indication at the PBAC’s September 2021 Intracycle meeting. The PBAC considered that a claim of non</w:t>
            </w:r>
            <w:r w:rsidR="009F259C" w:rsidRPr="00567D48">
              <w:rPr>
                <w:rFonts w:asciiTheme="minorHAnsi" w:hAnsiTheme="minorHAnsi" w:cs="Arial"/>
                <w:color w:val="000000"/>
                <w:sz w:val="18"/>
                <w:szCs w:val="18"/>
              </w:rPr>
              <w:t>-</w:t>
            </w:r>
            <w:r w:rsidRPr="00567D48">
              <w:rPr>
                <w:rFonts w:asciiTheme="minorHAnsi" w:hAnsiTheme="minorHAnsi" w:cs="Arial"/>
                <w:color w:val="000000"/>
                <w:sz w:val="18"/>
                <w:szCs w:val="18"/>
              </w:rPr>
              <w:t xml:space="preserve">inferior comparative effectiveness was adequately supported by the clinical evidence and international clinical guidelines, and advised that empagliflozin for </w:t>
            </w:r>
            <w:proofErr w:type="spellStart"/>
            <w:r w:rsidRPr="00567D48">
              <w:rPr>
                <w:rFonts w:asciiTheme="minorHAnsi" w:hAnsiTheme="minorHAnsi" w:cs="Arial"/>
                <w:color w:val="000000"/>
                <w:sz w:val="18"/>
                <w:szCs w:val="18"/>
              </w:rPr>
              <w:t>HFrEF</w:t>
            </w:r>
            <w:proofErr w:type="spellEnd"/>
            <w:r w:rsidRPr="00567D48">
              <w:rPr>
                <w:rFonts w:asciiTheme="minorHAnsi" w:hAnsiTheme="minorHAnsi" w:cs="Arial"/>
                <w:color w:val="000000"/>
                <w:sz w:val="18"/>
                <w:szCs w:val="18"/>
              </w:rPr>
              <w:t xml:space="preserve"> should share the expenditure caps that the PBAC had recommended for a Risk-Sharing Arrangement for dapagliflozin.</w:t>
            </w:r>
            <w:r w:rsidRPr="00567D48">
              <w:rPr>
                <w:rFonts w:asciiTheme="minorHAnsi" w:hAnsiTheme="minorHAnsi" w:cs="Arial"/>
                <w:b/>
                <w:bCs/>
                <w:color w:val="000000"/>
                <w:sz w:val="18"/>
                <w:szCs w:val="18"/>
              </w:rPr>
              <w:t xml:space="preserve"> </w:t>
            </w:r>
            <w:r w:rsidRPr="00567D48">
              <w:rPr>
                <w:rFonts w:asciiTheme="minorHAnsi" w:hAnsiTheme="minorHAnsi" w:cs="Arial"/>
                <w:color w:val="000000"/>
                <w:sz w:val="18"/>
                <w:szCs w:val="18"/>
              </w:rPr>
              <w:t xml:space="preserve">The PBAC considered that the </w:t>
            </w:r>
            <w:proofErr w:type="spellStart"/>
            <w:r w:rsidRPr="00567D48">
              <w:rPr>
                <w:rFonts w:asciiTheme="minorHAnsi" w:hAnsiTheme="minorHAnsi" w:cs="Arial"/>
                <w:color w:val="000000"/>
                <w:sz w:val="18"/>
                <w:szCs w:val="18"/>
              </w:rPr>
              <w:t>equi</w:t>
            </w:r>
            <w:proofErr w:type="spellEnd"/>
            <w:r w:rsidRPr="00567D48">
              <w:rPr>
                <w:rFonts w:asciiTheme="minorHAnsi" w:hAnsiTheme="minorHAnsi" w:cs="Arial"/>
                <w:color w:val="000000"/>
                <w:sz w:val="18"/>
                <w:szCs w:val="18"/>
              </w:rPr>
              <w:t xml:space="preserve">-effective doses were empagliflozin 10 mg per day and dapagliflozin 10 mg per day. </w:t>
            </w:r>
          </w:p>
        </w:tc>
      </w:tr>
      <w:tr w:rsidR="00124585" w:rsidRPr="00567D48" w14:paraId="0F41446C" w14:textId="77777777" w:rsidTr="00F00B7A">
        <w:trPr>
          <w:cantSplit/>
          <w:trHeight w:val="574"/>
        </w:trPr>
        <w:tc>
          <w:tcPr>
            <w:tcW w:w="2972" w:type="dxa"/>
            <w:shd w:val="clear" w:color="auto" w:fill="auto"/>
            <w:tcMar>
              <w:top w:w="28" w:type="dxa"/>
              <w:bottom w:w="28" w:type="dxa"/>
            </w:tcMar>
            <w:vAlign w:val="center"/>
          </w:tcPr>
          <w:p w14:paraId="01028DFE" w14:textId="1331F7F3" w:rsidR="00124585" w:rsidRPr="00567D48" w:rsidRDefault="00124585" w:rsidP="00861376">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t>ESSENTIAL AMINO ACIDS FORMULA WITH VITAMINS AND MINERALS</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Sachets containing oral powder 12.5 g, 30</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EAA Supplement</w:t>
            </w:r>
            <w:r w:rsidR="00861376" w:rsidRPr="00567D48">
              <w:rPr>
                <w:rFonts w:asciiTheme="minorHAnsi" w:hAnsiTheme="minorHAnsi" w:cs="Arial"/>
                <w:color w:val="000000"/>
                <w:sz w:val="18"/>
                <w:szCs w:val="18"/>
              </w:rPr>
              <w:t xml:space="preserve">™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Vitaflo</w:t>
            </w:r>
            <w:proofErr w:type="spellEnd"/>
            <w:r w:rsidRPr="00567D48">
              <w:rPr>
                <w:rFonts w:asciiTheme="minorHAnsi" w:hAnsiTheme="minorHAnsi" w:cs="Arial"/>
                <w:color w:val="000000"/>
                <w:sz w:val="18"/>
                <w:szCs w:val="18"/>
              </w:rPr>
              <w:t xml:space="preserve"> Australia Pty Limited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 xml:space="preserve">Category 4 submission </w:t>
            </w:r>
            <w:r w:rsidRPr="00567D48">
              <w:rPr>
                <w:rFonts w:asciiTheme="minorHAnsi" w:hAnsiTheme="minorHAnsi" w:cs="Arial"/>
                <w:color w:val="000000"/>
                <w:sz w:val="18"/>
                <w:szCs w:val="18"/>
              </w:rPr>
              <w:br/>
              <w:t xml:space="preserve">(Change to PBS listing) </w:t>
            </w:r>
          </w:p>
        </w:tc>
        <w:tc>
          <w:tcPr>
            <w:tcW w:w="2491" w:type="dxa"/>
            <w:shd w:val="clear" w:color="auto" w:fill="auto"/>
            <w:vAlign w:val="center"/>
          </w:tcPr>
          <w:p w14:paraId="5A0DF0E9" w14:textId="258AA9BC" w:rsidR="00124585" w:rsidRPr="00567D48" w:rsidRDefault="00124585"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Gyrate atrophy of the choroid and retina;</w:t>
            </w:r>
            <w:r w:rsidRPr="00567D48">
              <w:rPr>
                <w:rFonts w:asciiTheme="minorHAnsi" w:hAnsiTheme="minorHAnsi" w:cs="Arial"/>
                <w:color w:val="000000"/>
                <w:sz w:val="18"/>
                <w:szCs w:val="18"/>
              </w:rPr>
              <w:br/>
              <w:t>Urea cycle disorders</w:t>
            </w:r>
          </w:p>
        </w:tc>
        <w:tc>
          <w:tcPr>
            <w:tcW w:w="0" w:type="auto"/>
            <w:shd w:val="clear" w:color="auto" w:fill="auto"/>
            <w:tcMar>
              <w:top w:w="28" w:type="dxa"/>
              <w:bottom w:w="28" w:type="dxa"/>
            </w:tcMar>
            <w:vAlign w:val="center"/>
          </w:tcPr>
          <w:p w14:paraId="63DFF7DB" w14:textId="539E54F5"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 xml:space="preserve">To request EAA Supplement with new formulation and new pack size continue to be listed on the PBS; and to request a change of maximum quantity from four packs (200 sachets) to six packs (180 sachets). </w:t>
            </w:r>
          </w:p>
        </w:tc>
        <w:tc>
          <w:tcPr>
            <w:tcW w:w="0" w:type="auto"/>
            <w:shd w:val="clear" w:color="auto" w:fill="auto"/>
            <w:vAlign w:val="center"/>
          </w:tcPr>
          <w:p w14:paraId="2234705D" w14:textId="7C2E15AA"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50C77787" w14:textId="6AB0C490" w:rsidR="00124585" w:rsidRPr="00567D48" w:rsidRDefault="00124585" w:rsidP="002024B2">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The PBAC recommended the listing of</w:t>
            </w:r>
            <w:r w:rsidR="002024B2" w:rsidRPr="00567D48">
              <w:rPr>
                <w:rFonts w:asciiTheme="minorHAnsi" w:hAnsiTheme="minorHAnsi" w:cs="Arial"/>
                <w:color w:val="000000"/>
                <w:sz w:val="18"/>
                <w:szCs w:val="18"/>
              </w:rPr>
              <w:t xml:space="preserve"> </w:t>
            </w:r>
            <w:r w:rsidRPr="00567D48">
              <w:rPr>
                <w:rFonts w:asciiTheme="minorHAnsi" w:hAnsiTheme="minorHAnsi" w:cs="Arial"/>
                <w:color w:val="000000"/>
                <w:sz w:val="18"/>
                <w:szCs w:val="18"/>
              </w:rPr>
              <w:t>EAA Supplemen</w:t>
            </w:r>
            <w:r w:rsidR="002024B2" w:rsidRPr="00567D48">
              <w:rPr>
                <w:rFonts w:asciiTheme="minorHAnsi" w:hAnsiTheme="minorHAnsi" w:cs="Arial"/>
                <w:color w:val="000000"/>
                <w:sz w:val="18"/>
                <w:szCs w:val="18"/>
              </w:rPr>
              <w:t>t</w:t>
            </w:r>
            <w:r w:rsidRPr="00567D48">
              <w:rPr>
                <w:rFonts w:asciiTheme="minorHAnsi" w:hAnsiTheme="minorHAnsi" w:cs="Arial"/>
                <w:color w:val="000000"/>
                <w:sz w:val="18"/>
                <w:szCs w:val="18"/>
              </w:rPr>
              <w:t xml:space="preserve"> with new formulation, pack size and maximum quantity to replace the current PBS listed EAA Supplement.</w:t>
            </w:r>
          </w:p>
        </w:tc>
      </w:tr>
      <w:tr w:rsidR="00124585" w:rsidRPr="00567D48" w14:paraId="3B4DFE8C" w14:textId="77777777" w:rsidTr="00F00B7A">
        <w:trPr>
          <w:cantSplit/>
          <w:trHeight w:val="574"/>
        </w:trPr>
        <w:tc>
          <w:tcPr>
            <w:tcW w:w="2972" w:type="dxa"/>
            <w:shd w:val="clear" w:color="auto" w:fill="auto"/>
            <w:tcMar>
              <w:top w:w="28" w:type="dxa"/>
              <w:bottom w:w="28" w:type="dxa"/>
            </w:tcMar>
            <w:vAlign w:val="center"/>
          </w:tcPr>
          <w:p w14:paraId="072E1265" w14:textId="5D94EF57" w:rsidR="00124585" w:rsidRPr="00567D48" w:rsidRDefault="00124585"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ETANERCEPT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Injections 50 mg in 1 mL single use pre-filled syringes, 4</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Rymti</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Alphapharm</w:t>
            </w:r>
            <w:proofErr w:type="spellEnd"/>
            <w:r w:rsidRPr="00567D48">
              <w:rPr>
                <w:rFonts w:asciiTheme="minorHAnsi" w:hAnsiTheme="minorHAnsi" w:cs="Arial"/>
                <w:color w:val="000000"/>
                <w:sz w:val="18"/>
                <w:szCs w:val="18"/>
              </w:rPr>
              <w:t xml:space="preserve">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3 submission</w:t>
            </w:r>
            <w:r w:rsidRPr="00567D48">
              <w:rPr>
                <w:rFonts w:asciiTheme="minorHAnsi" w:hAnsiTheme="minorHAnsi" w:cs="Arial"/>
                <w:color w:val="000000"/>
                <w:sz w:val="18"/>
                <w:szCs w:val="18"/>
              </w:rPr>
              <w:br/>
              <w:t xml:space="preserve">(New PBS listing) </w:t>
            </w:r>
          </w:p>
        </w:tc>
        <w:tc>
          <w:tcPr>
            <w:tcW w:w="2491" w:type="dxa"/>
            <w:shd w:val="clear" w:color="auto" w:fill="auto"/>
            <w:vAlign w:val="center"/>
          </w:tcPr>
          <w:p w14:paraId="0D84621E" w14:textId="35AEB5EC" w:rsidR="00124585" w:rsidRPr="00567D48" w:rsidRDefault="00124585"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 xml:space="preserve">Rheumatoid arthritis; </w:t>
            </w:r>
            <w:r w:rsidRPr="00567D48">
              <w:rPr>
                <w:rFonts w:asciiTheme="minorHAnsi" w:hAnsiTheme="minorHAnsi" w:cs="Arial"/>
                <w:color w:val="000000"/>
                <w:sz w:val="18"/>
                <w:szCs w:val="18"/>
              </w:rPr>
              <w:br/>
              <w:t xml:space="preserve">Plaque psoriasis; </w:t>
            </w:r>
            <w:r w:rsidRPr="00567D48">
              <w:rPr>
                <w:rFonts w:asciiTheme="minorHAnsi" w:hAnsiTheme="minorHAnsi" w:cs="Arial"/>
                <w:color w:val="000000"/>
                <w:sz w:val="18"/>
                <w:szCs w:val="18"/>
              </w:rPr>
              <w:br/>
              <w:t xml:space="preserve">Ankylosing spondylitis; </w:t>
            </w:r>
            <w:r w:rsidRPr="00567D48">
              <w:rPr>
                <w:rFonts w:asciiTheme="minorHAnsi" w:hAnsiTheme="minorHAnsi" w:cs="Arial"/>
                <w:color w:val="000000"/>
                <w:sz w:val="18"/>
                <w:szCs w:val="18"/>
              </w:rPr>
              <w:br/>
              <w:t xml:space="preserve">Psoriatic arthritis; </w:t>
            </w:r>
            <w:r w:rsidRPr="00567D48">
              <w:rPr>
                <w:rFonts w:asciiTheme="minorHAnsi" w:hAnsiTheme="minorHAnsi" w:cs="Arial"/>
                <w:color w:val="000000"/>
                <w:sz w:val="18"/>
                <w:szCs w:val="18"/>
              </w:rPr>
              <w:br/>
              <w:t xml:space="preserve">Juvenile idiopathic arthritis; </w:t>
            </w:r>
            <w:r w:rsidRPr="00567D48">
              <w:rPr>
                <w:rFonts w:asciiTheme="minorHAnsi" w:hAnsiTheme="minorHAnsi" w:cs="Arial"/>
                <w:color w:val="000000"/>
                <w:sz w:val="18"/>
                <w:szCs w:val="18"/>
              </w:rPr>
              <w:br/>
              <w:t>Paediatric plaque psoriasis.</w:t>
            </w:r>
          </w:p>
        </w:tc>
        <w:tc>
          <w:tcPr>
            <w:tcW w:w="0" w:type="auto"/>
            <w:shd w:val="clear" w:color="auto" w:fill="auto"/>
            <w:tcMar>
              <w:top w:w="28" w:type="dxa"/>
              <w:bottom w:w="28" w:type="dxa"/>
            </w:tcMar>
            <w:vAlign w:val="center"/>
          </w:tcPr>
          <w:p w14:paraId="2AB4DFEF" w14:textId="0A85E5FF"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listing of etanercept biosimilar under the same conditions as its reference biologic, with exclusion of children and adolescents who weigh less than 62.5 kg.</w:t>
            </w:r>
          </w:p>
        </w:tc>
        <w:tc>
          <w:tcPr>
            <w:tcW w:w="0" w:type="auto"/>
            <w:shd w:val="clear" w:color="auto" w:fill="auto"/>
            <w:vAlign w:val="center"/>
          </w:tcPr>
          <w:p w14:paraId="77FF8ECA" w14:textId="4DD51125"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2215D9B7" w14:textId="16C7E86D" w:rsidR="00124585" w:rsidRPr="00567D48" w:rsidRDefault="00124585" w:rsidP="00124585">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 xml:space="preserve">The PBAC recommended the Authority Required listing of </w:t>
            </w:r>
            <w:proofErr w:type="spellStart"/>
            <w:r w:rsidRPr="00567D48">
              <w:rPr>
                <w:rFonts w:asciiTheme="minorHAnsi" w:hAnsiTheme="minorHAnsi" w:cs="Arial"/>
                <w:color w:val="000000"/>
                <w:sz w:val="18"/>
                <w:szCs w:val="18"/>
              </w:rPr>
              <w:t>Rymti</w:t>
            </w:r>
            <w:proofErr w:type="spellEnd"/>
            <w:r w:rsidRPr="00567D48">
              <w:rPr>
                <w:rFonts w:asciiTheme="minorHAnsi" w:hAnsiTheme="minorHAnsi" w:cs="Arial"/>
                <w:color w:val="000000"/>
                <w:sz w:val="18"/>
                <w:szCs w:val="18"/>
              </w:rPr>
              <w:t xml:space="preserve"> in the form of 50 mg in 1 mL pre-filled syringe as a biosimilar brand of Enbrel</w:t>
            </w:r>
            <w:r w:rsidR="00CB0FDE" w:rsidRPr="00567D48">
              <w:rPr>
                <w:rFonts w:asciiTheme="minorHAnsi" w:hAnsiTheme="minorHAnsi" w:cs="Arial"/>
                <w:color w:val="000000"/>
                <w:sz w:val="18"/>
                <w:szCs w:val="18"/>
              </w:rPr>
              <w:t>®</w:t>
            </w:r>
            <w:r w:rsidRPr="00567D48">
              <w:rPr>
                <w:rFonts w:asciiTheme="minorHAnsi" w:hAnsiTheme="minorHAnsi" w:cs="Arial"/>
                <w:color w:val="000000"/>
                <w:sz w:val="18"/>
                <w:szCs w:val="18"/>
              </w:rPr>
              <w:t xml:space="preserve">. The PBAC’s recommendation for listing was based on, among other matters, its assessment that the cost-effectiveness of </w:t>
            </w:r>
            <w:proofErr w:type="spellStart"/>
            <w:r w:rsidRPr="00567D48">
              <w:rPr>
                <w:rFonts w:asciiTheme="minorHAnsi" w:hAnsiTheme="minorHAnsi" w:cs="Arial"/>
                <w:color w:val="000000"/>
                <w:sz w:val="18"/>
                <w:szCs w:val="18"/>
              </w:rPr>
              <w:t>Rymti</w:t>
            </w:r>
            <w:proofErr w:type="spellEnd"/>
            <w:r w:rsidRPr="00567D48">
              <w:rPr>
                <w:rFonts w:asciiTheme="minorHAnsi" w:hAnsiTheme="minorHAnsi" w:cs="Arial"/>
                <w:color w:val="000000"/>
                <w:sz w:val="18"/>
                <w:szCs w:val="18"/>
              </w:rPr>
              <w:t xml:space="preserve"> would be acceptable if it were cost-minimised to Enbrel. The PBAC advised that, the same form and strength of </w:t>
            </w:r>
            <w:proofErr w:type="spellStart"/>
            <w:r w:rsidRPr="00567D48">
              <w:rPr>
                <w:rFonts w:asciiTheme="minorHAnsi" w:hAnsiTheme="minorHAnsi" w:cs="Arial"/>
                <w:color w:val="000000"/>
                <w:sz w:val="18"/>
                <w:szCs w:val="18"/>
              </w:rPr>
              <w:t>Brenzys</w:t>
            </w:r>
            <w:proofErr w:type="spellEnd"/>
            <w:r w:rsidRPr="00567D48">
              <w:rPr>
                <w:rFonts w:asciiTheme="minorHAnsi" w:hAnsiTheme="minorHAnsi" w:cs="Arial"/>
                <w:color w:val="000000"/>
                <w:sz w:val="18"/>
                <w:szCs w:val="18"/>
              </w:rPr>
              <w:t xml:space="preserve">®, Enbrel and </w:t>
            </w:r>
            <w:proofErr w:type="spellStart"/>
            <w:r w:rsidRPr="00567D48">
              <w:rPr>
                <w:rFonts w:asciiTheme="minorHAnsi" w:hAnsiTheme="minorHAnsi" w:cs="Arial"/>
                <w:color w:val="000000"/>
                <w:sz w:val="18"/>
                <w:szCs w:val="18"/>
              </w:rPr>
              <w:t>Rymti</w:t>
            </w:r>
            <w:proofErr w:type="spellEnd"/>
            <w:r w:rsidRPr="00567D48">
              <w:rPr>
                <w:rFonts w:asciiTheme="minorHAnsi" w:hAnsiTheme="minorHAnsi" w:cs="Arial"/>
                <w:color w:val="000000"/>
                <w:sz w:val="18"/>
                <w:szCs w:val="18"/>
              </w:rPr>
              <w:t xml:space="preserve"> should be treated as equivalent to each other for the purpose of substitution.</w:t>
            </w:r>
          </w:p>
        </w:tc>
      </w:tr>
      <w:tr w:rsidR="00124585" w:rsidRPr="00567D48" w14:paraId="667007FE" w14:textId="77777777" w:rsidTr="00F00B7A">
        <w:trPr>
          <w:cantSplit/>
          <w:trHeight w:val="574"/>
        </w:trPr>
        <w:tc>
          <w:tcPr>
            <w:tcW w:w="2972" w:type="dxa"/>
            <w:shd w:val="clear" w:color="auto" w:fill="auto"/>
            <w:tcMar>
              <w:top w:w="28" w:type="dxa"/>
              <w:bottom w:w="28" w:type="dxa"/>
            </w:tcMar>
            <w:vAlign w:val="center"/>
          </w:tcPr>
          <w:p w14:paraId="18BFE77E" w14:textId="0A38A950" w:rsidR="00124585" w:rsidRPr="00567D48" w:rsidRDefault="00124585"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FLUTICASONE FUROATE WITH UMECLIDINIUM AND VILANTEROL</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Powder for oral inhalation in breath actuated device containing fluticasone furoate 200 micrograms with umeclidinium 62.5 micrograms (as bromide) and vilanterol 25</w:t>
            </w:r>
            <w:r w:rsidR="007F3395" w:rsidRPr="00567D48">
              <w:rPr>
                <w:rFonts w:asciiTheme="minorHAnsi" w:hAnsiTheme="minorHAnsi" w:cs="Arial"/>
                <w:color w:val="000000"/>
                <w:sz w:val="18"/>
                <w:szCs w:val="18"/>
              </w:rPr>
              <w:t> </w:t>
            </w:r>
            <w:r w:rsidRPr="00567D48">
              <w:rPr>
                <w:rFonts w:asciiTheme="minorHAnsi" w:hAnsiTheme="minorHAnsi" w:cs="Arial"/>
                <w:color w:val="000000"/>
                <w:sz w:val="18"/>
                <w:szCs w:val="18"/>
              </w:rPr>
              <w:t xml:space="preserve">micrograms (as </w:t>
            </w:r>
            <w:proofErr w:type="spellStart"/>
            <w:r w:rsidRPr="00567D48">
              <w:rPr>
                <w:rFonts w:asciiTheme="minorHAnsi" w:hAnsiTheme="minorHAnsi" w:cs="Arial"/>
                <w:color w:val="000000"/>
                <w:sz w:val="18"/>
                <w:szCs w:val="18"/>
              </w:rPr>
              <w:t>trifenatate</w:t>
            </w:r>
            <w:proofErr w:type="spellEnd"/>
            <w:r w:rsidRPr="00567D48">
              <w:rPr>
                <w:rFonts w:asciiTheme="minorHAnsi" w:hAnsiTheme="minorHAnsi" w:cs="Arial"/>
                <w:color w:val="000000"/>
                <w:sz w:val="18"/>
                <w:szCs w:val="18"/>
              </w:rPr>
              <w:t>) per dose, 30 doses</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Trelegy</w:t>
            </w:r>
            <w:proofErr w:type="spellEnd"/>
            <w:r w:rsidRPr="00567D48">
              <w:rPr>
                <w:rFonts w:asciiTheme="minorHAnsi" w:hAnsiTheme="minorHAnsi" w:cs="Arial"/>
                <w:color w:val="000000"/>
                <w:sz w:val="18"/>
                <w:szCs w:val="18"/>
              </w:rPr>
              <w:t>® Ellipta® 200/62.5/25</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GlaxoSmithKline Australia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r w:rsidRPr="00567D48">
              <w:rPr>
                <w:rFonts w:asciiTheme="minorHAnsi" w:hAnsiTheme="minorHAnsi" w:cs="Arial"/>
                <w:sz w:val="18"/>
                <w:szCs w:val="18"/>
              </w:rPr>
              <w:t>Category 2 submission</w:t>
            </w:r>
            <w:r w:rsidRPr="00567D48">
              <w:rPr>
                <w:rFonts w:asciiTheme="minorHAnsi" w:hAnsiTheme="minorHAnsi" w:cs="Arial"/>
                <w:color w:val="000000"/>
                <w:sz w:val="18"/>
                <w:szCs w:val="18"/>
              </w:rPr>
              <w:br/>
              <w:t>(New PBS listing)</w:t>
            </w:r>
          </w:p>
        </w:tc>
        <w:tc>
          <w:tcPr>
            <w:tcW w:w="2491" w:type="dxa"/>
            <w:shd w:val="clear" w:color="auto" w:fill="auto"/>
            <w:vAlign w:val="center"/>
          </w:tcPr>
          <w:p w14:paraId="15207FA7" w14:textId="56C6C033" w:rsidR="00124585" w:rsidRPr="00567D48" w:rsidRDefault="00124585"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Severe asthma</w:t>
            </w:r>
          </w:p>
        </w:tc>
        <w:tc>
          <w:tcPr>
            <w:tcW w:w="0" w:type="auto"/>
            <w:shd w:val="clear" w:color="auto" w:fill="auto"/>
            <w:tcMar>
              <w:top w:w="28" w:type="dxa"/>
              <w:bottom w:w="28" w:type="dxa"/>
            </w:tcMar>
            <w:vAlign w:val="center"/>
          </w:tcPr>
          <w:p w14:paraId="1ACDE9F6" w14:textId="21C84F4D"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a General Schedule Authority Required (STREAMLINED) listing for the treatment of severe asthma.</w:t>
            </w:r>
          </w:p>
        </w:tc>
        <w:tc>
          <w:tcPr>
            <w:tcW w:w="0" w:type="auto"/>
            <w:shd w:val="clear" w:color="auto" w:fill="auto"/>
            <w:vAlign w:val="center"/>
          </w:tcPr>
          <w:p w14:paraId="68952FFF" w14:textId="1C971098"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1A8A90F5" w14:textId="77777777" w:rsidR="0046507A"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The PBAC recommended the Authority Required (STREAMLINED) listing of fluticasone furoate (FF) with umeclidinium (UMEC) and vilanterol (VI) fixed dose combination (FDC) for maintenance therapy of severe asthma. The recommended listing is for one strength: FF/UMEC/VI 200/62.5/25 mcg.</w:t>
            </w:r>
          </w:p>
          <w:p w14:paraId="4E262709" w14:textId="77777777" w:rsidR="0046507A"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br/>
              <w:t xml:space="preserve">The PBAC considered the claim of non-inferior effectiveness and safety to the FDC of mometasone furoate (MF) 136 mcg, with indacaterol (IND) 114 mcg and glycopyrronium (GLY) 46 mcg was reasonable. The PBAC considered for purposes of satisfying Section 101(3B) of the </w:t>
            </w:r>
            <w:r w:rsidRPr="00567D48">
              <w:rPr>
                <w:rFonts w:asciiTheme="minorHAnsi" w:hAnsiTheme="minorHAnsi" w:cs="Arial"/>
                <w:i/>
                <w:color w:val="000000"/>
                <w:sz w:val="18"/>
                <w:szCs w:val="18"/>
              </w:rPr>
              <w:t>National Health Act 1953</w:t>
            </w:r>
            <w:r w:rsidRPr="00567D48">
              <w:rPr>
                <w:rFonts w:asciiTheme="minorHAnsi" w:hAnsiTheme="minorHAnsi" w:cs="Arial"/>
                <w:color w:val="000000"/>
                <w:sz w:val="18"/>
                <w:szCs w:val="18"/>
              </w:rPr>
              <w:t xml:space="preserve">, any high dose inhaled corticosteroid (ICS) with long-acting beta2-agonist (LABA) + tiotropium (TIO) combination are relevant alternative therapies. </w:t>
            </w:r>
          </w:p>
          <w:p w14:paraId="48650B43" w14:textId="77777777" w:rsidR="0046507A" w:rsidRPr="00567D48" w:rsidRDefault="0046507A" w:rsidP="00124585">
            <w:pPr>
              <w:pStyle w:val="ListParagraph"/>
              <w:keepLines/>
              <w:spacing w:after="120"/>
              <w:ind w:left="0"/>
              <w:rPr>
                <w:rFonts w:asciiTheme="minorHAnsi" w:hAnsiTheme="minorHAnsi" w:cs="Arial"/>
                <w:color w:val="000000"/>
                <w:sz w:val="18"/>
                <w:szCs w:val="18"/>
              </w:rPr>
            </w:pPr>
          </w:p>
          <w:p w14:paraId="0824E55D" w14:textId="77777777" w:rsidR="00976A74"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 xml:space="preserve">The PBAC’s recommendation was therefore, among other matters, based on its assessment that the cost of FF/UMEC/VI should be no greater than the lowest price combination of the PBS listed components of triple therapy that are available for asthma at comparable doses. </w:t>
            </w:r>
          </w:p>
          <w:p w14:paraId="4931907E" w14:textId="77777777" w:rsidR="00DD086B" w:rsidRPr="00567D48" w:rsidRDefault="00DD086B" w:rsidP="00124585">
            <w:pPr>
              <w:pStyle w:val="ListParagraph"/>
              <w:keepLines/>
              <w:spacing w:after="120"/>
              <w:ind w:left="0"/>
              <w:rPr>
                <w:rFonts w:asciiTheme="minorHAnsi" w:hAnsiTheme="minorHAnsi" w:cs="Arial"/>
                <w:color w:val="000000"/>
                <w:sz w:val="18"/>
                <w:szCs w:val="18"/>
              </w:rPr>
            </w:pPr>
          </w:p>
          <w:p w14:paraId="3E5F3B3A" w14:textId="28DD3471" w:rsidR="00124585" w:rsidRPr="00567D48" w:rsidRDefault="00124585" w:rsidP="00124585">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Flow-on restriction changes to the MF/IND/GLY FDC and tiotropium severe asthma listings</w:t>
            </w:r>
            <w:r w:rsidR="00BD7E30" w:rsidRPr="00567D48">
              <w:rPr>
                <w:rFonts w:asciiTheme="minorHAnsi" w:hAnsiTheme="minorHAnsi" w:cs="Arial"/>
                <w:color w:val="000000"/>
                <w:sz w:val="18"/>
                <w:szCs w:val="18"/>
              </w:rPr>
              <w:t xml:space="preserve"> </w:t>
            </w:r>
            <w:r w:rsidRPr="00567D48">
              <w:rPr>
                <w:rFonts w:asciiTheme="minorHAnsi" w:hAnsiTheme="minorHAnsi" w:cs="Arial"/>
                <w:color w:val="000000"/>
                <w:sz w:val="18"/>
                <w:szCs w:val="18"/>
              </w:rPr>
              <w:t>were also recommended to make it consistent with FF/UMEC/VI, which includes amendment to an Authority Required (STREAMLINED) listing (MF/IND/GLY only; tiotropium would remain a Restricted Benefit).</w:t>
            </w:r>
          </w:p>
        </w:tc>
      </w:tr>
      <w:tr w:rsidR="00D96083" w:rsidRPr="00567D48" w14:paraId="03EB0A97" w14:textId="77777777" w:rsidTr="00925637">
        <w:trPr>
          <w:cantSplit/>
          <w:trHeight w:val="2644"/>
        </w:trPr>
        <w:tc>
          <w:tcPr>
            <w:tcW w:w="2972" w:type="dxa"/>
            <w:vMerge w:val="restart"/>
            <w:shd w:val="clear" w:color="auto" w:fill="auto"/>
            <w:tcMar>
              <w:top w:w="28" w:type="dxa"/>
              <w:bottom w:w="28" w:type="dxa"/>
            </w:tcMar>
            <w:vAlign w:val="center"/>
          </w:tcPr>
          <w:p w14:paraId="2C8893FC" w14:textId="2B537389" w:rsidR="00D96083" w:rsidRPr="00567D48" w:rsidRDefault="00D96083"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FOLLITROPIN ALFA</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Injection 300 I.U. in 0.5 mL multi-dose cartridge</w:t>
            </w:r>
            <w:r w:rsidRPr="00567D48">
              <w:rPr>
                <w:rFonts w:asciiTheme="minorHAnsi" w:hAnsiTheme="minorHAnsi" w:cs="Arial"/>
                <w:color w:val="000000"/>
                <w:sz w:val="18"/>
                <w:szCs w:val="18"/>
              </w:rPr>
              <w:br/>
              <w:t>Injection 450 I.U. in 0.75 mL multi-dose cartridge</w:t>
            </w:r>
            <w:r w:rsidRPr="00567D48">
              <w:rPr>
                <w:rFonts w:asciiTheme="minorHAnsi" w:hAnsiTheme="minorHAnsi" w:cs="Arial"/>
                <w:color w:val="000000"/>
                <w:sz w:val="18"/>
                <w:szCs w:val="18"/>
              </w:rPr>
              <w:br/>
              <w:t>Injection 900 I.U. in 1.5 mL multi-dose cartridge</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Gonal-f® Pen</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Merck Healthcare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r w:rsidRPr="00567D48">
              <w:rPr>
                <w:rFonts w:asciiTheme="minorHAnsi" w:hAnsiTheme="minorHAnsi" w:cs="Arial"/>
                <w:sz w:val="18"/>
                <w:szCs w:val="18"/>
              </w:rPr>
              <w:t>Category 2 submission</w:t>
            </w:r>
            <w:r w:rsidRPr="00567D48">
              <w:rPr>
                <w:rFonts w:asciiTheme="minorHAnsi" w:hAnsiTheme="minorHAnsi" w:cs="Arial"/>
                <w:color w:val="FF0000"/>
                <w:sz w:val="18"/>
                <w:szCs w:val="18"/>
              </w:rPr>
              <w:br/>
            </w:r>
            <w:r w:rsidRPr="00567D48">
              <w:rPr>
                <w:rFonts w:asciiTheme="minorHAnsi" w:hAnsiTheme="minorHAnsi" w:cs="Arial"/>
                <w:sz w:val="18"/>
                <w:szCs w:val="18"/>
              </w:rPr>
              <w:t>(Other business)</w:t>
            </w:r>
          </w:p>
        </w:tc>
        <w:tc>
          <w:tcPr>
            <w:tcW w:w="2491" w:type="dxa"/>
            <w:vMerge w:val="restart"/>
            <w:shd w:val="clear" w:color="auto" w:fill="auto"/>
            <w:vAlign w:val="center"/>
          </w:tcPr>
          <w:p w14:paraId="0EA20510" w14:textId="6AA52CD5" w:rsidR="00D96083" w:rsidRPr="00567D48" w:rsidRDefault="00D96083"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Assisted reproductive technology</w:t>
            </w:r>
          </w:p>
        </w:tc>
        <w:tc>
          <w:tcPr>
            <w:tcW w:w="0" w:type="auto"/>
            <w:vMerge w:val="restart"/>
            <w:shd w:val="clear" w:color="auto" w:fill="auto"/>
            <w:tcMar>
              <w:top w:w="28" w:type="dxa"/>
              <w:bottom w:w="28" w:type="dxa"/>
            </w:tcMar>
            <w:vAlign w:val="center"/>
          </w:tcPr>
          <w:p w14:paraId="78A8FA78" w14:textId="4BAF22CF" w:rsidR="00D96083" w:rsidRPr="00567D48" w:rsidRDefault="00D96083" w:rsidP="009D5416">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the PBAC consider the therapeutic relativities of Gonal-f Pen and biosimilar therapies.</w:t>
            </w:r>
          </w:p>
        </w:tc>
        <w:tc>
          <w:tcPr>
            <w:tcW w:w="0" w:type="auto"/>
            <w:vMerge w:val="restart"/>
            <w:shd w:val="clear" w:color="auto" w:fill="auto"/>
            <w:vAlign w:val="center"/>
          </w:tcPr>
          <w:p w14:paraId="059DCEA0" w14:textId="22352256" w:rsidR="00D96083" w:rsidRPr="00567D48" w:rsidRDefault="00D96083"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Not Recommended</w:t>
            </w:r>
          </w:p>
        </w:tc>
        <w:tc>
          <w:tcPr>
            <w:tcW w:w="0" w:type="auto"/>
            <w:shd w:val="clear" w:color="auto" w:fill="auto"/>
            <w:vAlign w:val="center"/>
          </w:tcPr>
          <w:p w14:paraId="5D895D3C" w14:textId="212653D9" w:rsidR="00D96083" w:rsidRPr="00567D48" w:rsidRDefault="00D96083" w:rsidP="009D5416">
            <w:pPr>
              <w:rPr>
                <w:rFonts w:asciiTheme="minorHAnsi" w:hAnsiTheme="minorHAnsi" w:cs="Arial"/>
                <w:color w:val="000000"/>
                <w:sz w:val="18"/>
                <w:szCs w:val="18"/>
              </w:rPr>
            </w:pPr>
            <w:r w:rsidRPr="00567D48">
              <w:rPr>
                <w:rFonts w:asciiTheme="minorHAnsi" w:hAnsiTheme="minorHAnsi" w:cs="Arial"/>
                <w:color w:val="000000"/>
                <w:sz w:val="18"/>
                <w:szCs w:val="18"/>
              </w:rPr>
              <w:t>The PBAC did not recommend an increase to the price of Gonal-f as it considered that the clinical claim of the superior comparative effectiveness of Gonal-f to all of the follitropin alfa biosimilars was not adequately supported by the data presented in the submission. The PBAC also reaffirmed its previous advice that Gonal-f and Ovaleap® should be treated as equivalent to each other for the purposes of substitution.</w:t>
            </w:r>
          </w:p>
          <w:p w14:paraId="621B89BB" w14:textId="4A0BE4B4" w:rsidR="00D96083" w:rsidRPr="00567D48" w:rsidRDefault="00D96083" w:rsidP="009D5416">
            <w:pPr>
              <w:rPr>
                <w:rFonts w:asciiTheme="minorHAnsi" w:hAnsiTheme="minorHAnsi" w:cs="Arial"/>
                <w:color w:val="000000"/>
                <w:sz w:val="18"/>
                <w:szCs w:val="18"/>
              </w:rPr>
            </w:pPr>
          </w:p>
          <w:p w14:paraId="120C7B83" w14:textId="4C62C2C6" w:rsidR="00D96083" w:rsidRPr="00567D48" w:rsidRDefault="00D96083" w:rsidP="009D5416">
            <w:pPr>
              <w:rPr>
                <w:rFonts w:asciiTheme="minorHAnsi" w:hAnsiTheme="minorHAnsi" w:cs="Arial"/>
                <w:color w:val="000000"/>
                <w:sz w:val="18"/>
                <w:szCs w:val="18"/>
              </w:rPr>
            </w:pPr>
          </w:p>
        </w:tc>
      </w:tr>
      <w:tr w:rsidR="00D96083" w:rsidRPr="00567D48" w14:paraId="0882BB85" w14:textId="77777777" w:rsidTr="00F00B7A">
        <w:trPr>
          <w:cantSplit/>
          <w:trHeight w:val="574"/>
        </w:trPr>
        <w:tc>
          <w:tcPr>
            <w:tcW w:w="2972" w:type="dxa"/>
            <w:vMerge/>
            <w:shd w:val="clear" w:color="auto" w:fill="auto"/>
            <w:tcMar>
              <w:top w:w="28" w:type="dxa"/>
              <w:bottom w:w="28" w:type="dxa"/>
            </w:tcMar>
            <w:vAlign w:val="center"/>
          </w:tcPr>
          <w:p w14:paraId="716BCC08" w14:textId="77777777" w:rsidR="00D96083" w:rsidRPr="00567D48" w:rsidRDefault="00D96083" w:rsidP="00124585">
            <w:pPr>
              <w:keepLines/>
              <w:spacing w:after="120"/>
              <w:rPr>
                <w:rFonts w:asciiTheme="minorHAnsi" w:hAnsiTheme="minorHAnsi" w:cs="Arial"/>
                <w:color w:val="000000"/>
                <w:sz w:val="18"/>
                <w:szCs w:val="18"/>
              </w:rPr>
            </w:pPr>
          </w:p>
        </w:tc>
        <w:tc>
          <w:tcPr>
            <w:tcW w:w="2491" w:type="dxa"/>
            <w:vMerge/>
            <w:shd w:val="clear" w:color="auto" w:fill="auto"/>
            <w:vAlign w:val="center"/>
          </w:tcPr>
          <w:p w14:paraId="4F7F370E" w14:textId="77777777" w:rsidR="00D96083" w:rsidRPr="00567D48" w:rsidRDefault="00D96083" w:rsidP="00124585">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5E700081" w14:textId="77777777" w:rsidR="00D96083" w:rsidRPr="00567D48" w:rsidRDefault="00D96083" w:rsidP="00124585">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09D04EB3" w14:textId="77777777" w:rsidR="00D96083" w:rsidRPr="00567D48" w:rsidRDefault="00D96083" w:rsidP="00124585">
            <w:pPr>
              <w:pStyle w:val="ListParagraph"/>
              <w:keepLines/>
              <w:spacing w:after="120"/>
              <w:ind w:left="0"/>
              <w:rPr>
                <w:rFonts w:asciiTheme="minorHAnsi" w:hAnsiTheme="minorHAnsi" w:cs="Arial"/>
                <w:color w:val="000000"/>
                <w:sz w:val="18"/>
                <w:szCs w:val="18"/>
              </w:rPr>
            </w:pPr>
          </w:p>
        </w:tc>
        <w:tc>
          <w:tcPr>
            <w:tcW w:w="0" w:type="auto"/>
            <w:shd w:val="clear" w:color="auto" w:fill="auto"/>
            <w:vAlign w:val="center"/>
          </w:tcPr>
          <w:p w14:paraId="1767E9D8" w14:textId="29C43B24" w:rsidR="00D96083" w:rsidRPr="00567D48" w:rsidRDefault="00D96083">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u w:val="single"/>
              </w:rPr>
              <w:t>Sponsor’s comment</w:t>
            </w:r>
            <w:r w:rsidRPr="00567D48">
              <w:rPr>
                <w:rFonts w:asciiTheme="minorHAnsi" w:hAnsiTheme="minorHAnsi" w:cs="Arial"/>
                <w:color w:val="000000"/>
                <w:sz w:val="18"/>
                <w:szCs w:val="18"/>
              </w:rPr>
              <w:t>: The sponsor had no comment.</w:t>
            </w:r>
          </w:p>
        </w:tc>
      </w:tr>
      <w:tr w:rsidR="00124585" w:rsidRPr="00567D48" w14:paraId="2BDE644E" w14:textId="77777777" w:rsidTr="00F00B7A">
        <w:trPr>
          <w:cantSplit/>
          <w:trHeight w:val="574"/>
        </w:trPr>
        <w:tc>
          <w:tcPr>
            <w:tcW w:w="2972" w:type="dxa"/>
            <w:shd w:val="clear" w:color="auto" w:fill="auto"/>
            <w:tcMar>
              <w:top w:w="28" w:type="dxa"/>
              <w:bottom w:w="28" w:type="dxa"/>
            </w:tcMar>
            <w:vAlign w:val="center"/>
          </w:tcPr>
          <w:p w14:paraId="6D0E0167" w14:textId="344A2BDA" w:rsidR="00124585" w:rsidRPr="00567D48" w:rsidRDefault="00124585"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GEMTUZUMAB OZOGAMICIN</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Powder for Injection 5 mg</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Mylotarg</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Pfizer Australia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Standard Re-entry submission</w:t>
            </w:r>
            <w:r w:rsidRPr="00567D48">
              <w:rPr>
                <w:rFonts w:asciiTheme="minorHAnsi" w:hAnsiTheme="minorHAnsi" w:cs="Arial"/>
                <w:color w:val="000000"/>
                <w:sz w:val="18"/>
                <w:szCs w:val="18"/>
              </w:rPr>
              <w:br/>
              <w:t xml:space="preserve">(New PBS listing) </w:t>
            </w:r>
          </w:p>
        </w:tc>
        <w:tc>
          <w:tcPr>
            <w:tcW w:w="2491" w:type="dxa"/>
            <w:shd w:val="clear" w:color="auto" w:fill="auto"/>
            <w:vAlign w:val="center"/>
          </w:tcPr>
          <w:p w14:paraId="4D58AF53" w14:textId="1C811C18" w:rsidR="00124585" w:rsidRPr="00567D48" w:rsidRDefault="00124585"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Acute myeloid leukaemia (AML)</w:t>
            </w:r>
          </w:p>
        </w:tc>
        <w:tc>
          <w:tcPr>
            <w:tcW w:w="0" w:type="auto"/>
            <w:shd w:val="clear" w:color="auto" w:fill="auto"/>
            <w:tcMar>
              <w:top w:w="28" w:type="dxa"/>
              <w:bottom w:w="28" w:type="dxa"/>
            </w:tcMar>
            <w:vAlign w:val="center"/>
          </w:tcPr>
          <w:p w14:paraId="5E4AD400" w14:textId="201F8CA7"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 xml:space="preserve">Resubmission to request a Section 100 (Efficient Funding of Chemotherapy Program) Authority Required listing for use in combination with standard intensive chemotherapy, for patients with previously untreated de novo CD33-positive AML, except acute promyelocytic leukaemia, who do not have a unfavourable cytogenetic profile. </w:t>
            </w:r>
          </w:p>
        </w:tc>
        <w:tc>
          <w:tcPr>
            <w:tcW w:w="0" w:type="auto"/>
            <w:shd w:val="clear" w:color="auto" w:fill="auto"/>
            <w:vAlign w:val="center"/>
          </w:tcPr>
          <w:p w14:paraId="77B3DD76" w14:textId="7563A487"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59B6F716" w14:textId="6432BD67" w:rsidR="005212B6" w:rsidRPr="00567D48" w:rsidRDefault="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 xml:space="preserve">The PBAC recommended the listing of </w:t>
            </w:r>
            <w:proofErr w:type="spellStart"/>
            <w:r w:rsidRPr="00567D48">
              <w:rPr>
                <w:rFonts w:asciiTheme="minorHAnsi" w:hAnsiTheme="minorHAnsi" w:cs="Arial"/>
                <w:color w:val="000000"/>
                <w:sz w:val="18"/>
                <w:szCs w:val="18"/>
              </w:rPr>
              <w:t>gemtuzumab</w:t>
            </w:r>
            <w:proofErr w:type="spellEnd"/>
            <w:r w:rsidRPr="00567D48">
              <w:rPr>
                <w:rFonts w:asciiTheme="minorHAnsi" w:hAnsiTheme="minorHAnsi" w:cs="Arial"/>
                <w:color w:val="000000"/>
                <w:sz w:val="18"/>
                <w:szCs w:val="18"/>
              </w:rPr>
              <w:t xml:space="preserve"> </w:t>
            </w:r>
            <w:proofErr w:type="spellStart"/>
            <w:r w:rsidRPr="00567D48">
              <w:rPr>
                <w:rFonts w:asciiTheme="minorHAnsi" w:hAnsiTheme="minorHAnsi" w:cs="Arial"/>
                <w:color w:val="000000"/>
                <w:sz w:val="18"/>
                <w:szCs w:val="18"/>
              </w:rPr>
              <w:t>ozogamicin</w:t>
            </w:r>
            <w:proofErr w:type="spellEnd"/>
            <w:r w:rsidRPr="00567D48">
              <w:rPr>
                <w:rFonts w:asciiTheme="minorHAnsi" w:hAnsiTheme="minorHAnsi" w:cs="Arial"/>
                <w:color w:val="000000"/>
                <w:sz w:val="18"/>
                <w:szCs w:val="18"/>
              </w:rPr>
              <w:t>, in combination with standard intensive chemotherapy (an anthracycline and cytarabine), for the treatment of patients with previously untreated, de novo CD33-positve</w:t>
            </w:r>
            <w:r w:rsidR="005212B6" w:rsidRPr="00567D48">
              <w:rPr>
                <w:rFonts w:asciiTheme="minorHAnsi" w:hAnsiTheme="minorHAnsi" w:cs="Arial"/>
                <w:color w:val="000000"/>
                <w:sz w:val="18"/>
                <w:szCs w:val="18"/>
              </w:rPr>
              <w:t xml:space="preserve"> </w:t>
            </w:r>
            <w:r w:rsidRPr="00567D48">
              <w:rPr>
                <w:rFonts w:asciiTheme="minorHAnsi" w:hAnsiTheme="minorHAnsi" w:cs="Arial"/>
                <w:color w:val="000000"/>
                <w:sz w:val="18"/>
                <w:szCs w:val="18"/>
              </w:rPr>
              <w:t xml:space="preserve">AML except acute promyelocytic leukaemia, who have favourable/intermediate/unknown cytogenetic risk (where the unknown risk is due to inconclusive test results). The PBAC recommended that </w:t>
            </w:r>
            <w:proofErr w:type="spellStart"/>
            <w:r w:rsidRPr="00567D48">
              <w:rPr>
                <w:rFonts w:asciiTheme="minorHAnsi" w:hAnsiTheme="minorHAnsi" w:cs="Arial"/>
                <w:color w:val="000000"/>
                <w:sz w:val="18"/>
                <w:szCs w:val="18"/>
              </w:rPr>
              <w:t>gemtuzumab</w:t>
            </w:r>
            <w:proofErr w:type="spellEnd"/>
            <w:r w:rsidRPr="00567D48">
              <w:rPr>
                <w:rFonts w:asciiTheme="minorHAnsi" w:hAnsiTheme="minorHAnsi" w:cs="Arial"/>
                <w:color w:val="000000"/>
                <w:sz w:val="18"/>
                <w:szCs w:val="18"/>
              </w:rPr>
              <w:t xml:space="preserve"> </w:t>
            </w:r>
            <w:proofErr w:type="spellStart"/>
            <w:r w:rsidRPr="00567D48">
              <w:rPr>
                <w:rFonts w:asciiTheme="minorHAnsi" w:hAnsiTheme="minorHAnsi" w:cs="Arial"/>
                <w:color w:val="000000"/>
                <w:sz w:val="18"/>
                <w:szCs w:val="18"/>
              </w:rPr>
              <w:t>ozogamicin</w:t>
            </w:r>
            <w:proofErr w:type="spellEnd"/>
            <w:r w:rsidRPr="00567D48">
              <w:rPr>
                <w:rFonts w:asciiTheme="minorHAnsi" w:hAnsiTheme="minorHAnsi" w:cs="Arial"/>
                <w:color w:val="000000"/>
                <w:sz w:val="18"/>
                <w:szCs w:val="18"/>
              </w:rPr>
              <w:t xml:space="preserve"> should be available only under special arrangements under Section 100 (Efficient Funding of Chemotherapy Program). The PBAC is satisfied that </w:t>
            </w:r>
            <w:proofErr w:type="spellStart"/>
            <w:r w:rsidRPr="00567D48">
              <w:rPr>
                <w:rFonts w:asciiTheme="minorHAnsi" w:hAnsiTheme="minorHAnsi" w:cs="Arial"/>
                <w:color w:val="000000"/>
                <w:sz w:val="18"/>
                <w:szCs w:val="18"/>
              </w:rPr>
              <w:t>gemtuzumab</w:t>
            </w:r>
            <w:proofErr w:type="spellEnd"/>
            <w:r w:rsidRPr="00567D48">
              <w:rPr>
                <w:rFonts w:asciiTheme="minorHAnsi" w:hAnsiTheme="minorHAnsi" w:cs="Arial"/>
                <w:color w:val="000000"/>
                <w:sz w:val="18"/>
                <w:szCs w:val="18"/>
              </w:rPr>
              <w:t xml:space="preserve"> </w:t>
            </w:r>
            <w:proofErr w:type="spellStart"/>
            <w:r w:rsidRPr="00567D48">
              <w:rPr>
                <w:rFonts w:asciiTheme="minorHAnsi" w:hAnsiTheme="minorHAnsi" w:cs="Arial"/>
                <w:color w:val="000000"/>
                <w:sz w:val="18"/>
                <w:szCs w:val="18"/>
              </w:rPr>
              <w:t>ozogamicin</w:t>
            </w:r>
            <w:proofErr w:type="spellEnd"/>
            <w:r w:rsidRPr="00567D48">
              <w:rPr>
                <w:rFonts w:asciiTheme="minorHAnsi" w:hAnsiTheme="minorHAnsi" w:cs="Arial"/>
                <w:color w:val="000000"/>
                <w:sz w:val="18"/>
                <w:szCs w:val="18"/>
              </w:rPr>
              <w:t xml:space="preserve"> provides, for some patients, a significant improvement in efficacy over standard of care.</w:t>
            </w:r>
          </w:p>
          <w:p w14:paraId="0998FB41" w14:textId="77777777" w:rsidR="00907057" w:rsidRPr="00567D48" w:rsidRDefault="00907057">
            <w:pPr>
              <w:pStyle w:val="ListParagraph"/>
              <w:keepLines/>
              <w:spacing w:after="120"/>
              <w:ind w:left="0"/>
              <w:rPr>
                <w:rFonts w:asciiTheme="minorHAnsi" w:hAnsiTheme="minorHAnsi" w:cs="Arial"/>
                <w:color w:val="000000"/>
                <w:sz w:val="18"/>
                <w:szCs w:val="18"/>
              </w:rPr>
            </w:pPr>
          </w:p>
          <w:p w14:paraId="4A43F36C" w14:textId="35C8216C" w:rsidR="00124585" w:rsidRPr="00567D48" w:rsidRDefault="00124585">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The PBAC remained of the view that the exact magnitude of the overall survival benefit was difficult to determine, and that the economic model was complex and difficult to assess. Nonetheless, although the resubmission had not addressed all areas of uncertainty, the PBAC considered that the cost-effectiveness of the listing would be acceptable, in the context of a reduced price offered and a high clinical need in a smaller, more defined population of patients most likely to see benefit, than that which had been assumed by the resubmission.</w:t>
            </w:r>
          </w:p>
        </w:tc>
      </w:tr>
      <w:tr w:rsidR="00821923" w:rsidRPr="00567D48" w14:paraId="6EEC4DD2" w14:textId="77777777" w:rsidTr="00F00B7A">
        <w:trPr>
          <w:cantSplit/>
          <w:trHeight w:val="1454"/>
        </w:trPr>
        <w:tc>
          <w:tcPr>
            <w:tcW w:w="2972" w:type="dxa"/>
            <w:vMerge w:val="restart"/>
            <w:shd w:val="clear" w:color="auto" w:fill="auto"/>
            <w:tcMar>
              <w:top w:w="28" w:type="dxa"/>
              <w:bottom w:w="28" w:type="dxa"/>
            </w:tcMar>
            <w:vAlign w:val="center"/>
          </w:tcPr>
          <w:p w14:paraId="2AFD0A1E" w14:textId="7A492C14" w:rsidR="00821923" w:rsidRPr="00567D48" w:rsidRDefault="00821923"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 xml:space="preserve">GILTERITINIB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Tablet 40 mg (as fumarate)</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Xospata</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Astellas Pharma Australia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2 submission</w:t>
            </w:r>
            <w:r w:rsidRPr="00567D48">
              <w:rPr>
                <w:rFonts w:asciiTheme="minorHAnsi" w:hAnsiTheme="minorHAnsi" w:cs="Arial"/>
                <w:color w:val="000000"/>
                <w:sz w:val="18"/>
                <w:szCs w:val="18"/>
              </w:rPr>
              <w:br/>
              <w:t>(New PBS listing)</w:t>
            </w:r>
          </w:p>
        </w:tc>
        <w:tc>
          <w:tcPr>
            <w:tcW w:w="2491" w:type="dxa"/>
            <w:vMerge w:val="restart"/>
            <w:shd w:val="clear" w:color="auto" w:fill="auto"/>
            <w:vAlign w:val="center"/>
          </w:tcPr>
          <w:p w14:paraId="4879E3F6" w14:textId="642CF8FE" w:rsidR="00821923" w:rsidRPr="00567D48" w:rsidRDefault="00821923"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Acute myeloid leukaemia (AML)</w:t>
            </w:r>
          </w:p>
        </w:tc>
        <w:tc>
          <w:tcPr>
            <w:tcW w:w="0" w:type="auto"/>
            <w:vMerge w:val="restart"/>
            <w:shd w:val="clear" w:color="auto" w:fill="auto"/>
            <w:tcMar>
              <w:top w:w="28" w:type="dxa"/>
              <w:bottom w:w="28" w:type="dxa"/>
            </w:tcMar>
            <w:vAlign w:val="center"/>
          </w:tcPr>
          <w:p w14:paraId="072B1DA7" w14:textId="2C5920AF" w:rsidR="00821923" w:rsidRPr="00567D48" w:rsidRDefault="00821923"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a General Schedule Authority Required listing for the treatment of relapsed or refractory FLT3 mutation-positive AML.</w:t>
            </w:r>
          </w:p>
        </w:tc>
        <w:tc>
          <w:tcPr>
            <w:tcW w:w="0" w:type="auto"/>
            <w:vMerge w:val="restart"/>
            <w:shd w:val="clear" w:color="auto" w:fill="auto"/>
            <w:vAlign w:val="center"/>
          </w:tcPr>
          <w:p w14:paraId="1C1D3582" w14:textId="7247AF70" w:rsidR="00821923" w:rsidRPr="00567D48" w:rsidRDefault="00821923"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Not Recommended</w:t>
            </w:r>
          </w:p>
        </w:tc>
        <w:tc>
          <w:tcPr>
            <w:tcW w:w="0" w:type="auto"/>
            <w:shd w:val="clear" w:color="auto" w:fill="auto"/>
            <w:vAlign w:val="bottom"/>
          </w:tcPr>
          <w:p w14:paraId="6C9CDF7F" w14:textId="1555AE30" w:rsidR="00821923" w:rsidRPr="00567D48" w:rsidRDefault="00821923" w:rsidP="00907057">
            <w:pPr>
              <w:rPr>
                <w:rFonts w:asciiTheme="minorHAnsi" w:hAnsiTheme="minorHAnsi" w:cs="Arial"/>
                <w:color w:val="000000"/>
                <w:sz w:val="18"/>
                <w:szCs w:val="18"/>
              </w:rPr>
            </w:pPr>
            <w:r w:rsidRPr="00567D48">
              <w:rPr>
                <w:rFonts w:asciiTheme="minorHAnsi" w:hAnsiTheme="minorHAnsi" w:cs="Arial"/>
                <w:color w:val="000000"/>
                <w:sz w:val="18"/>
                <w:szCs w:val="18"/>
              </w:rPr>
              <w:t xml:space="preserve">The PBAC did not recommend the listing of gilteritinib for the treatment of relapsed or refractory FLT3 mutation-positive AML. The PBAC considered that the clinical claim of superior effectiveness over salvage chemotherapy may be reasonable, but that long-term survival was uncertain based on the available evidence. The PBAC considered that revisions to the inputs for the economic model were required, including, among other matters, removing use as maintenance therapy post hematopoietic stem-cell transplantation (HSCT), reducing the time horizon, and adjusting the point at which patients can be considered cured. A price reduction would be required to achieve cost-effectiveness under this revised scenario, and a resubmission would need to make corresponding updates and other changes to the financial estimates. </w:t>
            </w:r>
          </w:p>
          <w:p w14:paraId="4F7A2FE6" w14:textId="77777777" w:rsidR="00821923" w:rsidRPr="00567D48" w:rsidRDefault="00821923" w:rsidP="00907057">
            <w:pPr>
              <w:rPr>
                <w:rFonts w:asciiTheme="minorHAnsi" w:hAnsiTheme="minorHAnsi" w:cs="Arial"/>
                <w:color w:val="000000"/>
                <w:sz w:val="18"/>
                <w:szCs w:val="18"/>
              </w:rPr>
            </w:pPr>
          </w:p>
          <w:p w14:paraId="279A8BA7" w14:textId="27B46B04" w:rsidR="00821923" w:rsidRPr="00567D48" w:rsidRDefault="00821923" w:rsidP="00907057">
            <w:pPr>
              <w:rPr>
                <w:rFonts w:asciiTheme="minorHAnsi" w:hAnsiTheme="minorHAnsi" w:cs="Arial"/>
                <w:snapToGrid w:val="0"/>
                <w:sz w:val="18"/>
                <w:szCs w:val="18"/>
                <w:lang w:eastAsia="en-US"/>
              </w:rPr>
            </w:pPr>
            <w:r w:rsidRPr="00567D48">
              <w:rPr>
                <w:rFonts w:asciiTheme="minorHAnsi" w:hAnsiTheme="minorHAnsi" w:cs="Arial"/>
                <w:color w:val="000000"/>
                <w:sz w:val="18"/>
                <w:szCs w:val="18"/>
              </w:rPr>
              <w:t>The PBAC nominated the Early Re-entry re-submission pathway for this item.</w:t>
            </w:r>
          </w:p>
        </w:tc>
      </w:tr>
      <w:tr w:rsidR="00821923" w:rsidRPr="00567D48" w14:paraId="37229A74" w14:textId="77777777" w:rsidTr="00F00B7A">
        <w:trPr>
          <w:cantSplit/>
          <w:trHeight w:val="2742"/>
        </w:trPr>
        <w:tc>
          <w:tcPr>
            <w:tcW w:w="2972" w:type="dxa"/>
            <w:vMerge/>
            <w:shd w:val="clear" w:color="auto" w:fill="auto"/>
            <w:tcMar>
              <w:top w:w="28" w:type="dxa"/>
              <w:bottom w:w="28" w:type="dxa"/>
            </w:tcMar>
            <w:vAlign w:val="center"/>
          </w:tcPr>
          <w:p w14:paraId="18A29700" w14:textId="77777777" w:rsidR="00821923" w:rsidRPr="00567D48" w:rsidRDefault="00821923" w:rsidP="00124585">
            <w:pPr>
              <w:keepLines/>
              <w:spacing w:after="120"/>
              <w:rPr>
                <w:rFonts w:asciiTheme="minorHAnsi" w:hAnsiTheme="minorHAnsi" w:cs="Arial"/>
                <w:color w:val="000000"/>
                <w:sz w:val="18"/>
                <w:szCs w:val="18"/>
              </w:rPr>
            </w:pPr>
          </w:p>
        </w:tc>
        <w:tc>
          <w:tcPr>
            <w:tcW w:w="2491" w:type="dxa"/>
            <w:vMerge/>
            <w:shd w:val="clear" w:color="auto" w:fill="auto"/>
            <w:vAlign w:val="center"/>
          </w:tcPr>
          <w:p w14:paraId="30879871" w14:textId="77777777" w:rsidR="00821923" w:rsidRPr="00567D48" w:rsidRDefault="00821923" w:rsidP="00124585">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5CEFFECA" w14:textId="77777777" w:rsidR="00821923" w:rsidRPr="00567D48" w:rsidRDefault="00821923" w:rsidP="00124585">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7E0E801E" w14:textId="77777777" w:rsidR="00821923" w:rsidRPr="00567D48" w:rsidRDefault="00821923" w:rsidP="00124585">
            <w:pPr>
              <w:pStyle w:val="ListParagraph"/>
              <w:keepLines/>
              <w:spacing w:after="120"/>
              <w:ind w:left="0"/>
              <w:rPr>
                <w:rFonts w:asciiTheme="minorHAnsi" w:hAnsiTheme="minorHAnsi" w:cs="Arial"/>
                <w:color w:val="000000"/>
                <w:sz w:val="18"/>
                <w:szCs w:val="18"/>
              </w:rPr>
            </w:pPr>
          </w:p>
        </w:tc>
        <w:tc>
          <w:tcPr>
            <w:tcW w:w="0" w:type="auto"/>
            <w:shd w:val="clear" w:color="auto" w:fill="auto"/>
          </w:tcPr>
          <w:p w14:paraId="0D55FEF4" w14:textId="649B734E" w:rsidR="00821923" w:rsidRPr="00567D48" w:rsidRDefault="00821923" w:rsidP="00821923">
            <w:pPr>
              <w:rPr>
                <w:rFonts w:asciiTheme="minorHAnsi" w:hAnsiTheme="minorHAnsi" w:cs="Arial"/>
                <w:color w:val="000000"/>
                <w:sz w:val="18"/>
                <w:szCs w:val="18"/>
              </w:rPr>
            </w:pPr>
            <w:r w:rsidRPr="00567D48">
              <w:rPr>
                <w:rFonts w:asciiTheme="minorHAnsi" w:hAnsiTheme="minorHAnsi" w:cs="Arial"/>
                <w:color w:val="000000"/>
                <w:sz w:val="18"/>
                <w:szCs w:val="18"/>
                <w:u w:val="single"/>
              </w:rPr>
              <w:t>Sponsor’s comment</w:t>
            </w:r>
            <w:r w:rsidRPr="00567D48">
              <w:rPr>
                <w:rFonts w:asciiTheme="minorHAnsi" w:hAnsiTheme="minorHAnsi" w:cs="Arial"/>
                <w:color w:val="000000"/>
                <w:sz w:val="18"/>
                <w:szCs w:val="18"/>
              </w:rPr>
              <w:t>:</w:t>
            </w:r>
            <w:r w:rsidR="00740EE3" w:rsidRPr="00567D48">
              <w:rPr>
                <w:rFonts w:asciiTheme="minorHAnsi" w:hAnsiTheme="minorHAnsi" w:cs="Arial"/>
                <w:color w:val="000000"/>
                <w:sz w:val="18"/>
                <w:szCs w:val="18"/>
              </w:rPr>
              <w:t xml:space="preserve"> </w:t>
            </w:r>
            <w:r w:rsidR="001C11E4" w:rsidRPr="00567D48">
              <w:rPr>
                <w:rFonts w:asciiTheme="minorHAnsi" w:hAnsiTheme="minorHAnsi" w:cs="Arial"/>
                <w:color w:val="000000"/>
                <w:sz w:val="18"/>
                <w:szCs w:val="18"/>
              </w:rPr>
              <w:t>Astellas Pharma Australia welcomes the PBAC feedback and will work towards the early re-entry re-submission pathway to resolve the outstanding issues, so patients in Australia with refractory or relapsed FLT3 mutation AML can greatly benefit from gilteritinib being available through the PBS</w:t>
            </w:r>
            <w:r w:rsidR="00AF62CE" w:rsidRPr="00567D48">
              <w:rPr>
                <w:rFonts w:asciiTheme="minorHAnsi" w:hAnsiTheme="minorHAnsi" w:cs="Arial"/>
                <w:color w:val="000000"/>
                <w:sz w:val="18"/>
                <w:szCs w:val="18"/>
              </w:rPr>
              <w:t>.</w:t>
            </w:r>
          </w:p>
        </w:tc>
      </w:tr>
      <w:tr w:rsidR="00124585" w:rsidRPr="00567D48" w14:paraId="5CE4A18A" w14:textId="77777777" w:rsidTr="00F00B7A">
        <w:trPr>
          <w:cantSplit/>
          <w:trHeight w:val="574"/>
        </w:trPr>
        <w:tc>
          <w:tcPr>
            <w:tcW w:w="2972" w:type="dxa"/>
            <w:shd w:val="clear" w:color="auto" w:fill="auto"/>
            <w:tcMar>
              <w:top w:w="28" w:type="dxa"/>
              <w:bottom w:w="28" w:type="dxa"/>
            </w:tcMar>
            <w:vAlign w:val="center"/>
          </w:tcPr>
          <w:p w14:paraId="501C77FF" w14:textId="200ABF0E" w:rsidR="00124585" w:rsidRPr="00567D48" w:rsidRDefault="00124585"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IMATINIB</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Tablet 600 mg</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Imatab</w:t>
            </w:r>
            <w:proofErr w:type="spellEnd"/>
            <w:r w:rsidR="007347C7"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Juno Pharmaceuticals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Committee Secretariat submission</w:t>
            </w:r>
            <w:r w:rsidRPr="00567D48">
              <w:rPr>
                <w:rFonts w:asciiTheme="minorHAnsi" w:hAnsiTheme="minorHAnsi" w:cs="Arial"/>
                <w:color w:val="000000"/>
                <w:sz w:val="18"/>
                <w:szCs w:val="18"/>
              </w:rPr>
              <w:br/>
              <w:t xml:space="preserve">(New PBS listing) </w:t>
            </w:r>
          </w:p>
        </w:tc>
        <w:tc>
          <w:tcPr>
            <w:tcW w:w="2491" w:type="dxa"/>
            <w:shd w:val="clear" w:color="auto" w:fill="auto"/>
            <w:vAlign w:val="center"/>
          </w:tcPr>
          <w:p w14:paraId="6F344268" w14:textId="3F52D1CB" w:rsidR="00124585" w:rsidRPr="00567D48" w:rsidRDefault="00124585"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Chronic myeloid leukaemia (CML);</w:t>
            </w:r>
            <w:r w:rsidRPr="00567D48">
              <w:rPr>
                <w:rFonts w:asciiTheme="minorHAnsi" w:hAnsiTheme="minorHAnsi" w:cs="Arial"/>
                <w:color w:val="000000"/>
                <w:sz w:val="18"/>
                <w:szCs w:val="18"/>
              </w:rPr>
              <w:br/>
              <w:t>Philadelphia chromosome positive acute lymphoblastic leukaemia (Ph+ ALL);</w:t>
            </w:r>
            <w:r w:rsidRPr="00567D48">
              <w:rPr>
                <w:rFonts w:asciiTheme="minorHAnsi" w:hAnsiTheme="minorHAnsi" w:cs="Arial"/>
                <w:color w:val="000000"/>
                <w:sz w:val="18"/>
                <w:szCs w:val="18"/>
              </w:rPr>
              <w:br/>
              <w:t>Myelodysplastic or myeloproliferative disorder (MDS/MPD);</w:t>
            </w:r>
            <w:r w:rsidRPr="00567D48">
              <w:rPr>
                <w:rFonts w:asciiTheme="minorHAnsi" w:hAnsiTheme="minorHAnsi" w:cs="Arial"/>
                <w:color w:val="000000"/>
                <w:sz w:val="18"/>
                <w:szCs w:val="18"/>
              </w:rPr>
              <w:br/>
              <w:t xml:space="preserve">Aggressive systemic </w:t>
            </w:r>
            <w:proofErr w:type="spellStart"/>
            <w:r w:rsidRPr="00567D48">
              <w:rPr>
                <w:rFonts w:asciiTheme="minorHAnsi" w:hAnsiTheme="minorHAnsi" w:cs="Arial"/>
                <w:color w:val="000000"/>
                <w:sz w:val="18"/>
                <w:szCs w:val="18"/>
              </w:rPr>
              <w:t>mastocytosis</w:t>
            </w:r>
            <w:proofErr w:type="spellEnd"/>
            <w:r w:rsidRPr="00567D48">
              <w:rPr>
                <w:rFonts w:asciiTheme="minorHAnsi" w:hAnsiTheme="minorHAnsi" w:cs="Arial"/>
                <w:color w:val="000000"/>
                <w:sz w:val="18"/>
                <w:szCs w:val="18"/>
              </w:rPr>
              <w:t xml:space="preserve"> (ASM) with eosinophilia;</w:t>
            </w:r>
            <w:r w:rsidRPr="00567D48">
              <w:rPr>
                <w:rFonts w:asciiTheme="minorHAnsi" w:hAnsiTheme="minorHAnsi" w:cs="Arial"/>
                <w:color w:val="000000"/>
                <w:sz w:val="18"/>
                <w:szCs w:val="18"/>
              </w:rPr>
              <w:br/>
              <w:t xml:space="preserve">Chronic eosinophilic leukaemia (CEL) or </w:t>
            </w:r>
            <w:proofErr w:type="spellStart"/>
            <w:r w:rsidRPr="00567D48">
              <w:rPr>
                <w:rFonts w:asciiTheme="minorHAnsi" w:hAnsiTheme="minorHAnsi" w:cs="Arial"/>
                <w:color w:val="000000"/>
                <w:sz w:val="18"/>
                <w:szCs w:val="18"/>
              </w:rPr>
              <w:t>Hypereosinophilic</w:t>
            </w:r>
            <w:proofErr w:type="spellEnd"/>
            <w:r w:rsidRPr="00567D48">
              <w:rPr>
                <w:rFonts w:asciiTheme="minorHAnsi" w:hAnsiTheme="minorHAnsi" w:cs="Arial"/>
                <w:color w:val="000000"/>
                <w:sz w:val="18"/>
                <w:szCs w:val="18"/>
              </w:rPr>
              <w:t xml:space="preserve"> syndrome (HES);</w:t>
            </w:r>
            <w:r w:rsidRPr="00567D48">
              <w:rPr>
                <w:rFonts w:asciiTheme="minorHAnsi" w:hAnsiTheme="minorHAnsi" w:cs="Arial"/>
                <w:color w:val="000000"/>
                <w:sz w:val="18"/>
                <w:szCs w:val="18"/>
              </w:rPr>
              <w:br/>
              <w:t>Dermatofibrosarcoma protuberans (DFSP);</w:t>
            </w:r>
            <w:r w:rsidRPr="00567D48">
              <w:rPr>
                <w:rFonts w:asciiTheme="minorHAnsi" w:hAnsiTheme="minorHAnsi" w:cs="Arial"/>
                <w:color w:val="000000"/>
                <w:sz w:val="18"/>
                <w:szCs w:val="18"/>
              </w:rPr>
              <w:br/>
              <w:t>Gastrointestinal stromal tumour (GIST);</w:t>
            </w:r>
            <w:r w:rsidRPr="00567D48">
              <w:rPr>
                <w:rFonts w:asciiTheme="minorHAnsi" w:hAnsiTheme="minorHAnsi" w:cs="Arial"/>
                <w:color w:val="000000"/>
                <w:sz w:val="18"/>
                <w:szCs w:val="18"/>
              </w:rPr>
              <w:br/>
              <w:t>Malignant GIST.</w:t>
            </w:r>
          </w:p>
        </w:tc>
        <w:tc>
          <w:tcPr>
            <w:tcW w:w="0" w:type="auto"/>
            <w:shd w:val="clear" w:color="auto" w:fill="auto"/>
            <w:tcMar>
              <w:top w:w="28" w:type="dxa"/>
              <w:bottom w:w="28" w:type="dxa"/>
            </w:tcMar>
            <w:vAlign w:val="center"/>
          </w:tcPr>
          <w:p w14:paraId="42E488A4" w14:textId="10A610A2" w:rsidR="00124585" w:rsidRPr="00567D48" w:rsidRDefault="00124585" w:rsidP="00FD5690">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listing of an additional strength under the same circumstances as the currently listed imatinib.</w:t>
            </w:r>
          </w:p>
        </w:tc>
        <w:tc>
          <w:tcPr>
            <w:tcW w:w="0" w:type="auto"/>
            <w:shd w:val="clear" w:color="auto" w:fill="auto"/>
            <w:vAlign w:val="center"/>
          </w:tcPr>
          <w:p w14:paraId="545AD4F7" w14:textId="33AB5C4D"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3BA8FC52" w14:textId="5C5C5A0A" w:rsidR="00124585" w:rsidRPr="00567D48" w:rsidRDefault="00124585" w:rsidP="00124585">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The PBAC recommended the listing of imatinib (</w:t>
            </w:r>
            <w:proofErr w:type="spellStart"/>
            <w:r w:rsidRPr="00567D48">
              <w:rPr>
                <w:rFonts w:asciiTheme="minorHAnsi" w:hAnsiTheme="minorHAnsi" w:cs="Arial"/>
                <w:color w:val="000000"/>
                <w:sz w:val="18"/>
                <w:szCs w:val="18"/>
              </w:rPr>
              <w:t>Imatab</w:t>
            </w:r>
            <w:proofErr w:type="spellEnd"/>
            <w:r w:rsidRPr="00567D48">
              <w:rPr>
                <w:rFonts w:asciiTheme="minorHAnsi" w:hAnsiTheme="minorHAnsi" w:cs="Arial"/>
                <w:color w:val="000000"/>
                <w:sz w:val="18"/>
                <w:szCs w:val="18"/>
              </w:rPr>
              <w:t>) 600 mg tablets on a cost-minimisation basis to the existing PBS listed imatinib 100 mg and 400 mg tablets, and under the same circumstances as the restrictions that allow for a daily dose of 600 mg with the exception of not allowing prescribers to request an increase to the maximum quantity.</w:t>
            </w:r>
          </w:p>
        </w:tc>
      </w:tr>
      <w:tr w:rsidR="00124585" w:rsidRPr="00567D48" w14:paraId="70015176" w14:textId="77777777" w:rsidTr="00567D48">
        <w:trPr>
          <w:cantSplit/>
          <w:trHeight w:val="1226"/>
        </w:trPr>
        <w:tc>
          <w:tcPr>
            <w:tcW w:w="2972" w:type="dxa"/>
            <w:shd w:val="clear" w:color="auto" w:fill="auto"/>
            <w:tcMar>
              <w:top w:w="28" w:type="dxa"/>
              <w:bottom w:w="28" w:type="dxa"/>
            </w:tcMar>
            <w:vAlign w:val="center"/>
          </w:tcPr>
          <w:p w14:paraId="19B396EE" w14:textId="47571115" w:rsidR="00124585" w:rsidRPr="00567D48" w:rsidRDefault="00124585"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t xml:space="preserve">INSULIN ASPART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Injections (human analogue), cartridges, 100 units per mL, 3 mL, 5</w:t>
            </w:r>
            <w:r w:rsidRPr="00567D48">
              <w:rPr>
                <w:rFonts w:asciiTheme="minorHAnsi" w:hAnsiTheme="minorHAnsi" w:cs="Arial"/>
                <w:color w:val="000000"/>
                <w:sz w:val="18"/>
                <w:szCs w:val="18"/>
              </w:rPr>
              <w:br/>
              <w:t>Injections (human analogue), pre-filled pen, 100 units per mL, 3 mL, 5</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Truvelog</w:t>
            </w:r>
            <w:proofErr w:type="spellEnd"/>
            <w:r w:rsidRPr="00567D48">
              <w:rPr>
                <w:rFonts w:asciiTheme="minorHAnsi" w:hAnsiTheme="minorHAnsi" w:cs="Arial"/>
                <w:color w:val="000000"/>
                <w:sz w:val="18"/>
                <w:szCs w:val="18"/>
              </w:rPr>
              <w:t xml:space="preserve">®; </w:t>
            </w:r>
            <w:proofErr w:type="spellStart"/>
            <w:r w:rsidRPr="00567D48">
              <w:rPr>
                <w:rFonts w:asciiTheme="minorHAnsi" w:hAnsiTheme="minorHAnsi" w:cs="Arial"/>
                <w:color w:val="000000"/>
                <w:sz w:val="18"/>
                <w:szCs w:val="18"/>
              </w:rPr>
              <w:t>Truvelog</w:t>
            </w:r>
            <w:proofErr w:type="spellEnd"/>
            <w:r w:rsidRPr="00567D48">
              <w:rPr>
                <w:rFonts w:asciiTheme="minorHAnsi" w:hAnsiTheme="minorHAnsi" w:cs="Arial"/>
                <w:color w:val="000000"/>
                <w:sz w:val="18"/>
                <w:szCs w:val="18"/>
              </w:rPr>
              <w:t>® Solostar</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Sanofi-Aventis Australia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3 submission</w:t>
            </w:r>
            <w:r w:rsidRPr="00567D48">
              <w:rPr>
                <w:rFonts w:asciiTheme="minorHAnsi" w:hAnsiTheme="minorHAnsi" w:cs="Arial"/>
                <w:color w:val="000000"/>
                <w:sz w:val="18"/>
                <w:szCs w:val="18"/>
              </w:rPr>
              <w:br/>
              <w:t>(New PBS listing)</w:t>
            </w:r>
          </w:p>
        </w:tc>
        <w:tc>
          <w:tcPr>
            <w:tcW w:w="2491" w:type="dxa"/>
            <w:shd w:val="clear" w:color="auto" w:fill="auto"/>
            <w:vAlign w:val="center"/>
          </w:tcPr>
          <w:p w14:paraId="19B1E12F" w14:textId="723736F5" w:rsidR="00124585" w:rsidRPr="00567D48" w:rsidRDefault="00124585"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Diabetes mellitus</w:t>
            </w:r>
          </w:p>
        </w:tc>
        <w:tc>
          <w:tcPr>
            <w:tcW w:w="0" w:type="auto"/>
            <w:shd w:val="clear" w:color="auto" w:fill="auto"/>
            <w:tcMar>
              <w:top w:w="28" w:type="dxa"/>
              <w:bottom w:w="28" w:type="dxa"/>
            </w:tcMar>
            <w:vAlign w:val="center"/>
          </w:tcPr>
          <w:p w14:paraId="58188ECE" w14:textId="4B443729"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 xml:space="preserve">To request listing of insulin </w:t>
            </w:r>
            <w:proofErr w:type="spellStart"/>
            <w:r w:rsidRPr="00567D48">
              <w:rPr>
                <w:rFonts w:asciiTheme="minorHAnsi" w:hAnsiTheme="minorHAnsi" w:cs="Arial"/>
                <w:color w:val="000000"/>
                <w:sz w:val="18"/>
                <w:szCs w:val="18"/>
              </w:rPr>
              <w:t>aspart</w:t>
            </w:r>
            <w:proofErr w:type="spellEnd"/>
            <w:r w:rsidRPr="00567D48">
              <w:rPr>
                <w:rFonts w:asciiTheme="minorHAnsi" w:hAnsiTheme="minorHAnsi" w:cs="Arial"/>
                <w:color w:val="000000"/>
                <w:sz w:val="18"/>
                <w:szCs w:val="18"/>
              </w:rPr>
              <w:t xml:space="preserve"> biosimilars under the same conditions as their reference brands.</w:t>
            </w:r>
          </w:p>
        </w:tc>
        <w:tc>
          <w:tcPr>
            <w:tcW w:w="0" w:type="auto"/>
            <w:shd w:val="clear" w:color="auto" w:fill="auto"/>
            <w:vAlign w:val="center"/>
          </w:tcPr>
          <w:p w14:paraId="412B60A8" w14:textId="1304F7F0"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3827F57B" w14:textId="40A87613" w:rsidR="00124585" w:rsidRPr="00567D48" w:rsidRDefault="00124585" w:rsidP="00124585">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 xml:space="preserve">The PBAC recommended the listing of a new biosimilar brand of insulin </w:t>
            </w:r>
            <w:proofErr w:type="spellStart"/>
            <w:r w:rsidRPr="00567D48">
              <w:rPr>
                <w:rFonts w:asciiTheme="minorHAnsi" w:hAnsiTheme="minorHAnsi" w:cs="Arial"/>
                <w:color w:val="000000"/>
                <w:sz w:val="18"/>
                <w:szCs w:val="18"/>
              </w:rPr>
              <w:t>aspart</w:t>
            </w:r>
            <w:proofErr w:type="spellEnd"/>
            <w:r w:rsidRPr="00567D48">
              <w:rPr>
                <w:rFonts w:asciiTheme="minorHAnsi" w:hAnsiTheme="minorHAnsi" w:cs="Arial"/>
                <w:color w:val="000000"/>
                <w:sz w:val="18"/>
                <w:szCs w:val="18"/>
              </w:rPr>
              <w:t xml:space="preserve"> in the form of 100 IU/mL cartridge (</w:t>
            </w:r>
            <w:proofErr w:type="spellStart"/>
            <w:r w:rsidRPr="00567D48">
              <w:rPr>
                <w:rFonts w:asciiTheme="minorHAnsi" w:hAnsiTheme="minorHAnsi" w:cs="Arial"/>
                <w:color w:val="000000"/>
                <w:sz w:val="18"/>
                <w:szCs w:val="18"/>
              </w:rPr>
              <w:t>Truvelog</w:t>
            </w:r>
            <w:proofErr w:type="spellEnd"/>
            <w:r w:rsidRPr="00567D48">
              <w:rPr>
                <w:rFonts w:asciiTheme="minorHAnsi" w:hAnsiTheme="minorHAnsi" w:cs="Arial"/>
                <w:color w:val="000000"/>
                <w:sz w:val="18"/>
                <w:szCs w:val="18"/>
              </w:rPr>
              <w:t>) and 100 IU/mL pre-filled pen (</w:t>
            </w:r>
            <w:proofErr w:type="spellStart"/>
            <w:r w:rsidRPr="00567D48">
              <w:rPr>
                <w:rFonts w:asciiTheme="minorHAnsi" w:hAnsiTheme="minorHAnsi" w:cs="Arial"/>
                <w:color w:val="000000"/>
                <w:sz w:val="18"/>
                <w:szCs w:val="18"/>
              </w:rPr>
              <w:t>Truvelog</w:t>
            </w:r>
            <w:proofErr w:type="spellEnd"/>
            <w:r w:rsidRPr="00567D48">
              <w:rPr>
                <w:rFonts w:asciiTheme="minorHAnsi" w:hAnsiTheme="minorHAnsi" w:cs="Arial"/>
                <w:color w:val="000000"/>
                <w:sz w:val="18"/>
                <w:szCs w:val="18"/>
              </w:rPr>
              <w:t xml:space="preserve"> Solostar), under the same circumstances as the PBS-listed reference brands, </w:t>
            </w:r>
            <w:proofErr w:type="spellStart"/>
            <w:r w:rsidRPr="00567D48">
              <w:rPr>
                <w:rFonts w:asciiTheme="minorHAnsi" w:hAnsiTheme="minorHAnsi" w:cs="Arial"/>
                <w:color w:val="000000"/>
                <w:sz w:val="18"/>
                <w:szCs w:val="18"/>
              </w:rPr>
              <w:t>NovoRapid</w:t>
            </w:r>
            <w:proofErr w:type="spellEnd"/>
            <w:r w:rsidRPr="00567D48">
              <w:rPr>
                <w:rFonts w:asciiTheme="minorHAnsi" w:hAnsiTheme="minorHAnsi" w:cs="Arial"/>
                <w:color w:val="000000"/>
                <w:sz w:val="18"/>
                <w:szCs w:val="18"/>
              </w:rPr>
              <w:t xml:space="preserve"> </w:t>
            </w:r>
            <w:proofErr w:type="spellStart"/>
            <w:r w:rsidRPr="00567D48">
              <w:rPr>
                <w:rFonts w:asciiTheme="minorHAnsi" w:hAnsiTheme="minorHAnsi" w:cs="Arial"/>
                <w:color w:val="000000"/>
                <w:sz w:val="18"/>
                <w:szCs w:val="18"/>
              </w:rPr>
              <w:t>Penfill</w:t>
            </w:r>
            <w:proofErr w:type="spellEnd"/>
            <w:r w:rsidRPr="00567D48">
              <w:rPr>
                <w:rFonts w:asciiTheme="minorHAnsi" w:hAnsiTheme="minorHAnsi" w:cs="Arial"/>
                <w:color w:val="000000"/>
                <w:sz w:val="18"/>
                <w:szCs w:val="18"/>
              </w:rPr>
              <w:t xml:space="preserve"> and </w:t>
            </w:r>
            <w:proofErr w:type="spellStart"/>
            <w:r w:rsidRPr="00567D48">
              <w:rPr>
                <w:rFonts w:asciiTheme="minorHAnsi" w:hAnsiTheme="minorHAnsi" w:cs="Arial"/>
                <w:color w:val="000000"/>
                <w:sz w:val="18"/>
                <w:szCs w:val="18"/>
              </w:rPr>
              <w:t>NovoRapid</w:t>
            </w:r>
            <w:proofErr w:type="spellEnd"/>
            <w:r w:rsidRPr="00567D48">
              <w:rPr>
                <w:rFonts w:asciiTheme="minorHAnsi" w:hAnsiTheme="minorHAnsi" w:cs="Arial"/>
                <w:color w:val="000000"/>
                <w:sz w:val="18"/>
                <w:szCs w:val="18"/>
              </w:rPr>
              <w:t xml:space="preserve"> </w:t>
            </w:r>
            <w:proofErr w:type="spellStart"/>
            <w:r w:rsidRPr="00567D48">
              <w:rPr>
                <w:rFonts w:asciiTheme="minorHAnsi" w:hAnsiTheme="minorHAnsi" w:cs="Arial"/>
                <w:color w:val="000000"/>
                <w:sz w:val="18"/>
                <w:szCs w:val="18"/>
              </w:rPr>
              <w:t>Flexpen</w:t>
            </w:r>
            <w:proofErr w:type="spellEnd"/>
            <w:r w:rsidRPr="00567D48">
              <w:rPr>
                <w:rFonts w:asciiTheme="minorHAnsi" w:hAnsiTheme="minorHAnsi" w:cs="Arial"/>
                <w:color w:val="000000"/>
                <w:sz w:val="18"/>
                <w:szCs w:val="18"/>
              </w:rPr>
              <w:t xml:space="preserve">. The PBAC’s recommendation for listing was based on, among other matters, its assessment that the cost-effectiveness of </w:t>
            </w:r>
            <w:proofErr w:type="spellStart"/>
            <w:r w:rsidRPr="00567D48">
              <w:rPr>
                <w:rFonts w:asciiTheme="minorHAnsi" w:hAnsiTheme="minorHAnsi" w:cs="Arial"/>
                <w:color w:val="000000"/>
                <w:sz w:val="18"/>
                <w:szCs w:val="18"/>
              </w:rPr>
              <w:t>Truvelog</w:t>
            </w:r>
            <w:proofErr w:type="spellEnd"/>
            <w:r w:rsidRPr="00567D48">
              <w:rPr>
                <w:rFonts w:asciiTheme="minorHAnsi" w:hAnsiTheme="minorHAnsi" w:cs="Arial"/>
                <w:color w:val="000000"/>
                <w:sz w:val="18"/>
                <w:szCs w:val="18"/>
              </w:rPr>
              <w:t xml:space="preserve"> and </w:t>
            </w:r>
            <w:proofErr w:type="spellStart"/>
            <w:r w:rsidRPr="00567D48">
              <w:rPr>
                <w:rFonts w:asciiTheme="minorHAnsi" w:hAnsiTheme="minorHAnsi" w:cs="Arial"/>
                <w:color w:val="000000"/>
                <w:sz w:val="18"/>
                <w:szCs w:val="18"/>
              </w:rPr>
              <w:t>Truvelog</w:t>
            </w:r>
            <w:proofErr w:type="spellEnd"/>
            <w:r w:rsidRPr="00567D48">
              <w:rPr>
                <w:rFonts w:asciiTheme="minorHAnsi" w:hAnsiTheme="minorHAnsi" w:cs="Arial"/>
                <w:color w:val="000000"/>
                <w:sz w:val="18"/>
                <w:szCs w:val="18"/>
              </w:rPr>
              <w:t xml:space="preserve"> Solostar would be acceptable if they were cost-minimised to </w:t>
            </w:r>
            <w:proofErr w:type="spellStart"/>
            <w:r w:rsidRPr="00567D48">
              <w:rPr>
                <w:rFonts w:asciiTheme="minorHAnsi" w:hAnsiTheme="minorHAnsi" w:cs="Arial"/>
                <w:color w:val="000000"/>
                <w:sz w:val="18"/>
                <w:szCs w:val="18"/>
              </w:rPr>
              <w:t>NovoRapid</w:t>
            </w:r>
            <w:proofErr w:type="spellEnd"/>
            <w:r w:rsidRPr="00567D48">
              <w:rPr>
                <w:rFonts w:asciiTheme="minorHAnsi" w:hAnsiTheme="minorHAnsi" w:cs="Arial"/>
                <w:color w:val="000000"/>
                <w:sz w:val="18"/>
                <w:szCs w:val="18"/>
              </w:rPr>
              <w:t xml:space="preserve"> </w:t>
            </w:r>
            <w:proofErr w:type="spellStart"/>
            <w:r w:rsidRPr="00567D48">
              <w:rPr>
                <w:rFonts w:asciiTheme="minorHAnsi" w:hAnsiTheme="minorHAnsi" w:cs="Arial"/>
                <w:color w:val="000000"/>
                <w:sz w:val="18"/>
                <w:szCs w:val="18"/>
              </w:rPr>
              <w:t>Penfill</w:t>
            </w:r>
            <w:proofErr w:type="spellEnd"/>
            <w:r w:rsidRPr="00567D48">
              <w:rPr>
                <w:rFonts w:asciiTheme="minorHAnsi" w:hAnsiTheme="minorHAnsi" w:cs="Arial"/>
                <w:color w:val="000000"/>
                <w:sz w:val="18"/>
                <w:szCs w:val="18"/>
              </w:rPr>
              <w:t xml:space="preserve"> and </w:t>
            </w:r>
            <w:proofErr w:type="spellStart"/>
            <w:r w:rsidRPr="00567D48">
              <w:rPr>
                <w:rFonts w:asciiTheme="minorHAnsi" w:hAnsiTheme="minorHAnsi" w:cs="Arial"/>
                <w:color w:val="000000"/>
                <w:sz w:val="18"/>
                <w:szCs w:val="18"/>
              </w:rPr>
              <w:t>NovoRapid</w:t>
            </w:r>
            <w:proofErr w:type="spellEnd"/>
            <w:r w:rsidRPr="00567D48">
              <w:rPr>
                <w:rFonts w:asciiTheme="minorHAnsi" w:hAnsiTheme="minorHAnsi" w:cs="Arial"/>
                <w:color w:val="000000"/>
                <w:sz w:val="18"/>
                <w:szCs w:val="18"/>
              </w:rPr>
              <w:t xml:space="preserve"> </w:t>
            </w:r>
            <w:proofErr w:type="spellStart"/>
            <w:r w:rsidRPr="00567D48">
              <w:rPr>
                <w:rFonts w:asciiTheme="minorHAnsi" w:hAnsiTheme="minorHAnsi" w:cs="Arial"/>
                <w:color w:val="000000"/>
                <w:sz w:val="18"/>
                <w:szCs w:val="18"/>
              </w:rPr>
              <w:t>Flexpen</w:t>
            </w:r>
            <w:proofErr w:type="spellEnd"/>
            <w:r w:rsidRPr="00567D48">
              <w:rPr>
                <w:rFonts w:asciiTheme="minorHAnsi" w:hAnsiTheme="minorHAnsi" w:cs="Arial"/>
                <w:color w:val="000000"/>
                <w:sz w:val="18"/>
                <w:szCs w:val="18"/>
              </w:rPr>
              <w:t xml:space="preserve"> respectively.</w:t>
            </w:r>
          </w:p>
        </w:tc>
      </w:tr>
      <w:tr w:rsidR="00124585" w:rsidRPr="00567D48" w14:paraId="5FB4EE69" w14:textId="77777777" w:rsidTr="00F00B7A">
        <w:trPr>
          <w:cantSplit/>
          <w:trHeight w:val="574"/>
        </w:trPr>
        <w:tc>
          <w:tcPr>
            <w:tcW w:w="2972" w:type="dxa"/>
            <w:shd w:val="clear" w:color="auto" w:fill="auto"/>
            <w:tcMar>
              <w:top w:w="28" w:type="dxa"/>
              <w:bottom w:w="28" w:type="dxa"/>
            </w:tcMar>
            <w:vAlign w:val="center"/>
          </w:tcPr>
          <w:p w14:paraId="1F41BF0B" w14:textId="19C6801C" w:rsidR="00124585" w:rsidRPr="00567D48" w:rsidRDefault="00124585"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 xml:space="preserve">IXEKIZUMAB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Injection 80 mg in 1 mL single dose pre-filled pen</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Taltz®</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Eli Lilly Australia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2 submission</w:t>
            </w:r>
            <w:r w:rsidRPr="00567D48">
              <w:rPr>
                <w:rFonts w:asciiTheme="minorHAnsi" w:hAnsiTheme="minorHAnsi" w:cs="Arial"/>
                <w:color w:val="000000"/>
                <w:sz w:val="18"/>
                <w:szCs w:val="18"/>
              </w:rPr>
              <w:br/>
              <w:t xml:space="preserve">(Change to PBS listing) </w:t>
            </w:r>
          </w:p>
        </w:tc>
        <w:tc>
          <w:tcPr>
            <w:tcW w:w="2491" w:type="dxa"/>
            <w:shd w:val="clear" w:color="auto" w:fill="auto"/>
            <w:vAlign w:val="center"/>
          </w:tcPr>
          <w:p w14:paraId="384ADC8B" w14:textId="70E8EA87" w:rsidR="00124585" w:rsidRPr="00567D48" w:rsidRDefault="00124585"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 xml:space="preserve">Non radiographic axial </w:t>
            </w:r>
            <w:proofErr w:type="spellStart"/>
            <w:r w:rsidRPr="00567D48">
              <w:rPr>
                <w:rFonts w:asciiTheme="minorHAnsi" w:hAnsiTheme="minorHAnsi" w:cs="Arial"/>
                <w:color w:val="000000"/>
                <w:sz w:val="18"/>
                <w:szCs w:val="18"/>
              </w:rPr>
              <w:t>spondyloarthritis</w:t>
            </w:r>
            <w:proofErr w:type="spellEnd"/>
            <w:r w:rsidRPr="00567D48">
              <w:rPr>
                <w:rFonts w:asciiTheme="minorHAnsi" w:hAnsiTheme="minorHAnsi" w:cs="Arial"/>
                <w:color w:val="000000"/>
                <w:sz w:val="18"/>
                <w:szCs w:val="18"/>
              </w:rPr>
              <w:t xml:space="preserve"> </w:t>
            </w:r>
            <w:r w:rsidR="00FD5690" w:rsidRPr="00567D48">
              <w:rPr>
                <w:rFonts w:asciiTheme="minorHAnsi" w:hAnsiTheme="minorHAnsi" w:cs="Arial"/>
                <w:color w:val="000000"/>
                <w:sz w:val="18"/>
                <w:szCs w:val="18"/>
              </w:rPr>
              <w:br/>
            </w:r>
            <w:r w:rsidRPr="00567D48">
              <w:rPr>
                <w:rFonts w:asciiTheme="minorHAnsi" w:hAnsiTheme="minorHAnsi" w:cs="Arial"/>
                <w:color w:val="000000"/>
                <w:sz w:val="18"/>
                <w:szCs w:val="18"/>
              </w:rPr>
              <w:t>(nr-</w:t>
            </w:r>
            <w:proofErr w:type="spellStart"/>
            <w:r w:rsidRPr="00567D48">
              <w:rPr>
                <w:rFonts w:asciiTheme="minorHAnsi" w:hAnsiTheme="minorHAnsi" w:cs="Arial"/>
                <w:color w:val="000000"/>
                <w:sz w:val="18"/>
                <w:szCs w:val="18"/>
              </w:rPr>
              <w:t>axSpA</w:t>
            </w:r>
            <w:proofErr w:type="spellEnd"/>
            <w:r w:rsidRPr="00567D48">
              <w:rPr>
                <w:rFonts w:asciiTheme="minorHAnsi" w:hAnsiTheme="minorHAnsi" w:cs="Arial"/>
                <w:color w:val="000000"/>
                <w:sz w:val="18"/>
                <w:szCs w:val="18"/>
              </w:rPr>
              <w:t>)</w:t>
            </w:r>
          </w:p>
        </w:tc>
        <w:tc>
          <w:tcPr>
            <w:tcW w:w="0" w:type="auto"/>
            <w:shd w:val="clear" w:color="auto" w:fill="auto"/>
            <w:tcMar>
              <w:top w:w="28" w:type="dxa"/>
              <w:bottom w:w="28" w:type="dxa"/>
            </w:tcMar>
            <w:vAlign w:val="center"/>
          </w:tcPr>
          <w:p w14:paraId="2AFB8847" w14:textId="449304AF"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a General Schedule Authority Required (Written) listing for the treatment of nr-</w:t>
            </w:r>
            <w:proofErr w:type="spellStart"/>
            <w:r w:rsidRPr="00567D48">
              <w:rPr>
                <w:rFonts w:asciiTheme="minorHAnsi" w:hAnsiTheme="minorHAnsi" w:cs="Arial"/>
                <w:color w:val="000000"/>
                <w:sz w:val="18"/>
                <w:szCs w:val="18"/>
              </w:rPr>
              <w:t>axSpA</w:t>
            </w:r>
            <w:proofErr w:type="spellEnd"/>
            <w:r w:rsidRPr="00567D48">
              <w:rPr>
                <w:rFonts w:asciiTheme="minorHAnsi" w:hAnsiTheme="minorHAnsi" w:cs="Arial"/>
                <w:color w:val="000000"/>
                <w:sz w:val="18"/>
                <w:szCs w:val="18"/>
              </w:rPr>
              <w:t xml:space="preserve">, under the same circumstances as currently PBS listed biological disease-modifying </w:t>
            </w:r>
            <w:r w:rsidR="00060E7B" w:rsidRPr="00567D48">
              <w:rPr>
                <w:rFonts w:asciiTheme="minorHAnsi" w:hAnsiTheme="minorHAnsi" w:cs="Arial"/>
                <w:color w:val="000000"/>
                <w:sz w:val="18"/>
                <w:szCs w:val="18"/>
              </w:rPr>
              <w:t>antirh</w:t>
            </w:r>
            <w:r w:rsidRPr="00567D48">
              <w:rPr>
                <w:rFonts w:asciiTheme="minorHAnsi" w:hAnsiTheme="minorHAnsi" w:cs="Arial"/>
                <w:color w:val="000000"/>
                <w:sz w:val="18"/>
                <w:szCs w:val="18"/>
              </w:rPr>
              <w:t>e</w:t>
            </w:r>
            <w:r w:rsidR="00060E7B" w:rsidRPr="00567D48">
              <w:rPr>
                <w:rFonts w:asciiTheme="minorHAnsi" w:hAnsiTheme="minorHAnsi" w:cs="Arial"/>
                <w:color w:val="000000"/>
                <w:sz w:val="18"/>
                <w:szCs w:val="18"/>
              </w:rPr>
              <w:t>u</w:t>
            </w:r>
            <w:r w:rsidRPr="00567D48">
              <w:rPr>
                <w:rFonts w:asciiTheme="minorHAnsi" w:hAnsiTheme="minorHAnsi" w:cs="Arial"/>
                <w:color w:val="000000"/>
                <w:sz w:val="18"/>
                <w:szCs w:val="18"/>
              </w:rPr>
              <w:t>matic agents for this indication.</w:t>
            </w:r>
          </w:p>
        </w:tc>
        <w:tc>
          <w:tcPr>
            <w:tcW w:w="0" w:type="auto"/>
            <w:shd w:val="clear" w:color="auto" w:fill="auto"/>
            <w:vAlign w:val="center"/>
          </w:tcPr>
          <w:p w14:paraId="0EA7E616" w14:textId="508EF25F"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5A3288BF" w14:textId="34262643" w:rsidR="00124585" w:rsidRPr="00567D48" w:rsidRDefault="00124585" w:rsidP="00060E7B">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The PBAC recommended the Authority Required listing of ixekizumab for the treatment of nr-</w:t>
            </w:r>
            <w:proofErr w:type="spellStart"/>
            <w:r w:rsidRPr="00567D48">
              <w:rPr>
                <w:rFonts w:asciiTheme="minorHAnsi" w:hAnsiTheme="minorHAnsi" w:cs="Arial"/>
                <w:color w:val="000000"/>
                <w:sz w:val="18"/>
                <w:szCs w:val="18"/>
              </w:rPr>
              <w:t>axSpA</w:t>
            </w:r>
            <w:proofErr w:type="spellEnd"/>
            <w:r w:rsidRPr="00567D48">
              <w:rPr>
                <w:rFonts w:asciiTheme="minorHAnsi" w:hAnsiTheme="minorHAnsi" w:cs="Arial"/>
                <w:color w:val="000000"/>
                <w:sz w:val="18"/>
                <w:szCs w:val="18"/>
              </w:rPr>
              <w:t xml:space="preserve">. The PBAC’s recommendation for listing was based on, among other matters, its assessment that the cost-effectiveness of </w:t>
            </w:r>
            <w:r w:rsidR="00060E7B" w:rsidRPr="00567D48">
              <w:rPr>
                <w:rFonts w:asciiTheme="minorHAnsi" w:hAnsiTheme="minorHAnsi" w:cs="Arial"/>
                <w:color w:val="000000"/>
                <w:sz w:val="18"/>
                <w:szCs w:val="18"/>
              </w:rPr>
              <w:t>ixekizumab</w:t>
            </w:r>
            <w:r w:rsidRPr="00567D48">
              <w:rPr>
                <w:rFonts w:asciiTheme="minorHAnsi" w:hAnsiTheme="minorHAnsi" w:cs="Arial"/>
                <w:color w:val="000000"/>
                <w:sz w:val="18"/>
                <w:szCs w:val="18"/>
              </w:rPr>
              <w:t xml:space="preserve"> would be acceptable if it were cost-minimised to the least costly biologic disease-modifying anti-rheumatic drug (</w:t>
            </w:r>
            <w:proofErr w:type="spellStart"/>
            <w:r w:rsidRPr="00567D48">
              <w:rPr>
                <w:rFonts w:asciiTheme="minorHAnsi" w:hAnsiTheme="minorHAnsi" w:cs="Arial"/>
                <w:color w:val="000000"/>
                <w:sz w:val="18"/>
                <w:szCs w:val="18"/>
              </w:rPr>
              <w:t>bDMARD</w:t>
            </w:r>
            <w:proofErr w:type="spellEnd"/>
            <w:r w:rsidRPr="00567D48">
              <w:rPr>
                <w:rFonts w:asciiTheme="minorHAnsi" w:hAnsiTheme="minorHAnsi" w:cs="Arial"/>
                <w:color w:val="000000"/>
                <w:sz w:val="18"/>
                <w:szCs w:val="18"/>
              </w:rPr>
              <w:t xml:space="preserve">) for this indication. The PBAC noted the flow-on restriction changes to other </w:t>
            </w:r>
            <w:proofErr w:type="spellStart"/>
            <w:r w:rsidRPr="00567D48">
              <w:rPr>
                <w:rFonts w:asciiTheme="minorHAnsi" w:hAnsiTheme="minorHAnsi" w:cs="Arial"/>
                <w:color w:val="000000"/>
                <w:sz w:val="18"/>
                <w:szCs w:val="18"/>
              </w:rPr>
              <w:t>bDMARD</w:t>
            </w:r>
            <w:proofErr w:type="spellEnd"/>
            <w:r w:rsidRPr="00567D48">
              <w:rPr>
                <w:rFonts w:asciiTheme="minorHAnsi" w:hAnsiTheme="minorHAnsi" w:cs="Arial"/>
                <w:color w:val="000000"/>
                <w:sz w:val="18"/>
                <w:szCs w:val="18"/>
              </w:rPr>
              <w:t xml:space="preserve"> listings for nr-</w:t>
            </w:r>
            <w:proofErr w:type="spellStart"/>
            <w:r w:rsidRPr="00567D48">
              <w:rPr>
                <w:rFonts w:asciiTheme="minorHAnsi" w:hAnsiTheme="minorHAnsi" w:cs="Arial"/>
                <w:color w:val="000000"/>
                <w:sz w:val="18"/>
                <w:szCs w:val="18"/>
              </w:rPr>
              <w:t>axSpA</w:t>
            </w:r>
            <w:proofErr w:type="spellEnd"/>
            <w:r w:rsidRPr="00567D48">
              <w:rPr>
                <w:rFonts w:asciiTheme="minorHAnsi" w:hAnsiTheme="minorHAnsi" w:cs="Arial"/>
                <w:color w:val="000000"/>
                <w:sz w:val="18"/>
                <w:szCs w:val="18"/>
              </w:rPr>
              <w:t xml:space="preserve"> to include ixekizumab in the administrative notes that lists eligible therapies for this indication.</w:t>
            </w:r>
          </w:p>
        </w:tc>
      </w:tr>
      <w:tr w:rsidR="00E52222" w:rsidRPr="00567D48" w14:paraId="0C45A404" w14:textId="77777777" w:rsidTr="007F61AB">
        <w:trPr>
          <w:trHeight w:val="574"/>
        </w:trPr>
        <w:tc>
          <w:tcPr>
            <w:tcW w:w="2972" w:type="dxa"/>
            <w:vMerge w:val="restart"/>
            <w:shd w:val="clear" w:color="auto" w:fill="auto"/>
            <w:tcMar>
              <w:top w:w="28" w:type="dxa"/>
              <w:bottom w:w="28" w:type="dxa"/>
            </w:tcMar>
            <w:vAlign w:val="center"/>
          </w:tcPr>
          <w:p w14:paraId="3B2016F5" w14:textId="5E4BEA66" w:rsidR="00E52222" w:rsidRPr="00567D48" w:rsidRDefault="00E52222" w:rsidP="007F61AB">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t xml:space="preserve">LAROTRECTINIB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Capsule 25 mg</w:t>
            </w:r>
            <w:r w:rsidRPr="00567D48">
              <w:rPr>
                <w:rFonts w:asciiTheme="minorHAnsi" w:hAnsiTheme="minorHAnsi" w:cs="Arial"/>
                <w:color w:val="000000"/>
                <w:sz w:val="18"/>
                <w:szCs w:val="18"/>
              </w:rPr>
              <w:br/>
              <w:t>Capsule 100 mg</w:t>
            </w:r>
            <w:r w:rsidRPr="00567D48">
              <w:rPr>
                <w:rFonts w:asciiTheme="minorHAnsi" w:hAnsiTheme="minorHAnsi" w:cs="Arial"/>
                <w:color w:val="000000"/>
                <w:sz w:val="18"/>
                <w:szCs w:val="18"/>
              </w:rPr>
              <w:br/>
              <w:t>Oral solution 20 mg per mL, 100 mL</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Vitrakvi</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Bayer Australia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Standard Re-entry submission</w:t>
            </w:r>
            <w:r w:rsidRPr="00567D48">
              <w:rPr>
                <w:rFonts w:asciiTheme="minorHAnsi" w:hAnsiTheme="minorHAnsi" w:cs="Arial"/>
                <w:color w:val="000000"/>
                <w:sz w:val="18"/>
                <w:szCs w:val="18"/>
              </w:rPr>
              <w:br/>
              <w:t>(New PBS listing)</w:t>
            </w:r>
          </w:p>
        </w:tc>
        <w:tc>
          <w:tcPr>
            <w:tcW w:w="2491" w:type="dxa"/>
            <w:vMerge w:val="restart"/>
            <w:shd w:val="clear" w:color="auto" w:fill="auto"/>
            <w:vAlign w:val="center"/>
          </w:tcPr>
          <w:p w14:paraId="591D8853" w14:textId="216C3F58" w:rsidR="00E52222" w:rsidRPr="00567D48" w:rsidRDefault="00E52222" w:rsidP="007F61AB">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 xml:space="preserve">Solid tumours harbouring neurotrophic receptor tyrosine kinase (NTRK) gene fusions </w:t>
            </w:r>
          </w:p>
        </w:tc>
        <w:tc>
          <w:tcPr>
            <w:tcW w:w="0" w:type="auto"/>
            <w:vMerge w:val="restart"/>
            <w:shd w:val="clear" w:color="auto" w:fill="auto"/>
            <w:tcMar>
              <w:top w:w="28" w:type="dxa"/>
              <w:bottom w:w="28" w:type="dxa"/>
            </w:tcMar>
            <w:vAlign w:val="center"/>
          </w:tcPr>
          <w:p w14:paraId="5D03B164" w14:textId="50C6E936" w:rsidR="00E52222" w:rsidRPr="00567D48" w:rsidRDefault="00E52222" w:rsidP="007F61AB">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Resubmission to request a Section 100 (Highly Specialised Drugs Program) Authority Required (Written) listing for the treatment of adult and paediatric patients with locally advanced or metastatic solid tumours harbouring NTRK gene fusions.</w:t>
            </w:r>
          </w:p>
        </w:tc>
        <w:tc>
          <w:tcPr>
            <w:tcW w:w="0" w:type="auto"/>
            <w:vMerge w:val="restart"/>
            <w:shd w:val="clear" w:color="auto" w:fill="auto"/>
            <w:vAlign w:val="center"/>
          </w:tcPr>
          <w:p w14:paraId="71B92FFA" w14:textId="79ED9913" w:rsidR="00E52222" w:rsidRPr="00567D48" w:rsidRDefault="00E52222" w:rsidP="007F61AB">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Deferred</w:t>
            </w:r>
          </w:p>
        </w:tc>
        <w:tc>
          <w:tcPr>
            <w:tcW w:w="0" w:type="auto"/>
            <w:shd w:val="clear" w:color="auto" w:fill="auto"/>
            <w:vAlign w:val="center"/>
          </w:tcPr>
          <w:p w14:paraId="4E09076E" w14:textId="77777777" w:rsidR="00E52222" w:rsidRPr="00567D48" w:rsidRDefault="00E52222" w:rsidP="007F61AB">
            <w:pPr>
              <w:rPr>
                <w:rFonts w:asciiTheme="minorHAnsi" w:eastAsia="Calibri" w:hAnsiTheme="minorHAnsi" w:cs="Arial"/>
                <w:sz w:val="18"/>
                <w:szCs w:val="18"/>
                <w:u w:val="single"/>
              </w:rPr>
            </w:pPr>
            <w:r w:rsidRPr="00567D48">
              <w:rPr>
                <w:rFonts w:asciiTheme="minorHAnsi" w:eastAsia="Calibri" w:hAnsiTheme="minorHAnsi" w:cs="Arial"/>
                <w:sz w:val="18"/>
                <w:szCs w:val="18"/>
                <w:u w:val="single"/>
              </w:rPr>
              <w:t>Paediatric NTRK fusion population and adult high frequency NTRK fusion population</w:t>
            </w:r>
          </w:p>
          <w:p w14:paraId="4B6EF328" w14:textId="77777777" w:rsidR="00E52222" w:rsidRPr="00567D48" w:rsidRDefault="00E52222" w:rsidP="007F61AB">
            <w:pPr>
              <w:rPr>
                <w:rFonts w:asciiTheme="minorHAnsi" w:eastAsia="Calibri" w:hAnsiTheme="minorHAnsi" w:cs="Arial"/>
                <w:sz w:val="18"/>
                <w:szCs w:val="18"/>
              </w:rPr>
            </w:pPr>
            <w:r w:rsidRPr="00567D48">
              <w:rPr>
                <w:rFonts w:asciiTheme="minorHAnsi" w:eastAsia="Calibri" w:hAnsiTheme="minorHAnsi" w:cs="Arial"/>
                <w:sz w:val="18"/>
                <w:szCs w:val="18"/>
              </w:rPr>
              <w:t xml:space="preserve">The PBAC deferred making its decision on whether to recommend the listing of </w:t>
            </w:r>
            <w:proofErr w:type="spellStart"/>
            <w:r w:rsidRPr="00567D48">
              <w:rPr>
                <w:rFonts w:asciiTheme="minorHAnsi" w:eastAsia="Calibri" w:hAnsiTheme="minorHAnsi" w:cs="Arial"/>
                <w:sz w:val="18"/>
                <w:szCs w:val="18"/>
              </w:rPr>
              <w:t>larotrectinib</w:t>
            </w:r>
            <w:proofErr w:type="spellEnd"/>
            <w:r w:rsidRPr="00567D48">
              <w:rPr>
                <w:rFonts w:asciiTheme="minorHAnsi" w:eastAsia="Calibri" w:hAnsiTheme="minorHAnsi" w:cs="Arial"/>
                <w:sz w:val="18"/>
                <w:szCs w:val="18"/>
              </w:rPr>
              <w:t xml:space="preserve"> for the treatment of patients with </w:t>
            </w:r>
            <w:r w:rsidRPr="00567D48">
              <w:rPr>
                <w:rFonts w:asciiTheme="minorHAnsi" w:eastAsia="Calibri" w:hAnsiTheme="minorHAnsi" w:cs="Arial"/>
                <w:iCs/>
                <w:sz w:val="18"/>
                <w:szCs w:val="18"/>
              </w:rPr>
              <w:t xml:space="preserve">NTRK </w:t>
            </w:r>
            <w:r w:rsidRPr="00567D48">
              <w:rPr>
                <w:rFonts w:asciiTheme="minorHAnsi" w:eastAsia="Calibri" w:hAnsiTheme="minorHAnsi" w:cs="Arial"/>
                <w:sz w:val="18"/>
                <w:szCs w:val="18"/>
              </w:rPr>
              <w:t xml:space="preserve">fusion tumours that are either unresectable locally advanced, metastatic, or locally advanced and would otherwise require disfiguring surgery or limb amputation to achieve a complete surgical resection. The PBAC was of a mind to recommend the listing for paediatric patients with </w:t>
            </w:r>
            <w:r w:rsidRPr="00567D48">
              <w:rPr>
                <w:rFonts w:asciiTheme="minorHAnsi" w:eastAsia="Calibri" w:hAnsiTheme="minorHAnsi" w:cs="Arial"/>
                <w:iCs/>
                <w:sz w:val="18"/>
                <w:szCs w:val="18"/>
              </w:rPr>
              <w:t xml:space="preserve">NTRK </w:t>
            </w:r>
            <w:r w:rsidRPr="00567D48">
              <w:rPr>
                <w:rFonts w:asciiTheme="minorHAnsi" w:eastAsia="Calibri" w:hAnsiTheme="minorHAnsi" w:cs="Arial"/>
                <w:sz w:val="18"/>
                <w:szCs w:val="18"/>
              </w:rPr>
              <w:t xml:space="preserve">fusion tumours and adult patients with high frequency </w:t>
            </w:r>
            <w:r w:rsidRPr="00567D48">
              <w:rPr>
                <w:rFonts w:asciiTheme="minorHAnsi" w:eastAsia="Calibri" w:hAnsiTheme="minorHAnsi" w:cs="Arial"/>
                <w:iCs/>
                <w:sz w:val="18"/>
                <w:szCs w:val="18"/>
              </w:rPr>
              <w:t>NTRK</w:t>
            </w:r>
            <w:r w:rsidRPr="00567D48">
              <w:rPr>
                <w:rFonts w:asciiTheme="minorHAnsi" w:eastAsia="Calibri" w:hAnsiTheme="minorHAnsi" w:cs="Arial"/>
                <w:sz w:val="18"/>
                <w:szCs w:val="18"/>
              </w:rPr>
              <w:t xml:space="preserve"> fusion tumours on the basis that the ICER was acceptable at the proposed price, pending MSAC advice on the funding of the codependent </w:t>
            </w:r>
            <w:r w:rsidRPr="00567D48">
              <w:rPr>
                <w:rFonts w:asciiTheme="minorHAnsi" w:eastAsia="Calibri" w:hAnsiTheme="minorHAnsi" w:cs="Arial"/>
                <w:iCs/>
                <w:sz w:val="18"/>
                <w:szCs w:val="18"/>
              </w:rPr>
              <w:t>NTRK</w:t>
            </w:r>
            <w:r w:rsidRPr="00567D48">
              <w:rPr>
                <w:rFonts w:asciiTheme="minorHAnsi" w:eastAsia="Calibri" w:hAnsiTheme="minorHAnsi" w:cs="Arial"/>
                <w:i/>
                <w:iCs/>
                <w:sz w:val="18"/>
                <w:szCs w:val="18"/>
              </w:rPr>
              <w:t xml:space="preserve"> </w:t>
            </w:r>
            <w:r w:rsidRPr="00567D48">
              <w:rPr>
                <w:rFonts w:asciiTheme="minorHAnsi" w:eastAsia="Calibri" w:hAnsiTheme="minorHAnsi" w:cs="Arial"/>
                <w:sz w:val="18"/>
                <w:szCs w:val="18"/>
              </w:rPr>
              <w:t>testing.</w:t>
            </w:r>
          </w:p>
          <w:p w14:paraId="7A732A75" w14:textId="77777777" w:rsidR="00E52222" w:rsidRPr="00567D48" w:rsidRDefault="00E52222" w:rsidP="007F61AB">
            <w:pPr>
              <w:rPr>
                <w:rFonts w:asciiTheme="minorHAnsi" w:eastAsia="Calibri" w:hAnsiTheme="minorHAnsi" w:cs="Arial"/>
                <w:sz w:val="18"/>
                <w:szCs w:val="18"/>
              </w:rPr>
            </w:pPr>
          </w:p>
          <w:p w14:paraId="2F30BE0B" w14:textId="77777777" w:rsidR="00E52222" w:rsidRPr="00567D48" w:rsidRDefault="00E52222" w:rsidP="007F61AB">
            <w:pPr>
              <w:rPr>
                <w:rFonts w:asciiTheme="minorHAnsi" w:eastAsia="Calibri" w:hAnsiTheme="minorHAnsi" w:cs="Arial"/>
                <w:sz w:val="18"/>
                <w:szCs w:val="18"/>
                <w:u w:val="single"/>
              </w:rPr>
            </w:pPr>
            <w:r w:rsidRPr="00567D48">
              <w:rPr>
                <w:rFonts w:asciiTheme="minorHAnsi" w:eastAsia="Calibri" w:hAnsiTheme="minorHAnsi" w:cs="Arial"/>
                <w:sz w:val="18"/>
                <w:szCs w:val="18"/>
                <w:u w:val="single"/>
              </w:rPr>
              <w:t xml:space="preserve">Adult with low frequency NTRK fusion population </w:t>
            </w:r>
          </w:p>
          <w:p w14:paraId="7BF7896E" w14:textId="77777777" w:rsidR="00E52222" w:rsidRPr="00567D48" w:rsidRDefault="00E52222" w:rsidP="007F61AB">
            <w:pPr>
              <w:rPr>
                <w:rFonts w:asciiTheme="minorHAnsi" w:eastAsia="Calibri" w:hAnsiTheme="minorHAnsi" w:cs="Arial"/>
                <w:sz w:val="18"/>
                <w:szCs w:val="18"/>
              </w:rPr>
            </w:pPr>
            <w:r w:rsidRPr="00567D48">
              <w:rPr>
                <w:rFonts w:asciiTheme="minorHAnsi" w:eastAsia="Calibri" w:hAnsiTheme="minorHAnsi" w:cs="Arial"/>
                <w:sz w:val="18"/>
                <w:szCs w:val="18"/>
              </w:rPr>
              <w:t xml:space="preserve">The PBAC did not recommend the listing of </w:t>
            </w:r>
            <w:proofErr w:type="spellStart"/>
            <w:r w:rsidRPr="00567D48">
              <w:rPr>
                <w:rFonts w:asciiTheme="minorHAnsi" w:eastAsia="Calibri" w:hAnsiTheme="minorHAnsi" w:cs="Arial"/>
                <w:sz w:val="18"/>
                <w:szCs w:val="18"/>
              </w:rPr>
              <w:t>larotrectinib</w:t>
            </w:r>
            <w:proofErr w:type="spellEnd"/>
            <w:r w:rsidRPr="00567D48">
              <w:rPr>
                <w:rFonts w:asciiTheme="minorHAnsi" w:eastAsia="Calibri" w:hAnsiTheme="minorHAnsi" w:cs="Arial"/>
                <w:sz w:val="18"/>
                <w:szCs w:val="18"/>
              </w:rPr>
              <w:t xml:space="preserve"> for the treatment of adult patients with low frequency </w:t>
            </w:r>
            <w:r w:rsidRPr="00567D48">
              <w:rPr>
                <w:rFonts w:asciiTheme="minorHAnsi" w:eastAsia="Calibri" w:hAnsiTheme="minorHAnsi" w:cs="Arial"/>
                <w:iCs/>
                <w:sz w:val="18"/>
                <w:szCs w:val="18"/>
              </w:rPr>
              <w:t>NTRK</w:t>
            </w:r>
            <w:r w:rsidRPr="00567D48">
              <w:rPr>
                <w:rFonts w:asciiTheme="minorHAnsi" w:eastAsia="Calibri" w:hAnsiTheme="minorHAnsi" w:cs="Arial"/>
                <w:sz w:val="18"/>
                <w:szCs w:val="18"/>
              </w:rPr>
              <w:t xml:space="preserve"> fusion tumours that are either unresectable locally advanced, metastatic, or locally advanced and would otherwise require disfiguring surgery or limb amputation to achieve a complete surgical resection. The PBAC considered that the</w:t>
            </w:r>
            <w:r w:rsidRPr="00567D48">
              <w:rPr>
                <w:rFonts w:asciiTheme="minorHAnsi" w:hAnsiTheme="minorHAnsi" w:cs="Arial"/>
                <w:sz w:val="18"/>
                <w:szCs w:val="18"/>
              </w:rPr>
              <w:t xml:space="preserve"> </w:t>
            </w:r>
            <w:r w:rsidRPr="00567D48">
              <w:rPr>
                <w:rFonts w:asciiTheme="minorHAnsi" w:eastAsia="Calibri" w:hAnsiTheme="minorHAnsi" w:cs="Arial"/>
                <w:sz w:val="18"/>
                <w:szCs w:val="18"/>
              </w:rPr>
              <w:t xml:space="preserve">incremental cost-effectiveness ratio (ICER) for this population remained high and uncertain. Further, the PBAC considered there is less unmet clinical need within this </w:t>
            </w:r>
            <w:r w:rsidRPr="00567D48">
              <w:rPr>
                <w:rFonts w:asciiTheme="minorHAnsi" w:eastAsia="Calibri" w:hAnsiTheme="minorHAnsi" w:cs="Arial"/>
                <w:sz w:val="18"/>
                <w:szCs w:val="18"/>
              </w:rPr>
              <w:lastRenderedPageBreak/>
              <w:t xml:space="preserve">patient population given there are effective alternative treatments available for adult low frequency </w:t>
            </w:r>
            <w:r w:rsidRPr="00567D48">
              <w:rPr>
                <w:rFonts w:asciiTheme="minorHAnsi" w:eastAsia="Calibri" w:hAnsiTheme="minorHAnsi" w:cs="Arial"/>
                <w:iCs/>
                <w:sz w:val="18"/>
                <w:szCs w:val="18"/>
              </w:rPr>
              <w:t>NTRK</w:t>
            </w:r>
            <w:r w:rsidRPr="00567D48">
              <w:rPr>
                <w:rFonts w:asciiTheme="minorHAnsi" w:eastAsia="Calibri" w:hAnsiTheme="minorHAnsi" w:cs="Arial"/>
                <w:sz w:val="18"/>
                <w:szCs w:val="18"/>
              </w:rPr>
              <w:t xml:space="preserve"> fusion tumours.</w:t>
            </w:r>
          </w:p>
          <w:p w14:paraId="62602E34" w14:textId="77777777" w:rsidR="00E52222" w:rsidRPr="00567D48" w:rsidRDefault="00E52222" w:rsidP="007F61AB">
            <w:pPr>
              <w:rPr>
                <w:rFonts w:asciiTheme="minorHAnsi" w:eastAsia="Calibri" w:hAnsiTheme="minorHAnsi" w:cs="Arial"/>
                <w:sz w:val="18"/>
                <w:szCs w:val="18"/>
              </w:rPr>
            </w:pPr>
          </w:p>
          <w:p w14:paraId="1ED97ACD" w14:textId="77777777" w:rsidR="00E52222" w:rsidRPr="00567D48" w:rsidRDefault="00E52222" w:rsidP="007F61AB">
            <w:pPr>
              <w:rPr>
                <w:rFonts w:asciiTheme="minorHAnsi" w:eastAsia="Calibri" w:hAnsiTheme="minorHAnsi" w:cs="Arial"/>
                <w:sz w:val="18"/>
                <w:szCs w:val="18"/>
              </w:rPr>
            </w:pPr>
            <w:r w:rsidRPr="00567D48">
              <w:rPr>
                <w:rFonts w:asciiTheme="minorHAnsi" w:eastAsia="Calibri" w:hAnsiTheme="minorHAnsi" w:cs="Arial"/>
                <w:sz w:val="18"/>
                <w:szCs w:val="18"/>
              </w:rPr>
              <w:t xml:space="preserve">The PBAC considered that an incremental benefit of </w:t>
            </w:r>
            <w:proofErr w:type="spellStart"/>
            <w:r w:rsidRPr="00567D48">
              <w:rPr>
                <w:rFonts w:asciiTheme="minorHAnsi" w:eastAsia="Calibri" w:hAnsiTheme="minorHAnsi" w:cs="Arial"/>
                <w:sz w:val="18"/>
                <w:szCs w:val="18"/>
              </w:rPr>
              <w:t>larotrectinib</w:t>
            </w:r>
            <w:proofErr w:type="spellEnd"/>
            <w:r w:rsidRPr="00567D48">
              <w:rPr>
                <w:rFonts w:asciiTheme="minorHAnsi" w:eastAsia="Calibri" w:hAnsiTheme="minorHAnsi" w:cs="Arial"/>
                <w:sz w:val="18"/>
                <w:szCs w:val="18"/>
              </w:rPr>
              <w:t xml:space="preserve"> compared to Standard of Care in the adult low frequency subgroup was not clearly supported by the additional </w:t>
            </w:r>
            <w:proofErr w:type="spellStart"/>
            <w:r w:rsidRPr="00567D48">
              <w:rPr>
                <w:rFonts w:asciiTheme="minorHAnsi" w:eastAsia="Calibri" w:hAnsiTheme="minorHAnsi" w:cs="Arial"/>
                <w:sz w:val="18"/>
                <w:szCs w:val="18"/>
              </w:rPr>
              <w:t>larotrectinib</w:t>
            </w:r>
            <w:proofErr w:type="spellEnd"/>
            <w:r w:rsidRPr="00567D48">
              <w:rPr>
                <w:rFonts w:asciiTheme="minorHAnsi" w:eastAsia="Calibri" w:hAnsiTheme="minorHAnsi" w:cs="Arial"/>
                <w:sz w:val="18"/>
                <w:szCs w:val="18"/>
              </w:rPr>
              <w:t xml:space="preserve"> single-arm data and noted that the data remained immature at the latest data cut.</w:t>
            </w:r>
          </w:p>
          <w:p w14:paraId="1848D242" w14:textId="77777777" w:rsidR="00E52222" w:rsidRPr="00567D48" w:rsidRDefault="00E52222" w:rsidP="007F61AB">
            <w:pPr>
              <w:rPr>
                <w:rFonts w:asciiTheme="minorHAnsi" w:eastAsia="Calibri" w:hAnsiTheme="minorHAnsi" w:cs="Arial"/>
                <w:sz w:val="18"/>
                <w:szCs w:val="18"/>
              </w:rPr>
            </w:pPr>
          </w:p>
          <w:p w14:paraId="3CB6E1E7" w14:textId="77777777" w:rsidR="00E52222" w:rsidRPr="00567D48" w:rsidRDefault="00E52222" w:rsidP="007F61AB">
            <w:pPr>
              <w:rPr>
                <w:rFonts w:asciiTheme="minorHAnsi" w:eastAsia="Calibri" w:hAnsiTheme="minorHAnsi" w:cs="Arial"/>
                <w:sz w:val="18"/>
                <w:szCs w:val="18"/>
              </w:rPr>
            </w:pPr>
            <w:r w:rsidRPr="00567D48">
              <w:rPr>
                <w:rFonts w:asciiTheme="minorHAnsi" w:eastAsia="Calibri" w:hAnsiTheme="minorHAnsi" w:cs="Arial"/>
                <w:sz w:val="18"/>
                <w:szCs w:val="18"/>
              </w:rPr>
              <w:t xml:space="preserve">The PBAC advised that, given there would unlikely be sufficient data forthcoming to address the uncertainty around the effectiveness of </w:t>
            </w:r>
            <w:proofErr w:type="spellStart"/>
            <w:r w:rsidRPr="00567D48">
              <w:rPr>
                <w:rFonts w:asciiTheme="minorHAnsi" w:eastAsia="Calibri" w:hAnsiTheme="minorHAnsi" w:cs="Arial"/>
                <w:sz w:val="18"/>
                <w:szCs w:val="18"/>
              </w:rPr>
              <w:t>larotrectinib</w:t>
            </w:r>
            <w:proofErr w:type="spellEnd"/>
            <w:r w:rsidRPr="00567D48">
              <w:rPr>
                <w:rFonts w:asciiTheme="minorHAnsi" w:eastAsia="Calibri" w:hAnsiTheme="minorHAnsi" w:cs="Arial"/>
                <w:sz w:val="18"/>
                <w:szCs w:val="18"/>
              </w:rPr>
              <w:t xml:space="preserve">, a further substantial price reduction would be required to achieve a cost-effective price. </w:t>
            </w:r>
          </w:p>
          <w:p w14:paraId="4F053009" w14:textId="77777777" w:rsidR="00E52222" w:rsidRPr="00567D48" w:rsidRDefault="00E52222" w:rsidP="007F61AB">
            <w:pPr>
              <w:rPr>
                <w:rFonts w:asciiTheme="minorHAnsi" w:eastAsia="Calibri" w:hAnsiTheme="minorHAnsi" w:cs="Arial"/>
                <w:sz w:val="18"/>
                <w:szCs w:val="18"/>
              </w:rPr>
            </w:pPr>
          </w:p>
          <w:p w14:paraId="1510B04D" w14:textId="77777777" w:rsidR="00E52222" w:rsidRPr="00567D48" w:rsidRDefault="00E52222" w:rsidP="007F61AB">
            <w:pPr>
              <w:rPr>
                <w:rFonts w:asciiTheme="minorHAnsi" w:eastAsia="Calibri" w:hAnsiTheme="minorHAnsi" w:cs="Arial"/>
                <w:sz w:val="18"/>
                <w:szCs w:val="18"/>
                <w:u w:val="single"/>
              </w:rPr>
            </w:pPr>
            <w:r w:rsidRPr="00567D48">
              <w:rPr>
                <w:rFonts w:asciiTheme="minorHAnsi" w:eastAsia="Calibri" w:hAnsiTheme="minorHAnsi" w:cs="Arial"/>
                <w:sz w:val="18"/>
                <w:szCs w:val="18"/>
                <w:u w:val="single"/>
              </w:rPr>
              <w:t>Comparator: Standard of Care (SoC)</w:t>
            </w:r>
          </w:p>
          <w:p w14:paraId="3C482415" w14:textId="77777777" w:rsidR="00E52222" w:rsidRPr="00567D48" w:rsidRDefault="00E52222" w:rsidP="007F61AB">
            <w:pPr>
              <w:rPr>
                <w:rFonts w:asciiTheme="minorHAnsi" w:eastAsia="Calibri" w:hAnsiTheme="minorHAnsi" w:cs="Arial"/>
                <w:sz w:val="18"/>
                <w:szCs w:val="18"/>
              </w:rPr>
            </w:pPr>
            <w:r w:rsidRPr="00567D48">
              <w:rPr>
                <w:rFonts w:asciiTheme="minorHAnsi" w:eastAsia="Calibri" w:hAnsiTheme="minorHAnsi" w:cs="Arial"/>
                <w:sz w:val="18"/>
                <w:szCs w:val="18"/>
              </w:rPr>
              <w:t xml:space="preserve">The PBAC considered that the comparators specified in the resubmission were more representative of current SoC in the last treatment line setting where </w:t>
            </w:r>
            <w:proofErr w:type="spellStart"/>
            <w:r w:rsidRPr="00567D48">
              <w:rPr>
                <w:rFonts w:asciiTheme="minorHAnsi" w:eastAsia="Calibri" w:hAnsiTheme="minorHAnsi" w:cs="Arial"/>
                <w:sz w:val="18"/>
                <w:szCs w:val="18"/>
              </w:rPr>
              <w:t>larotrectinib</w:t>
            </w:r>
            <w:proofErr w:type="spellEnd"/>
            <w:r w:rsidRPr="00567D48">
              <w:rPr>
                <w:rFonts w:asciiTheme="minorHAnsi" w:eastAsia="Calibri" w:hAnsiTheme="minorHAnsi" w:cs="Arial"/>
                <w:sz w:val="18"/>
                <w:szCs w:val="18"/>
              </w:rPr>
              <w:t xml:space="preserve"> is proposed to be used in the adult low frequency subgroup.</w:t>
            </w:r>
          </w:p>
          <w:p w14:paraId="369D169E" w14:textId="77777777" w:rsidR="00E52222" w:rsidRPr="00567D48" w:rsidRDefault="00E52222" w:rsidP="007F61AB">
            <w:pPr>
              <w:rPr>
                <w:rFonts w:asciiTheme="minorHAnsi" w:eastAsia="Calibri" w:hAnsiTheme="minorHAnsi" w:cs="Arial"/>
                <w:sz w:val="18"/>
                <w:szCs w:val="18"/>
              </w:rPr>
            </w:pPr>
          </w:p>
          <w:p w14:paraId="43796ED6" w14:textId="77777777" w:rsidR="00E52222" w:rsidRPr="00567D48" w:rsidRDefault="00E52222" w:rsidP="007F61AB">
            <w:pPr>
              <w:rPr>
                <w:rFonts w:asciiTheme="minorHAnsi" w:eastAsia="Calibri" w:hAnsiTheme="minorHAnsi" w:cs="Arial"/>
                <w:sz w:val="18"/>
                <w:szCs w:val="18"/>
                <w:u w:val="single"/>
              </w:rPr>
            </w:pPr>
            <w:r w:rsidRPr="00567D48">
              <w:rPr>
                <w:rFonts w:asciiTheme="minorHAnsi" w:eastAsia="Calibri" w:hAnsiTheme="minorHAnsi" w:cs="Arial"/>
                <w:sz w:val="18"/>
                <w:szCs w:val="18"/>
                <w:u w:val="single"/>
              </w:rPr>
              <w:t>Clinical claim: Superior effectiveness and non-inferior safety compared with SoC</w:t>
            </w:r>
          </w:p>
          <w:p w14:paraId="249DCD81" w14:textId="77777777" w:rsidR="00E52222" w:rsidRPr="00567D48" w:rsidRDefault="00E52222" w:rsidP="007F61AB">
            <w:pPr>
              <w:rPr>
                <w:rFonts w:asciiTheme="minorHAnsi" w:eastAsia="Calibri" w:hAnsiTheme="minorHAnsi" w:cs="Arial"/>
                <w:sz w:val="18"/>
                <w:szCs w:val="18"/>
              </w:rPr>
            </w:pPr>
            <w:r w:rsidRPr="00567D48">
              <w:rPr>
                <w:rFonts w:asciiTheme="minorHAnsi" w:eastAsia="Calibri" w:hAnsiTheme="minorHAnsi" w:cs="Arial"/>
                <w:sz w:val="18"/>
                <w:szCs w:val="18"/>
              </w:rPr>
              <w:t xml:space="preserve">The PBAC maintained its previous consideration that the claim of superior effectiveness compared to SoC for the low frequency adult population was not sufficiently supported. The PBAC maintained that, overall, the available data indicated a manageable safety profile for </w:t>
            </w:r>
            <w:proofErr w:type="spellStart"/>
            <w:r w:rsidRPr="00567D48">
              <w:rPr>
                <w:rFonts w:asciiTheme="minorHAnsi" w:eastAsia="Calibri" w:hAnsiTheme="minorHAnsi" w:cs="Arial"/>
                <w:sz w:val="18"/>
                <w:szCs w:val="18"/>
              </w:rPr>
              <w:t>larotrectinib</w:t>
            </w:r>
            <w:proofErr w:type="spellEnd"/>
            <w:r w:rsidRPr="00567D48">
              <w:rPr>
                <w:rFonts w:asciiTheme="minorHAnsi" w:eastAsia="Calibri" w:hAnsiTheme="minorHAnsi" w:cs="Arial"/>
                <w:sz w:val="18"/>
                <w:szCs w:val="18"/>
              </w:rPr>
              <w:t xml:space="preserve">, although there were insufficient data to assess the long-term safety of </w:t>
            </w:r>
            <w:proofErr w:type="spellStart"/>
            <w:r w:rsidRPr="00567D48">
              <w:rPr>
                <w:rFonts w:asciiTheme="minorHAnsi" w:eastAsia="Calibri" w:hAnsiTheme="minorHAnsi" w:cs="Arial"/>
                <w:sz w:val="18"/>
                <w:szCs w:val="18"/>
              </w:rPr>
              <w:t>larotrectinib</w:t>
            </w:r>
            <w:proofErr w:type="spellEnd"/>
            <w:r w:rsidRPr="00567D48">
              <w:rPr>
                <w:rFonts w:asciiTheme="minorHAnsi" w:eastAsia="Calibri" w:hAnsiTheme="minorHAnsi" w:cs="Arial"/>
                <w:sz w:val="18"/>
                <w:szCs w:val="18"/>
              </w:rPr>
              <w:t>.</w:t>
            </w:r>
          </w:p>
          <w:p w14:paraId="54E18576" w14:textId="77777777" w:rsidR="00E52222" w:rsidRPr="00567D48" w:rsidRDefault="00E52222" w:rsidP="007F61AB">
            <w:pPr>
              <w:rPr>
                <w:rFonts w:asciiTheme="minorHAnsi" w:eastAsia="Calibri" w:hAnsiTheme="minorHAnsi" w:cs="Arial"/>
                <w:sz w:val="18"/>
                <w:szCs w:val="18"/>
                <w:u w:val="single"/>
              </w:rPr>
            </w:pPr>
          </w:p>
          <w:p w14:paraId="0E2E3563" w14:textId="77777777" w:rsidR="00E52222" w:rsidRDefault="00E52222" w:rsidP="007F61AB">
            <w:pPr>
              <w:rPr>
                <w:rFonts w:asciiTheme="minorHAnsi" w:eastAsia="Calibri" w:hAnsiTheme="minorHAnsi" w:cs="Arial"/>
                <w:sz w:val="18"/>
                <w:szCs w:val="18"/>
                <w:u w:val="single"/>
              </w:rPr>
            </w:pPr>
          </w:p>
          <w:p w14:paraId="67E2E5FB" w14:textId="77777777" w:rsidR="00E52222" w:rsidRDefault="00E52222" w:rsidP="007F61AB">
            <w:pPr>
              <w:rPr>
                <w:rFonts w:asciiTheme="minorHAnsi" w:eastAsia="Calibri" w:hAnsiTheme="minorHAnsi" w:cs="Arial"/>
                <w:sz w:val="18"/>
                <w:szCs w:val="18"/>
                <w:u w:val="single"/>
              </w:rPr>
            </w:pPr>
          </w:p>
          <w:p w14:paraId="6092487A" w14:textId="77777777" w:rsidR="00E52222" w:rsidRDefault="00E52222" w:rsidP="007F61AB">
            <w:pPr>
              <w:rPr>
                <w:rFonts w:asciiTheme="minorHAnsi" w:eastAsia="Calibri" w:hAnsiTheme="minorHAnsi" w:cs="Arial"/>
                <w:sz w:val="18"/>
                <w:szCs w:val="18"/>
                <w:u w:val="single"/>
              </w:rPr>
            </w:pPr>
          </w:p>
          <w:p w14:paraId="53A03DB4" w14:textId="77777777" w:rsidR="00E52222" w:rsidRDefault="00E52222" w:rsidP="007F61AB">
            <w:pPr>
              <w:rPr>
                <w:rFonts w:asciiTheme="minorHAnsi" w:eastAsia="Calibri" w:hAnsiTheme="minorHAnsi" w:cs="Arial"/>
                <w:sz w:val="18"/>
                <w:szCs w:val="18"/>
                <w:u w:val="single"/>
              </w:rPr>
            </w:pPr>
          </w:p>
          <w:p w14:paraId="59C2D4B6" w14:textId="77777777" w:rsidR="00E52222" w:rsidRDefault="00E52222" w:rsidP="007F61AB">
            <w:pPr>
              <w:rPr>
                <w:rFonts w:asciiTheme="minorHAnsi" w:eastAsia="Calibri" w:hAnsiTheme="minorHAnsi" w:cs="Arial"/>
                <w:sz w:val="18"/>
                <w:szCs w:val="18"/>
                <w:u w:val="single"/>
              </w:rPr>
            </w:pPr>
          </w:p>
          <w:p w14:paraId="6AC9D129" w14:textId="6235123F" w:rsidR="00E52222" w:rsidRPr="00567D48" w:rsidRDefault="00E52222" w:rsidP="007F61AB">
            <w:pPr>
              <w:rPr>
                <w:rFonts w:asciiTheme="minorHAnsi" w:eastAsia="Calibri" w:hAnsiTheme="minorHAnsi" w:cs="Arial"/>
                <w:sz w:val="18"/>
                <w:szCs w:val="18"/>
                <w:u w:val="single"/>
              </w:rPr>
            </w:pPr>
            <w:r w:rsidRPr="00567D48">
              <w:rPr>
                <w:rFonts w:asciiTheme="minorHAnsi" w:eastAsia="Calibri" w:hAnsiTheme="minorHAnsi" w:cs="Arial"/>
                <w:sz w:val="18"/>
                <w:szCs w:val="18"/>
                <w:u w:val="single"/>
              </w:rPr>
              <w:lastRenderedPageBreak/>
              <w:t>Economic claim: Cost-utility analysis compared with SoC</w:t>
            </w:r>
          </w:p>
          <w:p w14:paraId="6872842D" w14:textId="5B6A152B" w:rsidR="00E52222" w:rsidRPr="00567D48" w:rsidRDefault="00E52222" w:rsidP="007F61AB">
            <w:pPr>
              <w:pStyle w:val="ListParagraph"/>
              <w:keepLines/>
              <w:spacing w:after="120"/>
              <w:ind w:left="0"/>
              <w:rPr>
                <w:rFonts w:asciiTheme="minorHAnsi" w:hAnsiTheme="minorHAnsi" w:cs="Arial"/>
                <w:color w:val="000000"/>
                <w:sz w:val="18"/>
                <w:szCs w:val="18"/>
              </w:rPr>
            </w:pPr>
            <w:r w:rsidRPr="00567D48">
              <w:rPr>
                <w:rFonts w:asciiTheme="minorHAnsi" w:eastAsia="Calibri" w:hAnsiTheme="minorHAnsi" w:cs="Arial"/>
                <w:sz w:val="18"/>
                <w:szCs w:val="18"/>
              </w:rPr>
              <w:t xml:space="preserve">The PBAC considered the ICER was uncertain and likely underestimated given there was insufficient evidence to support an incremental benefit compared to </w:t>
            </w:r>
            <w:proofErr w:type="spellStart"/>
            <w:r w:rsidRPr="00567D48">
              <w:rPr>
                <w:rFonts w:asciiTheme="minorHAnsi" w:eastAsia="Calibri" w:hAnsiTheme="minorHAnsi" w:cs="Arial"/>
                <w:sz w:val="18"/>
                <w:szCs w:val="18"/>
              </w:rPr>
              <w:t>SoC.</w:t>
            </w:r>
            <w:proofErr w:type="spellEnd"/>
            <w:r w:rsidRPr="00567D48">
              <w:rPr>
                <w:rFonts w:asciiTheme="minorHAnsi" w:eastAsia="Calibri" w:hAnsiTheme="minorHAnsi" w:cs="Arial"/>
                <w:sz w:val="18"/>
                <w:szCs w:val="18"/>
              </w:rPr>
              <w:t xml:space="preserve"> The PBAC noted that the analysis for the adult low frequency tumour subgroup was particularly sensitive to the time horizon, OS and PFS extrapolation and duration of </w:t>
            </w:r>
            <w:proofErr w:type="spellStart"/>
            <w:r w:rsidRPr="00567D48">
              <w:rPr>
                <w:rFonts w:asciiTheme="minorHAnsi" w:eastAsia="Calibri" w:hAnsiTheme="minorHAnsi" w:cs="Arial"/>
                <w:sz w:val="18"/>
                <w:szCs w:val="18"/>
              </w:rPr>
              <w:t>lenvatinib</w:t>
            </w:r>
            <w:proofErr w:type="spellEnd"/>
            <w:r w:rsidRPr="00567D48">
              <w:rPr>
                <w:rFonts w:asciiTheme="minorHAnsi" w:eastAsia="Calibri" w:hAnsiTheme="minorHAnsi" w:cs="Arial"/>
                <w:sz w:val="18"/>
                <w:szCs w:val="18"/>
              </w:rPr>
              <w:t xml:space="preserve"> SoC treatment duration.</w:t>
            </w:r>
          </w:p>
        </w:tc>
      </w:tr>
      <w:tr w:rsidR="00E52222" w:rsidRPr="00567D48" w14:paraId="658979D2" w14:textId="77777777" w:rsidTr="0031450B">
        <w:trPr>
          <w:trHeight w:val="574"/>
        </w:trPr>
        <w:tc>
          <w:tcPr>
            <w:tcW w:w="2972" w:type="dxa"/>
            <w:vMerge/>
            <w:shd w:val="clear" w:color="auto" w:fill="auto"/>
            <w:tcMar>
              <w:top w:w="28" w:type="dxa"/>
              <w:bottom w:w="28" w:type="dxa"/>
            </w:tcMar>
            <w:vAlign w:val="center"/>
          </w:tcPr>
          <w:p w14:paraId="64EAE2A6" w14:textId="77777777" w:rsidR="00E52222" w:rsidRPr="00567D48" w:rsidRDefault="00E52222" w:rsidP="007F61AB">
            <w:pPr>
              <w:keepLines/>
              <w:spacing w:after="120"/>
              <w:rPr>
                <w:rFonts w:asciiTheme="minorHAnsi" w:hAnsiTheme="minorHAnsi" w:cs="Arial"/>
                <w:color w:val="000000"/>
                <w:sz w:val="18"/>
                <w:szCs w:val="18"/>
              </w:rPr>
            </w:pPr>
          </w:p>
        </w:tc>
        <w:tc>
          <w:tcPr>
            <w:tcW w:w="2491" w:type="dxa"/>
            <w:vMerge/>
            <w:shd w:val="clear" w:color="auto" w:fill="auto"/>
            <w:vAlign w:val="center"/>
          </w:tcPr>
          <w:p w14:paraId="2205F2CB" w14:textId="77777777" w:rsidR="00E52222" w:rsidRPr="00567D48" w:rsidRDefault="00E52222" w:rsidP="007F61AB">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59400C38" w14:textId="77777777" w:rsidR="00E52222" w:rsidRPr="00567D48" w:rsidRDefault="00E52222" w:rsidP="007F61AB">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09219C36" w14:textId="77777777" w:rsidR="00E52222" w:rsidRPr="00567D48" w:rsidRDefault="00E52222" w:rsidP="007F61AB">
            <w:pPr>
              <w:pStyle w:val="ListParagraph"/>
              <w:keepLines/>
              <w:spacing w:after="120"/>
              <w:ind w:left="0"/>
              <w:rPr>
                <w:rFonts w:asciiTheme="minorHAnsi" w:hAnsiTheme="minorHAnsi" w:cs="Arial"/>
                <w:color w:val="000000"/>
                <w:sz w:val="18"/>
                <w:szCs w:val="18"/>
              </w:rPr>
            </w:pPr>
          </w:p>
        </w:tc>
        <w:tc>
          <w:tcPr>
            <w:tcW w:w="0" w:type="auto"/>
            <w:shd w:val="clear" w:color="auto" w:fill="auto"/>
            <w:vAlign w:val="center"/>
          </w:tcPr>
          <w:p w14:paraId="7EC73172" w14:textId="77777777" w:rsidR="00E52222" w:rsidRPr="00567D48" w:rsidRDefault="00E52222" w:rsidP="007F61AB">
            <w:pPr>
              <w:rPr>
                <w:rFonts w:asciiTheme="minorHAnsi" w:hAnsiTheme="minorHAnsi" w:cs="Arial"/>
                <w:color w:val="000000"/>
                <w:sz w:val="18"/>
                <w:szCs w:val="18"/>
              </w:rPr>
            </w:pPr>
            <w:r w:rsidRPr="00567D48">
              <w:rPr>
                <w:rFonts w:asciiTheme="minorHAnsi" w:eastAsia="Calibri" w:hAnsiTheme="minorHAnsi" w:cs="Arial"/>
                <w:sz w:val="18"/>
                <w:szCs w:val="18"/>
                <w:u w:val="single"/>
              </w:rPr>
              <w:t>Sponsor’s comment</w:t>
            </w:r>
            <w:r w:rsidRPr="00567D48">
              <w:rPr>
                <w:rFonts w:asciiTheme="minorHAnsi" w:eastAsia="Calibri" w:hAnsiTheme="minorHAnsi" w:cs="Arial"/>
                <w:sz w:val="18"/>
                <w:szCs w:val="18"/>
              </w:rPr>
              <w:t xml:space="preserve">: </w:t>
            </w:r>
            <w:r w:rsidRPr="00567D48">
              <w:rPr>
                <w:rFonts w:asciiTheme="minorHAnsi" w:hAnsiTheme="minorHAnsi" w:cs="Arial"/>
                <w:color w:val="000000"/>
                <w:sz w:val="18"/>
                <w:szCs w:val="18"/>
              </w:rPr>
              <w:t xml:space="preserve">Bayer welcomes the PBAC’s minded recommendation for the paediatric patients with NTRK gene fusion tumours and adult patients with high frequency NTRK gene fusion tumours. Bayer will continue to work with the PBAC to enable earliest possible access to </w:t>
            </w:r>
            <w:proofErr w:type="spellStart"/>
            <w:r w:rsidRPr="00567D48">
              <w:rPr>
                <w:rFonts w:asciiTheme="minorHAnsi" w:hAnsiTheme="minorHAnsi" w:cs="Arial"/>
                <w:color w:val="000000"/>
                <w:sz w:val="18"/>
                <w:szCs w:val="18"/>
              </w:rPr>
              <w:t>larotrectinib</w:t>
            </w:r>
            <w:proofErr w:type="spellEnd"/>
            <w:r w:rsidRPr="00567D48">
              <w:rPr>
                <w:rFonts w:asciiTheme="minorHAnsi" w:hAnsiTheme="minorHAnsi" w:cs="Arial"/>
                <w:color w:val="000000"/>
                <w:sz w:val="18"/>
                <w:szCs w:val="18"/>
              </w:rPr>
              <w:t xml:space="preserve"> for these patients following MSAC’s outcome.</w:t>
            </w:r>
          </w:p>
          <w:p w14:paraId="3AC0D92D" w14:textId="77777777" w:rsidR="00E52222" w:rsidRPr="00567D48" w:rsidRDefault="00E52222" w:rsidP="007F61AB">
            <w:pPr>
              <w:rPr>
                <w:rFonts w:asciiTheme="minorHAnsi" w:hAnsiTheme="minorHAnsi" w:cs="Arial"/>
                <w:color w:val="000000"/>
                <w:sz w:val="18"/>
                <w:szCs w:val="18"/>
              </w:rPr>
            </w:pPr>
          </w:p>
          <w:p w14:paraId="13586971" w14:textId="77777777" w:rsidR="00E52222" w:rsidRPr="00567D48" w:rsidRDefault="00E52222" w:rsidP="007F61AB">
            <w:pPr>
              <w:keepLines/>
              <w:spacing w:after="120"/>
              <w:contextualSpacing/>
              <w:rPr>
                <w:rFonts w:asciiTheme="minorHAnsi" w:eastAsia="Calibri" w:hAnsiTheme="minorHAnsi" w:cs="Arial"/>
                <w:sz w:val="18"/>
                <w:szCs w:val="18"/>
              </w:rPr>
            </w:pPr>
            <w:r w:rsidRPr="00567D48">
              <w:rPr>
                <w:rFonts w:asciiTheme="minorHAnsi" w:hAnsiTheme="minorHAnsi" w:cs="Arial"/>
                <w:color w:val="000000"/>
                <w:sz w:val="18"/>
                <w:szCs w:val="18"/>
              </w:rPr>
              <w:t xml:space="preserve">Bayer is disappointed the PBAC did not recommend </w:t>
            </w:r>
            <w:proofErr w:type="spellStart"/>
            <w:r w:rsidRPr="00567D48">
              <w:rPr>
                <w:rFonts w:asciiTheme="minorHAnsi" w:hAnsiTheme="minorHAnsi" w:cs="Arial"/>
                <w:color w:val="000000"/>
                <w:sz w:val="18"/>
                <w:szCs w:val="18"/>
              </w:rPr>
              <w:t>larotrectinib</w:t>
            </w:r>
            <w:proofErr w:type="spellEnd"/>
            <w:r w:rsidRPr="00567D48">
              <w:rPr>
                <w:rFonts w:asciiTheme="minorHAnsi" w:hAnsiTheme="minorHAnsi" w:cs="Arial"/>
                <w:color w:val="000000"/>
                <w:sz w:val="18"/>
                <w:szCs w:val="18"/>
              </w:rPr>
              <w:t xml:space="preserve"> for adult low frequency NTRK gene fusion population. Bayer maintains </w:t>
            </w:r>
            <w:proofErr w:type="spellStart"/>
            <w:r w:rsidRPr="00567D48">
              <w:rPr>
                <w:rFonts w:asciiTheme="minorHAnsi" w:hAnsiTheme="minorHAnsi" w:cs="Arial"/>
                <w:color w:val="000000"/>
                <w:sz w:val="18"/>
                <w:szCs w:val="18"/>
              </w:rPr>
              <w:t>larotrectinib</w:t>
            </w:r>
            <w:proofErr w:type="spellEnd"/>
            <w:r w:rsidRPr="00567D48">
              <w:rPr>
                <w:rFonts w:asciiTheme="minorHAnsi" w:hAnsiTheme="minorHAnsi" w:cs="Arial"/>
                <w:color w:val="000000"/>
                <w:sz w:val="18"/>
                <w:szCs w:val="18"/>
              </w:rPr>
              <w:t xml:space="preserve"> provides significant clinically relevant benefit for all patients with solid tumours harbouring a NTRK gene fusion. Bayer will continue to work with the PBAC and collaborate with all stakeholders to find a suitable path forward for the adult with low frequency NTRK gene fusion patient population.</w:t>
            </w:r>
          </w:p>
          <w:p w14:paraId="69726B41" w14:textId="77777777" w:rsidR="00E52222" w:rsidRPr="00567D48" w:rsidRDefault="00E52222" w:rsidP="007F61AB">
            <w:pPr>
              <w:rPr>
                <w:rFonts w:asciiTheme="minorHAnsi" w:eastAsia="Calibri" w:hAnsiTheme="minorHAnsi" w:cs="Arial"/>
                <w:sz w:val="18"/>
                <w:szCs w:val="18"/>
                <w:u w:val="single"/>
              </w:rPr>
            </w:pPr>
          </w:p>
        </w:tc>
      </w:tr>
      <w:tr w:rsidR="00821923" w:rsidRPr="00567D48" w14:paraId="63960DDC" w14:textId="77777777" w:rsidTr="00F00B7A">
        <w:trPr>
          <w:cantSplit/>
          <w:trHeight w:val="2418"/>
        </w:trPr>
        <w:tc>
          <w:tcPr>
            <w:tcW w:w="2972" w:type="dxa"/>
            <w:vMerge w:val="restart"/>
            <w:shd w:val="clear" w:color="auto" w:fill="auto"/>
            <w:tcMar>
              <w:top w:w="28" w:type="dxa"/>
              <w:bottom w:w="28" w:type="dxa"/>
            </w:tcMar>
            <w:vAlign w:val="center"/>
          </w:tcPr>
          <w:p w14:paraId="3100B0BD" w14:textId="11DC8564" w:rsidR="00821923" w:rsidRPr="00567D48" w:rsidRDefault="00821923"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 xml:space="preserve">MECASERMIN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Solution for injection 40 mg in 4 mL vial</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Increlex</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Ipsen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1 submission</w:t>
            </w:r>
            <w:r w:rsidRPr="00567D48">
              <w:rPr>
                <w:rFonts w:asciiTheme="minorHAnsi" w:hAnsiTheme="minorHAnsi" w:cs="Arial"/>
                <w:color w:val="000000"/>
                <w:sz w:val="18"/>
                <w:szCs w:val="18"/>
              </w:rPr>
              <w:br/>
              <w:t>(New PBS listing)</w:t>
            </w:r>
          </w:p>
        </w:tc>
        <w:tc>
          <w:tcPr>
            <w:tcW w:w="2491" w:type="dxa"/>
            <w:vMerge w:val="restart"/>
            <w:shd w:val="clear" w:color="auto" w:fill="auto"/>
            <w:vAlign w:val="center"/>
          </w:tcPr>
          <w:p w14:paraId="028922DF" w14:textId="79D74010" w:rsidR="00821923" w:rsidRPr="00567D48" w:rsidRDefault="00821923"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Primary insulin-like growth factor 1 deficiency (Primary IGFD)</w:t>
            </w:r>
          </w:p>
        </w:tc>
        <w:tc>
          <w:tcPr>
            <w:tcW w:w="0" w:type="auto"/>
            <w:vMerge w:val="restart"/>
            <w:shd w:val="clear" w:color="auto" w:fill="auto"/>
            <w:tcMar>
              <w:top w:w="28" w:type="dxa"/>
              <w:bottom w:w="28" w:type="dxa"/>
            </w:tcMar>
            <w:vAlign w:val="center"/>
          </w:tcPr>
          <w:p w14:paraId="620B812D" w14:textId="51C1ADF5" w:rsidR="00821923" w:rsidRPr="00567D48" w:rsidRDefault="00821923"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a Section 100 Authority Required (Written) listing for the treatment of children and adolescents with growth failure due to primary IGFD.</w:t>
            </w:r>
          </w:p>
        </w:tc>
        <w:tc>
          <w:tcPr>
            <w:tcW w:w="0" w:type="auto"/>
            <w:vMerge w:val="restart"/>
            <w:shd w:val="clear" w:color="auto" w:fill="auto"/>
            <w:vAlign w:val="center"/>
          </w:tcPr>
          <w:p w14:paraId="6E679614" w14:textId="0E3B6B7F" w:rsidR="00821923" w:rsidRPr="00567D48" w:rsidRDefault="00821923"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Not Recommended</w:t>
            </w:r>
          </w:p>
        </w:tc>
        <w:tc>
          <w:tcPr>
            <w:tcW w:w="0" w:type="auto"/>
            <w:shd w:val="clear" w:color="auto" w:fill="auto"/>
            <w:vAlign w:val="center"/>
          </w:tcPr>
          <w:p w14:paraId="2DA5AACE" w14:textId="5DD51F46" w:rsidR="00821923" w:rsidRPr="00567D48" w:rsidRDefault="00821923" w:rsidP="00CE5CA9">
            <w:pPr>
              <w:rPr>
                <w:rFonts w:asciiTheme="minorHAnsi" w:hAnsiTheme="minorHAnsi" w:cs="Arial"/>
                <w:color w:val="000000"/>
                <w:sz w:val="18"/>
                <w:szCs w:val="18"/>
              </w:rPr>
            </w:pPr>
            <w:r w:rsidRPr="00567D48">
              <w:rPr>
                <w:rFonts w:asciiTheme="minorHAnsi" w:hAnsiTheme="minorHAnsi" w:cs="Arial"/>
                <w:color w:val="000000"/>
                <w:sz w:val="18"/>
                <w:szCs w:val="18"/>
              </w:rPr>
              <w:t xml:space="preserve">The PBAC did not recommend </w:t>
            </w:r>
            <w:proofErr w:type="spellStart"/>
            <w:r w:rsidRPr="00567D48">
              <w:rPr>
                <w:rFonts w:asciiTheme="minorHAnsi" w:hAnsiTheme="minorHAnsi" w:cs="Arial"/>
                <w:color w:val="000000"/>
                <w:sz w:val="18"/>
                <w:szCs w:val="18"/>
              </w:rPr>
              <w:t>mecasermin</w:t>
            </w:r>
            <w:proofErr w:type="spellEnd"/>
            <w:r w:rsidRPr="00567D48">
              <w:rPr>
                <w:rFonts w:asciiTheme="minorHAnsi" w:hAnsiTheme="minorHAnsi" w:cs="Arial"/>
                <w:color w:val="000000"/>
                <w:sz w:val="18"/>
                <w:szCs w:val="18"/>
              </w:rPr>
              <w:t xml:space="preserve"> for the long-term treatment of growth failure in children and adolescents from 2 to 18 years with severe Primary IGFD. The PBAC noted that no other therapies are currently available for this condition. The PBAC considered that a claim of superior efficacy was reasonable based on improved height outcomes, however </w:t>
            </w:r>
            <w:proofErr w:type="spellStart"/>
            <w:r w:rsidRPr="00567D48">
              <w:rPr>
                <w:rFonts w:asciiTheme="minorHAnsi" w:hAnsiTheme="minorHAnsi" w:cs="Arial"/>
                <w:color w:val="000000"/>
                <w:sz w:val="18"/>
                <w:szCs w:val="18"/>
              </w:rPr>
              <w:t>mecasermin</w:t>
            </w:r>
            <w:proofErr w:type="spellEnd"/>
            <w:r w:rsidRPr="00567D48">
              <w:rPr>
                <w:rFonts w:asciiTheme="minorHAnsi" w:hAnsiTheme="minorHAnsi" w:cs="Arial"/>
                <w:color w:val="000000"/>
                <w:sz w:val="18"/>
                <w:szCs w:val="18"/>
              </w:rPr>
              <w:t xml:space="preserve"> has inferior safety when compared with no treatment. The PBAC considered the proposed PBS criteria inadequately defined the appropriate patient population. The PBAC considered that the incremental cost effectiveness ratio was high and uncertain at the proposed price, and that further validation of the estimated utilisation was required. </w:t>
            </w:r>
          </w:p>
          <w:p w14:paraId="0093E2B6" w14:textId="77777777" w:rsidR="00821923" w:rsidRPr="00567D48" w:rsidRDefault="00821923" w:rsidP="00CE5CA9">
            <w:pPr>
              <w:rPr>
                <w:rFonts w:asciiTheme="minorHAnsi" w:hAnsiTheme="minorHAnsi" w:cs="Arial"/>
                <w:color w:val="000000"/>
                <w:sz w:val="18"/>
                <w:szCs w:val="18"/>
              </w:rPr>
            </w:pPr>
          </w:p>
          <w:p w14:paraId="16F58257" w14:textId="5F64B737" w:rsidR="00821923" w:rsidRPr="00567D48" w:rsidRDefault="00821923" w:rsidP="00CE5CA9">
            <w:pPr>
              <w:rPr>
                <w:rFonts w:asciiTheme="minorHAnsi" w:hAnsiTheme="minorHAnsi" w:cs="Arial"/>
                <w:snapToGrid w:val="0"/>
                <w:sz w:val="18"/>
                <w:szCs w:val="18"/>
                <w:lang w:eastAsia="en-US"/>
              </w:rPr>
            </w:pPr>
            <w:r w:rsidRPr="00567D48">
              <w:rPr>
                <w:rFonts w:asciiTheme="minorHAnsi" w:hAnsiTheme="minorHAnsi" w:cs="Arial"/>
                <w:color w:val="000000"/>
                <w:sz w:val="18"/>
                <w:szCs w:val="18"/>
              </w:rPr>
              <w:t>The PBAC nominated the Early Re-entry re-submission pathway for this item.</w:t>
            </w:r>
          </w:p>
        </w:tc>
      </w:tr>
      <w:tr w:rsidR="00821923" w:rsidRPr="00567D48" w14:paraId="6F09FCEF" w14:textId="77777777" w:rsidTr="00F00B7A">
        <w:trPr>
          <w:cantSplit/>
          <w:trHeight w:val="2418"/>
        </w:trPr>
        <w:tc>
          <w:tcPr>
            <w:tcW w:w="2972" w:type="dxa"/>
            <w:vMerge/>
            <w:shd w:val="clear" w:color="auto" w:fill="auto"/>
            <w:tcMar>
              <w:top w:w="28" w:type="dxa"/>
              <w:bottom w:w="28" w:type="dxa"/>
            </w:tcMar>
            <w:vAlign w:val="center"/>
          </w:tcPr>
          <w:p w14:paraId="71E321B2" w14:textId="77777777" w:rsidR="00821923" w:rsidRPr="00567D48" w:rsidRDefault="00821923" w:rsidP="00124585">
            <w:pPr>
              <w:keepLines/>
              <w:spacing w:after="120"/>
              <w:rPr>
                <w:rFonts w:asciiTheme="minorHAnsi" w:hAnsiTheme="minorHAnsi" w:cs="Arial"/>
                <w:color w:val="000000"/>
                <w:sz w:val="18"/>
                <w:szCs w:val="18"/>
              </w:rPr>
            </w:pPr>
          </w:p>
        </w:tc>
        <w:tc>
          <w:tcPr>
            <w:tcW w:w="2491" w:type="dxa"/>
            <w:vMerge/>
            <w:shd w:val="clear" w:color="auto" w:fill="auto"/>
            <w:vAlign w:val="center"/>
          </w:tcPr>
          <w:p w14:paraId="31909BDB" w14:textId="77777777" w:rsidR="00821923" w:rsidRPr="00567D48" w:rsidRDefault="00821923" w:rsidP="00124585">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13B7F382" w14:textId="77777777" w:rsidR="00821923" w:rsidRPr="00567D48" w:rsidRDefault="00821923" w:rsidP="00124585">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130578A1" w14:textId="77777777" w:rsidR="00821923" w:rsidRPr="00567D48" w:rsidRDefault="00821923" w:rsidP="00124585">
            <w:pPr>
              <w:pStyle w:val="ListParagraph"/>
              <w:keepLines/>
              <w:spacing w:after="120"/>
              <w:ind w:left="0"/>
              <w:rPr>
                <w:rFonts w:asciiTheme="minorHAnsi" w:hAnsiTheme="minorHAnsi" w:cs="Arial"/>
                <w:color w:val="000000"/>
                <w:sz w:val="18"/>
                <w:szCs w:val="18"/>
              </w:rPr>
            </w:pPr>
          </w:p>
        </w:tc>
        <w:tc>
          <w:tcPr>
            <w:tcW w:w="0" w:type="auto"/>
            <w:shd w:val="clear" w:color="auto" w:fill="auto"/>
          </w:tcPr>
          <w:p w14:paraId="53F16705" w14:textId="52520674" w:rsidR="00821923" w:rsidRPr="00567D48" w:rsidRDefault="00821923" w:rsidP="00504D6F">
            <w:pPr>
              <w:rPr>
                <w:rFonts w:asciiTheme="minorHAnsi" w:hAnsiTheme="minorHAnsi" w:cs="Arial"/>
                <w:color w:val="000000"/>
                <w:sz w:val="18"/>
                <w:szCs w:val="18"/>
              </w:rPr>
            </w:pPr>
            <w:r w:rsidRPr="00567D48">
              <w:rPr>
                <w:rFonts w:asciiTheme="minorHAnsi" w:hAnsiTheme="minorHAnsi" w:cs="Arial"/>
                <w:color w:val="000000"/>
                <w:sz w:val="18"/>
                <w:szCs w:val="18"/>
                <w:u w:val="single"/>
              </w:rPr>
              <w:t>Sponsor’s comment</w:t>
            </w:r>
            <w:r w:rsidRPr="00567D48">
              <w:rPr>
                <w:rFonts w:asciiTheme="minorHAnsi" w:hAnsiTheme="minorHAnsi" w:cs="Arial"/>
                <w:color w:val="000000"/>
                <w:sz w:val="18"/>
                <w:szCs w:val="18"/>
              </w:rPr>
              <w:t>:</w:t>
            </w:r>
            <w:r w:rsidR="00B64DCA" w:rsidRPr="00567D48">
              <w:rPr>
                <w:rFonts w:asciiTheme="minorHAnsi" w:hAnsiTheme="minorHAnsi" w:cs="Arial"/>
                <w:color w:val="000000"/>
                <w:sz w:val="18"/>
                <w:szCs w:val="18"/>
              </w:rPr>
              <w:t xml:space="preserve"> Ipsen thanks the PBAC for their recognition of the unmet need in patients with </w:t>
            </w:r>
            <w:r w:rsidR="003F29E1" w:rsidRPr="00567D48">
              <w:rPr>
                <w:rFonts w:asciiTheme="minorHAnsi" w:hAnsiTheme="minorHAnsi" w:cs="Arial"/>
                <w:color w:val="000000"/>
                <w:sz w:val="18"/>
                <w:szCs w:val="18"/>
              </w:rPr>
              <w:t xml:space="preserve">severe </w:t>
            </w:r>
            <w:r w:rsidR="00B64DCA" w:rsidRPr="00567D48">
              <w:rPr>
                <w:rFonts w:asciiTheme="minorHAnsi" w:hAnsiTheme="minorHAnsi" w:cs="Arial"/>
                <w:color w:val="000000"/>
                <w:sz w:val="18"/>
                <w:szCs w:val="18"/>
              </w:rPr>
              <w:t>P</w:t>
            </w:r>
            <w:r w:rsidR="003F29E1" w:rsidRPr="00567D48">
              <w:rPr>
                <w:rFonts w:asciiTheme="minorHAnsi" w:hAnsiTheme="minorHAnsi" w:cs="Arial"/>
                <w:color w:val="000000"/>
                <w:sz w:val="18"/>
                <w:szCs w:val="18"/>
              </w:rPr>
              <w:t xml:space="preserve">rimary </w:t>
            </w:r>
            <w:r w:rsidR="00B64DCA" w:rsidRPr="00567D48">
              <w:rPr>
                <w:rFonts w:asciiTheme="minorHAnsi" w:hAnsiTheme="minorHAnsi" w:cs="Arial"/>
                <w:color w:val="000000"/>
                <w:sz w:val="18"/>
                <w:szCs w:val="18"/>
              </w:rPr>
              <w:t>IGFD, and looks forward to further working with the committee in order to reach an outcome for children with this rare condition.</w:t>
            </w:r>
          </w:p>
        </w:tc>
      </w:tr>
      <w:tr w:rsidR="00821923" w:rsidRPr="00567D48" w14:paraId="78A51A1E" w14:textId="77777777" w:rsidTr="00F00B7A">
        <w:trPr>
          <w:cantSplit/>
          <w:trHeight w:val="2742"/>
        </w:trPr>
        <w:tc>
          <w:tcPr>
            <w:tcW w:w="2972" w:type="dxa"/>
            <w:vMerge w:val="restart"/>
            <w:shd w:val="clear" w:color="auto" w:fill="auto"/>
            <w:tcMar>
              <w:top w:w="28" w:type="dxa"/>
              <w:bottom w:w="28" w:type="dxa"/>
            </w:tcMar>
            <w:vAlign w:val="center"/>
          </w:tcPr>
          <w:p w14:paraId="49B41DFC" w14:textId="09D43911" w:rsidR="00821923" w:rsidRPr="00567D48" w:rsidRDefault="00821923"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 xml:space="preserve">MEPOLIZUMAB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Injection 100 mg in 1 mL single dose pre-filled pen</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Nucala®</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GlaxoSmithKline Australia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1 submission</w:t>
            </w:r>
            <w:r w:rsidRPr="00567D48">
              <w:rPr>
                <w:rFonts w:asciiTheme="minorHAnsi" w:hAnsiTheme="minorHAnsi" w:cs="Arial"/>
                <w:color w:val="000000"/>
                <w:sz w:val="18"/>
                <w:szCs w:val="18"/>
              </w:rPr>
              <w:br/>
              <w:t>(Change to PBS listing)</w:t>
            </w:r>
          </w:p>
        </w:tc>
        <w:tc>
          <w:tcPr>
            <w:tcW w:w="2491" w:type="dxa"/>
            <w:vMerge w:val="restart"/>
            <w:shd w:val="clear" w:color="auto" w:fill="auto"/>
            <w:vAlign w:val="center"/>
          </w:tcPr>
          <w:p w14:paraId="1DEF3A65" w14:textId="2D9DF148" w:rsidR="00821923" w:rsidRPr="00567D48" w:rsidRDefault="00821923"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Chronic rhinosinusitis with nasal polyps</w:t>
            </w:r>
          </w:p>
        </w:tc>
        <w:tc>
          <w:tcPr>
            <w:tcW w:w="0" w:type="auto"/>
            <w:vMerge w:val="restart"/>
            <w:shd w:val="clear" w:color="auto" w:fill="auto"/>
            <w:tcMar>
              <w:top w:w="28" w:type="dxa"/>
              <w:bottom w:w="28" w:type="dxa"/>
            </w:tcMar>
            <w:vAlign w:val="center"/>
          </w:tcPr>
          <w:p w14:paraId="7D9FF31A" w14:textId="1F3E2229" w:rsidR="00821923" w:rsidRPr="00567D48" w:rsidRDefault="00821923"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a Section 100 (Highly Specialised Drugs Program) Authority Required (Written) listing for the treatment of chronic rhinosinusitis with nasal polyps.</w:t>
            </w:r>
          </w:p>
        </w:tc>
        <w:tc>
          <w:tcPr>
            <w:tcW w:w="0" w:type="auto"/>
            <w:vMerge w:val="restart"/>
            <w:shd w:val="clear" w:color="auto" w:fill="auto"/>
            <w:vAlign w:val="center"/>
          </w:tcPr>
          <w:p w14:paraId="7C3E3868" w14:textId="2DB151EB" w:rsidR="00821923" w:rsidRPr="00567D48" w:rsidRDefault="00821923"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Not Recommended</w:t>
            </w:r>
          </w:p>
        </w:tc>
        <w:tc>
          <w:tcPr>
            <w:tcW w:w="0" w:type="auto"/>
            <w:shd w:val="clear" w:color="auto" w:fill="auto"/>
            <w:vAlign w:val="bottom"/>
          </w:tcPr>
          <w:p w14:paraId="7A06F9AB" w14:textId="1459B325" w:rsidR="00821923" w:rsidRPr="00567D48" w:rsidRDefault="00821923" w:rsidP="00CE5CA9">
            <w:pPr>
              <w:rPr>
                <w:rFonts w:asciiTheme="minorHAnsi" w:hAnsiTheme="minorHAnsi" w:cs="Arial"/>
                <w:snapToGrid w:val="0"/>
                <w:sz w:val="18"/>
                <w:szCs w:val="18"/>
                <w:lang w:eastAsia="en-US"/>
              </w:rPr>
            </w:pPr>
            <w:r w:rsidRPr="00567D48">
              <w:rPr>
                <w:rFonts w:asciiTheme="minorHAnsi" w:hAnsiTheme="minorHAnsi" w:cs="Arial"/>
                <w:color w:val="000000"/>
                <w:sz w:val="18"/>
                <w:szCs w:val="18"/>
              </w:rPr>
              <w:t xml:space="preserve">The PBAC did not recommend mepolizumab for treatment of chronic rhinosinusitis (CRS) with nasal polyps (NP; collectively </w:t>
            </w:r>
            <w:proofErr w:type="spellStart"/>
            <w:r w:rsidRPr="00567D48">
              <w:rPr>
                <w:rFonts w:asciiTheme="minorHAnsi" w:hAnsiTheme="minorHAnsi" w:cs="Arial"/>
                <w:color w:val="000000"/>
                <w:sz w:val="18"/>
                <w:szCs w:val="18"/>
              </w:rPr>
              <w:t>CRSwNP</w:t>
            </w:r>
            <w:proofErr w:type="spellEnd"/>
            <w:r w:rsidRPr="00567D48">
              <w:rPr>
                <w:rFonts w:asciiTheme="minorHAnsi" w:hAnsiTheme="minorHAnsi" w:cs="Arial"/>
                <w:color w:val="000000"/>
                <w:sz w:val="18"/>
                <w:szCs w:val="18"/>
              </w:rPr>
              <w:t xml:space="preserve">) for patients who have received at least one previous surgery for the removal of NP. Overall, the PBAC considered the clinical claim of superior effectiveness compared SoC was reasonable in patients with </w:t>
            </w:r>
            <w:proofErr w:type="spellStart"/>
            <w:r w:rsidRPr="00567D48">
              <w:rPr>
                <w:rFonts w:asciiTheme="minorHAnsi" w:hAnsiTheme="minorHAnsi" w:cs="Arial"/>
                <w:color w:val="000000"/>
                <w:sz w:val="18"/>
                <w:szCs w:val="18"/>
              </w:rPr>
              <w:t>CRSwNP</w:t>
            </w:r>
            <w:proofErr w:type="spellEnd"/>
            <w:r w:rsidRPr="00567D48">
              <w:rPr>
                <w:rFonts w:asciiTheme="minorHAnsi" w:hAnsiTheme="minorHAnsi" w:cs="Arial"/>
                <w:color w:val="000000"/>
                <w:sz w:val="18"/>
                <w:szCs w:val="18"/>
              </w:rPr>
              <w:t>. However, the PBAC considered the blood eosinophil count (BEC) threshold for access to mepolizumab should be increased from ≥150 cells/µL to ≥300 cells/µL. The PBAC considered that the submission had underestimated the incremental cost-effectiveness ratio (ICER) due to reliance on optimistic assumptions and inputs in the economic model. The PBAC considered the revised base case proposed by ESC was appropriate and that the resulting revised ICER high and uncertain at the proposed price. The PBAC considered the financial estimates were highly uncertain and advised that a Risk Sharing Arrangement would be required if patients unsuitable for surgery were to be included.</w:t>
            </w:r>
          </w:p>
        </w:tc>
      </w:tr>
      <w:tr w:rsidR="00821923" w:rsidRPr="00567D48" w14:paraId="25F44368" w14:textId="77777777" w:rsidTr="00F00B7A">
        <w:trPr>
          <w:cantSplit/>
          <w:trHeight w:val="2742"/>
        </w:trPr>
        <w:tc>
          <w:tcPr>
            <w:tcW w:w="2972" w:type="dxa"/>
            <w:vMerge/>
            <w:shd w:val="clear" w:color="auto" w:fill="auto"/>
            <w:tcMar>
              <w:top w:w="28" w:type="dxa"/>
              <w:bottom w:w="28" w:type="dxa"/>
            </w:tcMar>
            <w:vAlign w:val="center"/>
          </w:tcPr>
          <w:p w14:paraId="420DA05D" w14:textId="77777777" w:rsidR="00821923" w:rsidRPr="00567D48" w:rsidRDefault="00821923" w:rsidP="00124585">
            <w:pPr>
              <w:keepLines/>
              <w:spacing w:after="120"/>
              <w:rPr>
                <w:rFonts w:asciiTheme="minorHAnsi" w:hAnsiTheme="minorHAnsi" w:cs="Arial"/>
                <w:color w:val="000000"/>
                <w:sz w:val="18"/>
                <w:szCs w:val="18"/>
              </w:rPr>
            </w:pPr>
          </w:p>
        </w:tc>
        <w:tc>
          <w:tcPr>
            <w:tcW w:w="2491" w:type="dxa"/>
            <w:vMerge/>
            <w:shd w:val="clear" w:color="auto" w:fill="auto"/>
            <w:vAlign w:val="center"/>
          </w:tcPr>
          <w:p w14:paraId="1FCDEDC9" w14:textId="77777777" w:rsidR="00821923" w:rsidRPr="00567D48" w:rsidRDefault="00821923" w:rsidP="00124585">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3A27F9A8" w14:textId="77777777" w:rsidR="00821923" w:rsidRPr="00567D48" w:rsidRDefault="00821923" w:rsidP="00124585">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2AA1805E" w14:textId="77777777" w:rsidR="00821923" w:rsidRPr="00567D48" w:rsidRDefault="00821923" w:rsidP="00124585">
            <w:pPr>
              <w:pStyle w:val="ListParagraph"/>
              <w:keepLines/>
              <w:spacing w:after="120"/>
              <w:ind w:left="0"/>
              <w:rPr>
                <w:rFonts w:asciiTheme="minorHAnsi" w:hAnsiTheme="minorHAnsi" w:cs="Arial"/>
                <w:color w:val="000000"/>
                <w:sz w:val="18"/>
                <w:szCs w:val="18"/>
              </w:rPr>
            </w:pPr>
          </w:p>
        </w:tc>
        <w:tc>
          <w:tcPr>
            <w:tcW w:w="0" w:type="auto"/>
            <w:shd w:val="clear" w:color="auto" w:fill="auto"/>
          </w:tcPr>
          <w:p w14:paraId="10C663ED" w14:textId="27480DE3" w:rsidR="00821923" w:rsidRPr="00567D48" w:rsidRDefault="00821923" w:rsidP="00821923">
            <w:pPr>
              <w:rPr>
                <w:rFonts w:asciiTheme="minorHAnsi" w:hAnsiTheme="minorHAnsi" w:cs="Arial"/>
                <w:color w:val="000000"/>
                <w:sz w:val="18"/>
                <w:szCs w:val="18"/>
              </w:rPr>
            </w:pPr>
            <w:r w:rsidRPr="00567D48">
              <w:rPr>
                <w:rFonts w:asciiTheme="minorHAnsi" w:hAnsiTheme="minorHAnsi" w:cs="Arial"/>
                <w:color w:val="000000"/>
                <w:sz w:val="18"/>
                <w:szCs w:val="18"/>
                <w:u w:val="single"/>
              </w:rPr>
              <w:t>Sponsor’s comment</w:t>
            </w:r>
            <w:r w:rsidRPr="00567D48">
              <w:rPr>
                <w:rFonts w:asciiTheme="minorHAnsi" w:hAnsiTheme="minorHAnsi" w:cs="Arial"/>
                <w:color w:val="000000"/>
                <w:sz w:val="18"/>
                <w:szCs w:val="18"/>
              </w:rPr>
              <w:t>:</w:t>
            </w:r>
            <w:r w:rsidR="00716C0F" w:rsidRPr="00567D48">
              <w:rPr>
                <w:rFonts w:asciiTheme="minorHAnsi" w:hAnsiTheme="minorHAnsi" w:cs="Arial"/>
                <w:color w:val="000000"/>
                <w:sz w:val="18"/>
                <w:szCs w:val="18"/>
              </w:rPr>
              <w:t xml:space="preserve"> GSK looks forward to working with the PBAC to ensure timely access to mepolizumab (Nucala) for people with chronic rhinosinusitis with nasal polyps (</w:t>
            </w:r>
            <w:proofErr w:type="spellStart"/>
            <w:r w:rsidR="00716C0F" w:rsidRPr="00567D48">
              <w:rPr>
                <w:rFonts w:asciiTheme="minorHAnsi" w:hAnsiTheme="minorHAnsi" w:cs="Arial"/>
                <w:color w:val="000000"/>
                <w:sz w:val="18"/>
                <w:szCs w:val="18"/>
              </w:rPr>
              <w:t>CRSwNP</w:t>
            </w:r>
            <w:proofErr w:type="spellEnd"/>
            <w:r w:rsidR="00716C0F" w:rsidRPr="00567D48">
              <w:rPr>
                <w:rFonts w:asciiTheme="minorHAnsi" w:hAnsiTheme="minorHAnsi" w:cs="Arial"/>
                <w:color w:val="000000"/>
                <w:sz w:val="18"/>
                <w:szCs w:val="18"/>
              </w:rPr>
              <w:t>), a chronic condition with limited treatment options currently available in Australia</w:t>
            </w:r>
            <w:r w:rsidR="00957F66" w:rsidRPr="00567D48">
              <w:rPr>
                <w:rFonts w:asciiTheme="minorHAnsi" w:hAnsiTheme="minorHAnsi" w:cs="Arial"/>
                <w:color w:val="000000"/>
                <w:sz w:val="18"/>
                <w:szCs w:val="18"/>
              </w:rPr>
              <w:t xml:space="preserve">. </w:t>
            </w:r>
          </w:p>
        </w:tc>
      </w:tr>
      <w:tr w:rsidR="00821923" w:rsidRPr="00567D48" w14:paraId="50822294" w14:textId="77777777" w:rsidTr="00567D48">
        <w:trPr>
          <w:cantSplit/>
          <w:trHeight w:val="1368"/>
        </w:trPr>
        <w:tc>
          <w:tcPr>
            <w:tcW w:w="2972" w:type="dxa"/>
            <w:vMerge w:val="restart"/>
            <w:shd w:val="clear" w:color="auto" w:fill="auto"/>
            <w:tcMar>
              <w:top w:w="28" w:type="dxa"/>
              <w:bottom w:w="28" w:type="dxa"/>
            </w:tcMar>
            <w:vAlign w:val="center"/>
          </w:tcPr>
          <w:p w14:paraId="7C24CF45" w14:textId="06A061BE" w:rsidR="00821923" w:rsidRPr="00567D48" w:rsidRDefault="00821923"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 xml:space="preserve">NIVOLUMAB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Injection concentrate for I.V. infusion 40 mg in 4 mL</w:t>
            </w:r>
            <w:r w:rsidRPr="00567D48">
              <w:rPr>
                <w:rFonts w:asciiTheme="minorHAnsi" w:hAnsiTheme="minorHAnsi" w:cs="Arial"/>
                <w:color w:val="000000"/>
                <w:sz w:val="18"/>
                <w:szCs w:val="18"/>
              </w:rPr>
              <w:br/>
              <w:t>Injection concentrate for I.V. infusion 100 mg in 10 mL</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Opdivo</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Bristol-Myers Squibb Australia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2 submission</w:t>
            </w:r>
            <w:r w:rsidRPr="00567D48">
              <w:rPr>
                <w:rFonts w:asciiTheme="minorHAnsi" w:hAnsiTheme="minorHAnsi" w:cs="Arial"/>
                <w:color w:val="000000"/>
                <w:sz w:val="18"/>
                <w:szCs w:val="18"/>
              </w:rPr>
              <w:br/>
              <w:t>(Change to PBS listing)</w:t>
            </w:r>
          </w:p>
        </w:tc>
        <w:tc>
          <w:tcPr>
            <w:tcW w:w="2491" w:type="dxa"/>
            <w:vMerge w:val="restart"/>
            <w:shd w:val="clear" w:color="auto" w:fill="auto"/>
            <w:vAlign w:val="center"/>
          </w:tcPr>
          <w:p w14:paraId="2B307A50" w14:textId="01CB7394" w:rsidR="00821923" w:rsidRPr="00567D48" w:rsidRDefault="00821923" w:rsidP="002D37D6">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Non-human epidermal growth factor receptor 2 (HER-2) positive gastric cancer, gastroesophageal junction cancer or oesophageal adenocarcinoma</w:t>
            </w:r>
          </w:p>
        </w:tc>
        <w:tc>
          <w:tcPr>
            <w:tcW w:w="0" w:type="auto"/>
            <w:vMerge w:val="restart"/>
            <w:shd w:val="clear" w:color="auto" w:fill="auto"/>
            <w:tcMar>
              <w:top w:w="28" w:type="dxa"/>
              <w:bottom w:w="28" w:type="dxa"/>
            </w:tcMar>
            <w:vAlign w:val="center"/>
          </w:tcPr>
          <w:p w14:paraId="7DD1066E" w14:textId="0ECA54D3" w:rsidR="00821923" w:rsidRPr="00567D48" w:rsidRDefault="00821923"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a Section 100 (Efficient Funding of Chemotherapy Program) Authority Required (STREAMLINED) listing for the first-line treatment of patients with advanced or metastatic non-HER-2-positive gastric cancer, gastroesophageal junction cancer or oesophageal adenocarcinoma.</w:t>
            </w:r>
          </w:p>
        </w:tc>
        <w:tc>
          <w:tcPr>
            <w:tcW w:w="0" w:type="auto"/>
            <w:vMerge w:val="restart"/>
            <w:shd w:val="clear" w:color="auto" w:fill="auto"/>
            <w:vAlign w:val="center"/>
          </w:tcPr>
          <w:p w14:paraId="56F0B314" w14:textId="0324D59C" w:rsidR="00821923" w:rsidRPr="00567D48" w:rsidRDefault="00821923"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Not Recommended</w:t>
            </w:r>
          </w:p>
        </w:tc>
        <w:tc>
          <w:tcPr>
            <w:tcW w:w="0" w:type="auto"/>
            <w:shd w:val="clear" w:color="auto" w:fill="auto"/>
          </w:tcPr>
          <w:p w14:paraId="08206914" w14:textId="1B396B4F" w:rsidR="00821923" w:rsidRPr="00567D48" w:rsidRDefault="00821923" w:rsidP="00821923">
            <w:pPr>
              <w:rPr>
                <w:rFonts w:asciiTheme="minorHAnsi" w:hAnsiTheme="minorHAnsi" w:cs="Arial"/>
                <w:color w:val="000000"/>
                <w:sz w:val="18"/>
                <w:szCs w:val="18"/>
              </w:rPr>
            </w:pPr>
            <w:r w:rsidRPr="00567D48">
              <w:rPr>
                <w:rFonts w:asciiTheme="minorHAnsi" w:hAnsiTheme="minorHAnsi" w:cs="Arial"/>
                <w:color w:val="000000"/>
                <w:sz w:val="18"/>
                <w:szCs w:val="18"/>
              </w:rPr>
              <w:t xml:space="preserve">The PBAC did not recommend the listing of nivolumab in combination with chemotherapy for the treatment of treatment of advanced or metastatic non-HER-2 positive advanced or metastatic gastric cancer, gastro-oesophageal junction cancer, or oesophageal adenocarcinoma. The PBAC noted that the clinical need for effective treatments in this therapeutic area is high, given the poor prognosis for patients and the poor efficacy and high toxicity of current treatments. The PBAC considered the evidence presented demonstrated treatment with nivolumab resulted in a clinically meaningful improvement in progression free survival and overall survival. However, the PBAC considered the incremental cost-effectiveness ratio in this setting at the proposed price was high and moderately uncertain. </w:t>
            </w:r>
          </w:p>
          <w:p w14:paraId="031A2CA3" w14:textId="77777777" w:rsidR="00821923" w:rsidRPr="00567D48" w:rsidRDefault="00821923" w:rsidP="00821923">
            <w:pPr>
              <w:rPr>
                <w:rFonts w:asciiTheme="minorHAnsi" w:hAnsiTheme="minorHAnsi" w:cs="Arial"/>
                <w:color w:val="000000"/>
                <w:sz w:val="18"/>
                <w:szCs w:val="18"/>
              </w:rPr>
            </w:pPr>
          </w:p>
          <w:p w14:paraId="6B12EFB0" w14:textId="7A52F620" w:rsidR="00821923" w:rsidRPr="00567D48" w:rsidRDefault="00821923" w:rsidP="00821923">
            <w:pPr>
              <w:rPr>
                <w:rFonts w:asciiTheme="minorHAnsi" w:hAnsiTheme="minorHAnsi" w:cs="Arial"/>
                <w:snapToGrid w:val="0"/>
                <w:sz w:val="18"/>
                <w:szCs w:val="18"/>
                <w:lang w:eastAsia="en-US"/>
              </w:rPr>
            </w:pPr>
            <w:r w:rsidRPr="00567D48">
              <w:rPr>
                <w:rFonts w:asciiTheme="minorHAnsi" w:hAnsiTheme="minorHAnsi" w:cs="Arial"/>
                <w:color w:val="000000"/>
                <w:sz w:val="18"/>
                <w:szCs w:val="18"/>
              </w:rPr>
              <w:t>The PBAC nominated the Early Resolution re-submission pathway for this item.</w:t>
            </w:r>
          </w:p>
        </w:tc>
      </w:tr>
      <w:tr w:rsidR="00821923" w:rsidRPr="00567D48" w14:paraId="6BCA2D06" w14:textId="77777777" w:rsidTr="00F00B7A">
        <w:trPr>
          <w:cantSplit/>
          <w:trHeight w:val="2580"/>
        </w:trPr>
        <w:tc>
          <w:tcPr>
            <w:tcW w:w="2972" w:type="dxa"/>
            <w:vMerge/>
            <w:shd w:val="clear" w:color="auto" w:fill="auto"/>
            <w:tcMar>
              <w:top w:w="28" w:type="dxa"/>
              <w:bottom w:w="28" w:type="dxa"/>
            </w:tcMar>
            <w:vAlign w:val="center"/>
          </w:tcPr>
          <w:p w14:paraId="4EA4E904" w14:textId="77777777" w:rsidR="00821923" w:rsidRPr="00567D48" w:rsidRDefault="00821923" w:rsidP="00124585">
            <w:pPr>
              <w:keepLines/>
              <w:spacing w:after="120"/>
              <w:rPr>
                <w:rFonts w:asciiTheme="minorHAnsi" w:hAnsiTheme="minorHAnsi" w:cs="Arial"/>
                <w:color w:val="000000"/>
                <w:sz w:val="18"/>
                <w:szCs w:val="18"/>
              </w:rPr>
            </w:pPr>
          </w:p>
        </w:tc>
        <w:tc>
          <w:tcPr>
            <w:tcW w:w="2491" w:type="dxa"/>
            <w:vMerge/>
            <w:shd w:val="clear" w:color="auto" w:fill="auto"/>
            <w:vAlign w:val="center"/>
          </w:tcPr>
          <w:p w14:paraId="278C251B" w14:textId="77777777" w:rsidR="00821923" w:rsidRPr="00567D48" w:rsidRDefault="00821923" w:rsidP="002D37D6">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467850CE" w14:textId="77777777" w:rsidR="00821923" w:rsidRPr="00567D48" w:rsidRDefault="00821923" w:rsidP="00124585">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10C0BA11" w14:textId="77777777" w:rsidR="00821923" w:rsidRPr="00567D48" w:rsidRDefault="00821923" w:rsidP="00124585">
            <w:pPr>
              <w:pStyle w:val="ListParagraph"/>
              <w:keepLines/>
              <w:spacing w:after="120"/>
              <w:ind w:left="0"/>
              <w:rPr>
                <w:rFonts w:asciiTheme="minorHAnsi" w:hAnsiTheme="minorHAnsi" w:cs="Arial"/>
                <w:color w:val="000000"/>
                <w:sz w:val="18"/>
                <w:szCs w:val="18"/>
              </w:rPr>
            </w:pPr>
          </w:p>
        </w:tc>
        <w:tc>
          <w:tcPr>
            <w:tcW w:w="0" w:type="auto"/>
            <w:shd w:val="clear" w:color="auto" w:fill="auto"/>
          </w:tcPr>
          <w:p w14:paraId="4CAEDFBD" w14:textId="4CC5CE76" w:rsidR="00821923" w:rsidRPr="00567D48" w:rsidRDefault="00821923" w:rsidP="00821923">
            <w:pPr>
              <w:rPr>
                <w:rFonts w:asciiTheme="minorHAnsi" w:hAnsiTheme="minorHAnsi" w:cs="Arial"/>
                <w:color w:val="000000"/>
                <w:sz w:val="18"/>
                <w:szCs w:val="18"/>
              </w:rPr>
            </w:pPr>
            <w:r w:rsidRPr="00567D48">
              <w:rPr>
                <w:rFonts w:asciiTheme="minorHAnsi" w:hAnsiTheme="minorHAnsi" w:cs="Arial"/>
                <w:color w:val="000000"/>
                <w:sz w:val="18"/>
                <w:szCs w:val="18"/>
                <w:u w:val="single"/>
              </w:rPr>
              <w:t>Sponsor’s comment</w:t>
            </w:r>
            <w:r w:rsidRPr="00567D48">
              <w:rPr>
                <w:rFonts w:asciiTheme="minorHAnsi" w:hAnsiTheme="minorHAnsi" w:cs="Arial"/>
                <w:color w:val="000000"/>
                <w:sz w:val="18"/>
                <w:szCs w:val="18"/>
              </w:rPr>
              <w:t>:</w:t>
            </w:r>
            <w:r w:rsidR="00207C47" w:rsidRPr="00567D48">
              <w:rPr>
                <w:rFonts w:asciiTheme="minorHAnsi" w:hAnsiTheme="minorHAnsi" w:cs="Arial"/>
                <w:color w:val="000000"/>
                <w:sz w:val="18"/>
                <w:szCs w:val="18"/>
              </w:rPr>
              <w:t xml:space="preserve"> Bristol-Myers Squibb Australia looks forward to continuing to work with the PBAC and the Department of Health to provide access to nivolumab plus chemotherapy for the first-line treatment of patients with non-HER2-positive advanced or metastatic gastric cancer, gastroesophageal junction cancer or oesophageal adenocarcinoma.</w:t>
            </w:r>
          </w:p>
        </w:tc>
      </w:tr>
      <w:tr w:rsidR="00124585" w:rsidRPr="00567D48" w14:paraId="6908E477" w14:textId="77777777" w:rsidTr="00567D48">
        <w:trPr>
          <w:cantSplit/>
          <w:trHeight w:val="64"/>
        </w:trPr>
        <w:tc>
          <w:tcPr>
            <w:tcW w:w="2972" w:type="dxa"/>
            <w:shd w:val="clear" w:color="auto" w:fill="auto"/>
            <w:tcMar>
              <w:top w:w="28" w:type="dxa"/>
              <w:bottom w:w="28" w:type="dxa"/>
            </w:tcMar>
            <w:vAlign w:val="center"/>
          </w:tcPr>
          <w:p w14:paraId="1B5ED0B6" w14:textId="37236291" w:rsidR="00124585" w:rsidRPr="00567D48" w:rsidRDefault="00124585"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 xml:space="preserve">OLAPARIB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Tablet 100 mg</w:t>
            </w:r>
            <w:r w:rsidRPr="00567D48">
              <w:rPr>
                <w:rFonts w:asciiTheme="minorHAnsi" w:hAnsiTheme="minorHAnsi" w:cs="Arial"/>
                <w:color w:val="000000"/>
                <w:sz w:val="18"/>
                <w:szCs w:val="18"/>
              </w:rPr>
              <w:br/>
              <w:t>Tablet 150 mg</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Lynparza®</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AstraZeneca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 xml:space="preserve">Standard Re-entry </w:t>
            </w:r>
            <w:r w:rsidRPr="00567D48">
              <w:rPr>
                <w:rFonts w:asciiTheme="minorHAnsi" w:hAnsiTheme="minorHAnsi" w:cs="Arial"/>
                <w:color w:val="000000"/>
                <w:sz w:val="18"/>
                <w:szCs w:val="18"/>
              </w:rPr>
              <w:br/>
              <w:t>(Change to PBS listing)</w:t>
            </w:r>
          </w:p>
        </w:tc>
        <w:tc>
          <w:tcPr>
            <w:tcW w:w="2491" w:type="dxa"/>
            <w:shd w:val="clear" w:color="auto" w:fill="auto"/>
            <w:vAlign w:val="center"/>
          </w:tcPr>
          <w:p w14:paraId="1F798F37" w14:textId="6389248D" w:rsidR="00124585" w:rsidRPr="00567D48" w:rsidRDefault="00124585"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Prostate cancer</w:t>
            </w:r>
          </w:p>
        </w:tc>
        <w:tc>
          <w:tcPr>
            <w:tcW w:w="0" w:type="auto"/>
            <w:shd w:val="clear" w:color="auto" w:fill="auto"/>
            <w:tcMar>
              <w:top w:w="28" w:type="dxa"/>
              <w:bottom w:w="28" w:type="dxa"/>
            </w:tcMar>
            <w:vAlign w:val="center"/>
          </w:tcPr>
          <w:p w14:paraId="1577F432" w14:textId="1F4C17D5"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Resubmission to request a General Schedule Authority Required listing for the treatment of adult patients with metastatic castration-resistant prostate cancer and homologous recombination repair BRCA1/2 gene variants (somatic and/or germline) who have progressed following a prior novel hormonal agent.</w:t>
            </w:r>
          </w:p>
        </w:tc>
        <w:tc>
          <w:tcPr>
            <w:tcW w:w="0" w:type="auto"/>
            <w:shd w:val="clear" w:color="auto" w:fill="auto"/>
            <w:vAlign w:val="center"/>
          </w:tcPr>
          <w:p w14:paraId="35DFD305" w14:textId="453AFB5A"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66AF2AC6" w14:textId="746DF094" w:rsidR="00124585" w:rsidRPr="00567D48" w:rsidRDefault="00124585" w:rsidP="00124585">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The PBAC recommended olaparib for the treatment of metastatic castration resistant prostate cancer in patients with BRCA1 and BRCA2 path</w:t>
            </w:r>
            <w:r w:rsidR="00161CC6" w:rsidRPr="00567D48">
              <w:rPr>
                <w:rFonts w:asciiTheme="minorHAnsi" w:hAnsiTheme="minorHAnsi" w:cs="Arial"/>
                <w:color w:val="000000"/>
                <w:sz w:val="18"/>
                <w:szCs w:val="18"/>
              </w:rPr>
              <w:t>ogenic gene variants. The PBAC wa</w:t>
            </w:r>
            <w:r w:rsidRPr="00567D48">
              <w:rPr>
                <w:rFonts w:asciiTheme="minorHAnsi" w:hAnsiTheme="minorHAnsi" w:cs="Arial"/>
                <w:color w:val="000000"/>
                <w:sz w:val="18"/>
                <w:szCs w:val="18"/>
              </w:rPr>
              <w:t xml:space="preserve">s satisfied that olaparib provides, for some patients, a significant improvement in efficacy over standard care (SoC), based on the results of the </w:t>
            </w:r>
            <w:proofErr w:type="spellStart"/>
            <w:r w:rsidRPr="00567D48">
              <w:rPr>
                <w:rFonts w:asciiTheme="minorHAnsi" w:hAnsiTheme="minorHAnsi" w:cs="Arial"/>
                <w:color w:val="000000"/>
                <w:sz w:val="18"/>
                <w:szCs w:val="18"/>
              </w:rPr>
              <w:t>PROfound</w:t>
            </w:r>
            <w:proofErr w:type="spellEnd"/>
            <w:r w:rsidRPr="00567D48">
              <w:rPr>
                <w:rFonts w:asciiTheme="minorHAnsi" w:hAnsiTheme="minorHAnsi" w:cs="Arial"/>
                <w:color w:val="000000"/>
                <w:sz w:val="18"/>
                <w:szCs w:val="18"/>
              </w:rPr>
              <w:t xml:space="preserve"> study. The PBAC considered that the mixed comparator of best supportive care (BSC) and </w:t>
            </w:r>
            <w:proofErr w:type="spellStart"/>
            <w:r w:rsidRPr="00567D48">
              <w:rPr>
                <w:rFonts w:asciiTheme="minorHAnsi" w:hAnsiTheme="minorHAnsi" w:cs="Arial"/>
                <w:color w:val="000000"/>
                <w:sz w:val="18"/>
                <w:szCs w:val="18"/>
              </w:rPr>
              <w:t>cabazitaxel</w:t>
            </w:r>
            <w:proofErr w:type="spellEnd"/>
            <w:r w:rsidRPr="00567D48">
              <w:rPr>
                <w:rFonts w:asciiTheme="minorHAnsi" w:hAnsiTheme="minorHAnsi" w:cs="Arial"/>
                <w:color w:val="000000"/>
                <w:sz w:val="18"/>
                <w:szCs w:val="18"/>
              </w:rPr>
              <w:t xml:space="preserve"> sufficiently reflected SoC in current Australian clinical practice and the comparator arm from the </w:t>
            </w:r>
            <w:proofErr w:type="spellStart"/>
            <w:r w:rsidRPr="00567D48">
              <w:rPr>
                <w:rFonts w:asciiTheme="minorHAnsi" w:hAnsiTheme="minorHAnsi" w:cs="Arial"/>
                <w:color w:val="000000"/>
                <w:sz w:val="18"/>
                <w:szCs w:val="18"/>
              </w:rPr>
              <w:t>PROfound</w:t>
            </w:r>
            <w:proofErr w:type="spellEnd"/>
            <w:r w:rsidRPr="00567D48">
              <w:rPr>
                <w:rFonts w:asciiTheme="minorHAnsi" w:hAnsiTheme="minorHAnsi" w:cs="Arial"/>
                <w:color w:val="000000"/>
                <w:sz w:val="18"/>
                <w:szCs w:val="18"/>
              </w:rPr>
              <w:t xml:space="preserve"> study could reasonably be used as a proxy for </w:t>
            </w:r>
            <w:proofErr w:type="spellStart"/>
            <w:r w:rsidRPr="00567D48">
              <w:rPr>
                <w:rFonts w:asciiTheme="minorHAnsi" w:hAnsiTheme="minorHAnsi" w:cs="Arial"/>
                <w:color w:val="000000"/>
                <w:sz w:val="18"/>
                <w:szCs w:val="18"/>
              </w:rPr>
              <w:t>SoC.</w:t>
            </w:r>
            <w:proofErr w:type="spellEnd"/>
            <w:r w:rsidRPr="00567D48">
              <w:rPr>
                <w:rFonts w:asciiTheme="minorHAnsi" w:hAnsiTheme="minorHAnsi" w:cs="Arial"/>
                <w:color w:val="000000"/>
                <w:sz w:val="18"/>
                <w:szCs w:val="18"/>
              </w:rPr>
              <w:t xml:space="preserve"> The PBAC noted that the resubmission had addressed a number of its previous concerns with the economic model and considered that the </w:t>
            </w:r>
            <w:r w:rsidR="00161CC6" w:rsidRPr="00567D48">
              <w:rPr>
                <w:rFonts w:asciiTheme="minorHAnsi" w:hAnsiTheme="minorHAnsi" w:cs="Arial"/>
                <w:color w:val="000000"/>
                <w:sz w:val="18"/>
                <w:szCs w:val="18"/>
              </w:rPr>
              <w:t>incremental cost-effectiveness ratio</w:t>
            </w:r>
            <w:r w:rsidRPr="00567D48">
              <w:rPr>
                <w:rFonts w:asciiTheme="minorHAnsi" w:hAnsiTheme="minorHAnsi" w:cs="Arial"/>
                <w:color w:val="000000"/>
                <w:sz w:val="18"/>
                <w:szCs w:val="18"/>
              </w:rPr>
              <w:t xml:space="preserve"> was within a cost-effective range despite some remaining uncertainty regarding the extent of the overall survival gain and the BRCA testing component.</w:t>
            </w:r>
          </w:p>
        </w:tc>
      </w:tr>
      <w:tr w:rsidR="00821923" w:rsidRPr="00567D48" w14:paraId="59F828F6" w14:textId="77777777" w:rsidTr="001261A9">
        <w:trPr>
          <w:trHeight w:val="2094"/>
        </w:trPr>
        <w:tc>
          <w:tcPr>
            <w:tcW w:w="2972" w:type="dxa"/>
            <w:vMerge w:val="restart"/>
            <w:shd w:val="clear" w:color="auto" w:fill="auto"/>
            <w:tcMar>
              <w:top w:w="28" w:type="dxa"/>
              <w:bottom w:w="28" w:type="dxa"/>
            </w:tcMar>
            <w:vAlign w:val="center"/>
          </w:tcPr>
          <w:p w14:paraId="65652BAF" w14:textId="0A7EAEA4" w:rsidR="00821923" w:rsidRPr="00567D48" w:rsidRDefault="00821923"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t xml:space="preserve">OMALIZUMAB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Xolair®</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Novartis Pharmaceuticals Australia Pty Limited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4 submission</w:t>
            </w:r>
            <w:r w:rsidRPr="00567D48">
              <w:rPr>
                <w:rFonts w:asciiTheme="minorHAnsi" w:hAnsiTheme="minorHAnsi" w:cs="Arial"/>
                <w:color w:val="000000"/>
                <w:sz w:val="18"/>
                <w:szCs w:val="18"/>
              </w:rPr>
              <w:br/>
              <w:t>(New PBS listing)</w:t>
            </w:r>
          </w:p>
        </w:tc>
        <w:tc>
          <w:tcPr>
            <w:tcW w:w="2491" w:type="dxa"/>
            <w:vMerge w:val="restart"/>
            <w:shd w:val="clear" w:color="auto" w:fill="auto"/>
            <w:vAlign w:val="center"/>
          </w:tcPr>
          <w:p w14:paraId="7549CD89" w14:textId="644B37A6" w:rsidR="00821923" w:rsidRPr="00567D48" w:rsidRDefault="00821923"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Uncontrolled severe asthma;</w:t>
            </w:r>
            <w:r w:rsidRPr="00567D48">
              <w:rPr>
                <w:rFonts w:asciiTheme="minorHAnsi" w:hAnsiTheme="minorHAnsi" w:cs="Arial"/>
                <w:color w:val="000000"/>
                <w:sz w:val="18"/>
                <w:szCs w:val="18"/>
              </w:rPr>
              <w:br/>
              <w:t>Severe chronic spontaneous urticaria;</w:t>
            </w:r>
            <w:r w:rsidRPr="00567D48">
              <w:rPr>
                <w:rFonts w:asciiTheme="minorHAnsi" w:hAnsiTheme="minorHAnsi" w:cs="Arial"/>
                <w:color w:val="000000"/>
                <w:sz w:val="18"/>
                <w:szCs w:val="18"/>
              </w:rPr>
              <w:br/>
              <w:t>Uncontrolled severe allergic asthma</w:t>
            </w:r>
          </w:p>
        </w:tc>
        <w:tc>
          <w:tcPr>
            <w:tcW w:w="0" w:type="auto"/>
            <w:vMerge w:val="restart"/>
            <w:shd w:val="clear" w:color="auto" w:fill="auto"/>
            <w:tcMar>
              <w:top w:w="28" w:type="dxa"/>
              <w:bottom w:w="28" w:type="dxa"/>
            </w:tcMar>
            <w:vAlign w:val="center"/>
          </w:tcPr>
          <w:p w14:paraId="2B5EEF5E" w14:textId="157251DE" w:rsidR="00821923" w:rsidRPr="00567D48" w:rsidRDefault="00821923"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combine the existing listings of 75 mg and 150 mg strengths to allow patients requiring 225mg and 375mg, respectively, to pay a single co-payment.</w:t>
            </w:r>
          </w:p>
        </w:tc>
        <w:tc>
          <w:tcPr>
            <w:tcW w:w="0" w:type="auto"/>
            <w:vMerge w:val="restart"/>
            <w:shd w:val="clear" w:color="auto" w:fill="auto"/>
            <w:vAlign w:val="center"/>
          </w:tcPr>
          <w:p w14:paraId="7411A085" w14:textId="5DBB6F2A" w:rsidR="00821923" w:rsidRPr="00567D48" w:rsidRDefault="00821923"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Not Recommended</w:t>
            </w:r>
          </w:p>
        </w:tc>
        <w:tc>
          <w:tcPr>
            <w:tcW w:w="0" w:type="auto"/>
            <w:shd w:val="clear" w:color="auto" w:fill="auto"/>
            <w:vAlign w:val="bottom"/>
          </w:tcPr>
          <w:p w14:paraId="6347F112" w14:textId="3D47725A" w:rsidR="00821923" w:rsidRPr="00567D48" w:rsidRDefault="00821923" w:rsidP="002C3B01">
            <w:pPr>
              <w:rPr>
                <w:rFonts w:asciiTheme="minorHAnsi" w:hAnsiTheme="minorHAnsi" w:cs="Arial"/>
                <w:color w:val="000000"/>
                <w:sz w:val="18"/>
                <w:szCs w:val="18"/>
              </w:rPr>
            </w:pPr>
            <w:r w:rsidRPr="00567D48">
              <w:rPr>
                <w:rFonts w:asciiTheme="minorHAnsi" w:hAnsiTheme="minorHAnsi" w:cs="Arial"/>
                <w:color w:val="000000"/>
                <w:sz w:val="18"/>
                <w:szCs w:val="18"/>
              </w:rPr>
              <w:t xml:space="preserve">The PBAC did not recommend combining the existing listings of the 75 mg and 150 mg strengths of omalizumab (Xolair) pre-filled syringe (PFS) under the Section 100 (Highly Specialised Drugs Program). The PBAC noted that the consumer comments described the financial burden to some patients who are currently paying two monthly co-payments for the treatment of uncontrolled severe allergic asthma. The PBAC considered that a solution to allow affected patients to pay a single monthly co-payment instead of two monthly co-payments would be that: </w:t>
            </w:r>
            <w:proofErr w:type="spellStart"/>
            <w:r w:rsidRPr="00567D48">
              <w:rPr>
                <w:rFonts w:asciiTheme="minorHAnsi" w:hAnsiTheme="minorHAnsi" w:cs="Arial"/>
                <w:color w:val="000000"/>
                <w:sz w:val="18"/>
                <w:szCs w:val="18"/>
              </w:rPr>
              <w:t>i</w:t>
            </w:r>
            <w:proofErr w:type="spellEnd"/>
            <w:r w:rsidRPr="00567D48">
              <w:rPr>
                <w:rFonts w:asciiTheme="minorHAnsi" w:hAnsiTheme="minorHAnsi" w:cs="Arial"/>
                <w:color w:val="000000"/>
                <w:sz w:val="18"/>
                <w:szCs w:val="18"/>
              </w:rPr>
              <w:t>) the sponsor seeks the ARTG registration of a co-pack or other form that provides for the required dose; and ii) seeks PBS listing of this product or products. The PBAC would welcome a submission for a co-pack of omalizumab 75 mg and 150 mg PFS.</w:t>
            </w:r>
          </w:p>
        </w:tc>
      </w:tr>
      <w:tr w:rsidR="00821923" w:rsidRPr="00567D48" w14:paraId="5AF00807" w14:textId="77777777" w:rsidTr="001261A9">
        <w:trPr>
          <w:trHeight w:val="39"/>
        </w:trPr>
        <w:tc>
          <w:tcPr>
            <w:tcW w:w="2972" w:type="dxa"/>
            <w:vMerge/>
            <w:shd w:val="clear" w:color="auto" w:fill="auto"/>
            <w:tcMar>
              <w:top w:w="28" w:type="dxa"/>
              <w:bottom w:w="28" w:type="dxa"/>
            </w:tcMar>
            <w:vAlign w:val="center"/>
          </w:tcPr>
          <w:p w14:paraId="3F75CC0F" w14:textId="77777777" w:rsidR="00821923" w:rsidRPr="00567D48" w:rsidRDefault="00821923" w:rsidP="00124585">
            <w:pPr>
              <w:keepLines/>
              <w:spacing w:after="120"/>
              <w:rPr>
                <w:rFonts w:asciiTheme="minorHAnsi" w:hAnsiTheme="minorHAnsi" w:cs="Arial"/>
                <w:color w:val="000000"/>
                <w:sz w:val="18"/>
                <w:szCs w:val="18"/>
              </w:rPr>
            </w:pPr>
          </w:p>
        </w:tc>
        <w:tc>
          <w:tcPr>
            <w:tcW w:w="2491" w:type="dxa"/>
            <w:vMerge/>
            <w:shd w:val="clear" w:color="auto" w:fill="auto"/>
            <w:vAlign w:val="center"/>
          </w:tcPr>
          <w:p w14:paraId="252237EA" w14:textId="77777777" w:rsidR="00821923" w:rsidRPr="00567D48" w:rsidRDefault="00821923" w:rsidP="00124585">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2CC7C508" w14:textId="77777777" w:rsidR="00821923" w:rsidRPr="00567D48" w:rsidRDefault="00821923" w:rsidP="00124585">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06DE8027" w14:textId="77777777" w:rsidR="00821923" w:rsidRPr="00567D48" w:rsidRDefault="00821923" w:rsidP="00124585">
            <w:pPr>
              <w:pStyle w:val="ListParagraph"/>
              <w:keepLines/>
              <w:spacing w:after="120"/>
              <w:ind w:left="0"/>
              <w:rPr>
                <w:rFonts w:asciiTheme="minorHAnsi" w:hAnsiTheme="minorHAnsi" w:cs="Arial"/>
                <w:color w:val="000000"/>
                <w:sz w:val="18"/>
                <w:szCs w:val="18"/>
              </w:rPr>
            </w:pPr>
          </w:p>
        </w:tc>
        <w:tc>
          <w:tcPr>
            <w:tcW w:w="0" w:type="auto"/>
            <w:shd w:val="clear" w:color="auto" w:fill="auto"/>
          </w:tcPr>
          <w:p w14:paraId="20E70D25" w14:textId="0205D9B2" w:rsidR="00077A40" w:rsidRPr="00567D48" w:rsidRDefault="00821923" w:rsidP="001261A9">
            <w:pPr>
              <w:rPr>
                <w:rFonts w:asciiTheme="minorHAnsi" w:hAnsiTheme="minorHAnsi" w:cs="Arial"/>
                <w:color w:val="000000"/>
                <w:sz w:val="18"/>
                <w:szCs w:val="18"/>
              </w:rPr>
            </w:pPr>
            <w:r w:rsidRPr="00567D48">
              <w:rPr>
                <w:rFonts w:asciiTheme="minorHAnsi" w:hAnsiTheme="minorHAnsi" w:cs="Arial"/>
                <w:color w:val="000000"/>
                <w:sz w:val="18"/>
                <w:szCs w:val="18"/>
                <w:u w:val="single"/>
              </w:rPr>
              <w:t>Sponsor’s comment</w:t>
            </w:r>
            <w:r w:rsidRPr="00567D48">
              <w:rPr>
                <w:rFonts w:asciiTheme="minorHAnsi" w:hAnsiTheme="minorHAnsi" w:cs="Arial"/>
                <w:color w:val="000000"/>
                <w:sz w:val="18"/>
                <w:szCs w:val="18"/>
              </w:rPr>
              <w:t>:</w:t>
            </w:r>
            <w:r w:rsidR="00F55BB0" w:rsidRPr="00567D48">
              <w:rPr>
                <w:rFonts w:asciiTheme="minorHAnsi" w:hAnsiTheme="minorHAnsi" w:cs="Arial"/>
                <w:color w:val="000000"/>
                <w:sz w:val="18"/>
                <w:szCs w:val="18"/>
              </w:rPr>
              <w:t xml:space="preserve"> Novartis is unable to supply a co-pack for Xolair PFS for reasons outlined in the submission, and is disappointed that the PBAC has not recommended the proposed alternative.</w:t>
            </w:r>
          </w:p>
        </w:tc>
      </w:tr>
      <w:tr w:rsidR="00437069" w:rsidRPr="00567D48" w14:paraId="6E75CD93" w14:textId="77777777" w:rsidTr="00A70347">
        <w:trPr>
          <w:trHeight w:val="659"/>
        </w:trPr>
        <w:tc>
          <w:tcPr>
            <w:tcW w:w="2972" w:type="dxa"/>
            <w:vMerge w:val="restart"/>
            <w:shd w:val="clear" w:color="auto" w:fill="auto"/>
            <w:tcMar>
              <w:top w:w="28" w:type="dxa"/>
              <w:bottom w:w="28" w:type="dxa"/>
            </w:tcMar>
            <w:vAlign w:val="center"/>
          </w:tcPr>
          <w:p w14:paraId="1BFED93B" w14:textId="47F03A2F" w:rsidR="00437069" w:rsidRPr="00567D48" w:rsidRDefault="00437069" w:rsidP="00437069">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 xml:space="preserve">PEMBROLIZUMAB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Solution concentrate for I.V. infusion 100 mg in 4 mL</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Keytruda®</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Merck Sharp &amp; Dohme (Australia)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r w:rsidRPr="00567D48">
              <w:rPr>
                <w:rFonts w:asciiTheme="minorHAnsi" w:hAnsiTheme="minorHAnsi" w:cs="Arial"/>
                <w:sz w:val="18"/>
                <w:szCs w:val="18"/>
              </w:rPr>
              <w:t>Standard Re-entry submission</w:t>
            </w:r>
            <w:r w:rsidRPr="00567D48">
              <w:rPr>
                <w:rFonts w:asciiTheme="minorHAnsi" w:hAnsiTheme="minorHAnsi" w:cs="Arial"/>
                <w:sz w:val="18"/>
                <w:szCs w:val="18"/>
              </w:rPr>
              <w:br/>
              <w:t>(Change to PBS listing)</w:t>
            </w:r>
          </w:p>
        </w:tc>
        <w:tc>
          <w:tcPr>
            <w:tcW w:w="2491" w:type="dxa"/>
            <w:vMerge w:val="restart"/>
            <w:shd w:val="clear" w:color="auto" w:fill="auto"/>
            <w:vAlign w:val="center"/>
          </w:tcPr>
          <w:p w14:paraId="1AE070B2" w14:textId="7EB22382" w:rsidR="00437069" w:rsidRPr="00567D48" w:rsidRDefault="00437069" w:rsidP="00437069">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Squamous cell carcinoma of the head and neck (SCCHN)</w:t>
            </w:r>
          </w:p>
        </w:tc>
        <w:tc>
          <w:tcPr>
            <w:tcW w:w="0" w:type="auto"/>
            <w:vMerge w:val="restart"/>
            <w:shd w:val="clear" w:color="auto" w:fill="auto"/>
            <w:tcMar>
              <w:top w:w="28" w:type="dxa"/>
              <w:bottom w:w="28" w:type="dxa"/>
            </w:tcMar>
            <w:vAlign w:val="center"/>
          </w:tcPr>
          <w:p w14:paraId="2F502259" w14:textId="10E00663" w:rsidR="00437069" w:rsidRPr="00567D48" w:rsidRDefault="00437069" w:rsidP="00437069">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Resubmission to request a Section 100 (Efficient Funding of Chemotherapy Program) Authority Required (STREAMLINED) listing for the first-line treatment of recurrent or metastatic SCCHN.</w:t>
            </w:r>
          </w:p>
        </w:tc>
        <w:tc>
          <w:tcPr>
            <w:tcW w:w="0" w:type="auto"/>
            <w:vMerge w:val="restart"/>
            <w:shd w:val="clear" w:color="auto" w:fill="auto"/>
            <w:vAlign w:val="center"/>
          </w:tcPr>
          <w:p w14:paraId="30428753" w14:textId="6897908C" w:rsidR="00437069" w:rsidRPr="00567D48" w:rsidRDefault="00437069" w:rsidP="00437069">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Deferred</w:t>
            </w:r>
          </w:p>
        </w:tc>
        <w:tc>
          <w:tcPr>
            <w:tcW w:w="0" w:type="auto"/>
            <w:shd w:val="clear" w:color="auto" w:fill="auto"/>
            <w:vAlign w:val="center"/>
          </w:tcPr>
          <w:p w14:paraId="5E3AF544" w14:textId="77777777" w:rsidR="00437069" w:rsidRPr="00567D48" w:rsidRDefault="00437069" w:rsidP="00437069">
            <w:pPr>
              <w:rPr>
                <w:rFonts w:asciiTheme="minorHAnsi" w:hAnsiTheme="minorHAnsi" w:cs="Arial"/>
                <w:color w:val="000000"/>
                <w:sz w:val="18"/>
                <w:szCs w:val="18"/>
              </w:rPr>
            </w:pPr>
            <w:r w:rsidRPr="00567D48">
              <w:rPr>
                <w:rFonts w:asciiTheme="minorHAnsi" w:hAnsiTheme="minorHAnsi" w:cs="Arial"/>
                <w:color w:val="000000"/>
                <w:sz w:val="18"/>
                <w:szCs w:val="18"/>
              </w:rPr>
              <w:t>The PBAC deferred its decision regarding pembrolizumab (Keytruda®) for first line treatment of recurrent or metastatic SCCHN in patients with programmed death ligand 1 (PD-L1) combined positive score (CPS) &gt;1. The PBAC considered that, based on the data provided, pembrolizumab plus chemotherapy was clinically superior to first-line chemotherapy alone in the CPS ≥1 population and also in the allcomers population (regardless of CPS).</w:t>
            </w:r>
          </w:p>
          <w:p w14:paraId="16E0131D" w14:textId="77777777" w:rsidR="00437069" w:rsidRPr="00567D48" w:rsidRDefault="00437069" w:rsidP="00437069">
            <w:pPr>
              <w:rPr>
                <w:rFonts w:asciiTheme="minorHAnsi" w:hAnsiTheme="minorHAnsi" w:cs="Arial"/>
                <w:color w:val="000000"/>
                <w:sz w:val="18"/>
                <w:szCs w:val="18"/>
              </w:rPr>
            </w:pPr>
          </w:p>
          <w:p w14:paraId="2D49F81C" w14:textId="77777777" w:rsidR="00437069" w:rsidRPr="00567D48" w:rsidRDefault="00437069" w:rsidP="00437069">
            <w:pPr>
              <w:rPr>
                <w:rFonts w:asciiTheme="minorHAnsi" w:hAnsiTheme="minorHAnsi" w:cs="Arial"/>
                <w:color w:val="000000"/>
                <w:sz w:val="18"/>
                <w:szCs w:val="18"/>
              </w:rPr>
            </w:pPr>
            <w:r w:rsidRPr="00567D48">
              <w:rPr>
                <w:rFonts w:asciiTheme="minorHAnsi" w:hAnsiTheme="minorHAnsi" w:cs="Arial"/>
                <w:color w:val="000000"/>
                <w:sz w:val="18"/>
                <w:szCs w:val="18"/>
              </w:rPr>
              <w:t>The PBAC considered that, based on the results of the Keynote 048 trial, it is not possible to determine whether patients with CPS &lt;1 derive benefit from pembrolizumab + chemotherapy as the trial was not powered to show a difference between CPS ≥1 and CPS &lt;1. A statistically significant survival benefit was observed in the allcomers population treated with pembrolizumab plus chemotherapy at the interim analysis and the final analysis. The PBAC advised that, on this basis, it was preferable that listing of pembrolizumab in combination with chemotherapy not exclude patients with CPS &lt;1.</w:t>
            </w:r>
          </w:p>
          <w:p w14:paraId="09C002F9" w14:textId="77777777" w:rsidR="00437069" w:rsidRPr="00567D48" w:rsidRDefault="00437069" w:rsidP="00437069">
            <w:pPr>
              <w:rPr>
                <w:rFonts w:asciiTheme="minorHAnsi" w:hAnsiTheme="minorHAnsi" w:cs="Arial"/>
                <w:color w:val="000000"/>
                <w:sz w:val="18"/>
                <w:szCs w:val="18"/>
              </w:rPr>
            </w:pPr>
          </w:p>
          <w:p w14:paraId="263EB1CC" w14:textId="77777777" w:rsidR="00437069" w:rsidRPr="00567D48" w:rsidRDefault="00437069" w:rsidP="00437069">
            <w:pPr>
              <w:rPr>
                <w:rFonts w:asciiTheme="minorHAnsi" w:hAnsiTheme="minorHAnsi" w:cs="Arial"/>
                <w:color w:val="000000"/>
                <w:sz w:val="18"/>
                <w:szCs w:val="18"/>
              </w:rPr>
            </w:pPr>
            <w:r w:rsidRPr="00567D48">
              <w:rPr>
                <w:rFonts w:asciiTheme="minorHAnsi" w:hAnsiTheme="minorHAnsi" w:cs="Arial"/>
                <w:color w:val="000000"/>
                <w:sz w:val="18"/>
                <w:szCs w:val="18"/>
              </w:rPr>
              <w:t>The PBAC considered that the claim of superior comparative effectiveness for pembrolizumab monotherapy was adequately supported by the data for patients with CPS ≥20. The PBAC was of a mind to recommend listing of pembrolizumab as the committee considered that the incremental cost-effectiveness ratios could be brought into an acceptable range with a price reduction, noting that the areas of uncertainty in the economic model had been somewhat reduced in the resubmission.</w:t>
            </w:r>
          </w:p>
          <w:p w14:paraId="4E37A072" w14:textId="77777777" w:rsidR="00437069" w:rsidRPr="00567D48" w:rsidRDefault="00437069" w:rsidP="00437069">
            <w:pPr>
              <w:rPr>
                <w:rFonts w:asciiTheme="minorHAnsi" w:hAnsiTheme="minorHAnsi" w:cs="Arial"/>
                <w:color w:val="000000"/>
                <w:sz w:val="18"/>
                <w:szCs w:val="18"/>
              </w:rPr>
            </w:pPr>
          </w:p>
          <w:p w14:paraId="034E5093" w14:textId="3B7E0876" w:rsidR="00437069" w:rsidRPr="00567D48" w:rsidRDefault="00437069" w:rsidP="00437069">
            <w:pPr>
              <w:rPr>
                <w:rFonts w:asciiTheme="minorHAnsi" w:hAnsiTheme="minorHAnsi" w:cs="Arial"/>
                <w:color w:val="000000"/>
                <w:sz w:val="18"/>
                <w:szCs w:val="18"/>
              </w:rPr>
            </w:pPr>
            <w:r w:rsidRPr="00567D48">
              <w:rPr>
                <w:rFonts w:asciiTheme="minorHAnsi" w:hAnsiTheme="minorHAnsi" w:cs="Arial"/>
                <w:color w:val="000000"/>
                <w:sz w:val="18"/>
                <w:szCs w:val="18"/>
              </w:rPr>
              <w:t xml:space="preserve">The PBAC noted that advice from the Medical Services Advisory Committee (MSAC) was required regarding the PD-L1 testing component of the codependent submission. Subject to this advice, the PBAC expressed a preference for recommending the CPS ≥20 threshold for pembrolizumab monotherapy and an allcomers population for </w:t>
            </w:r>
            <w:r w:rsidRPr="00567D48">
              <w:rPr>
                <w:rFonts w:asciiTheme="minorHAnsi" w:hAnsiTheme="minorHAnsi" w:cs="Arial"/>
                <w:color w:val="000000"/>
                <w:sz w:val="18"/>
                <w:szCs w:val="18"/>
              </w:rPr>
              <w:lastRenderedPageBreak/>
              <w:t>pembrolizumab plus chemotherapy, noting that a greater price reduction would be required for the latter broader population compared to restricting to a CPS ≥1 threshold.</w:t>
            </w:r>
          </w:p>
        </w:tc>
      </w:tr>
      <w:tr w:rsidR="00437069" w:rsidRPr="00567D48" w14:paraId="23ACFB4A" w14:textId="77777777" w:rsidTr="001261A9">
        <w:trPr>
          <w:trHeight w:val="943"/>
        </w:trPr>
        <w:tc>
          <w:tcPr>
            <w:tcW w:w="2972" w:type="dxa"/>
            <w:vMerge/>
            <w:shd w:val="clear" w:color="auto" w:fill="auto"/>
            <w:tcMar>
              <w:top w:w="28" w:type="dxa"/>
              <w:bottom w:w="28" w:type="dxa"/>
            </w:tcMar>
            <w:vAlign w:val="center"/>
          </w:tcPr>
          <w:p w14:paraId="6F88DFBD" w14:textId="4B5E59CC" w:rsidR="00437069" w:rsidRPr="00567D48" w:rsidRDefault="00437069" w:rsidP="00437069">
            <w:pPr>
              <w:keepLines/>
              <w:spacing w:after="120"/>
              <w:rPr>
                <w:rFonts w:asciiTheme="minorHAnsi" w:hAnsiTheme="minorHAnsi" w:cs="Arial"/>
                <w:color w:val="000000"/>
                <w:sz w:val="18"/>
                <w:szCs w:val="18"/>
              </w:rPr>
            </w:pPr>
          </w:p>
        </w:tc>
        <w:tc>
          <w:tcPr>
            <w:tcW w:w="2491" w:type="dxa"/>
            <w:vMerge/>
            <w:shd w:val="clear" w:color="auto" w:fill="auto"/>
            <w:vAlign w:val="center"/>
          </w:tcPr>
          <w:p w14:paraId="70FC35CA" w14:textId="7121BCD2" w:rsidR="00437069" w:rsidRPr="00567D48" w:rsidRDefault="00437069" w:rsidP="00437069">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16A88863" w14:textId="6E80D506" w:rsidR="00437069" w:rsidRPr="00567D48" w:rsidRDefault="00437069" w:rsidP="00437069">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5A84F722" w14:textId="6097C208" w:rsidR="00437069" w:rsidRPr="00567D48" w:rsidRDefault="00437069" w:rsidP="00437069">
            <w:pPr>
              <w:pStyle w:val="ListParagraph"/>
              <w:keepLines/>
              <w:spacing w:after="120"/>
              <w:ind w:left="0"/>
              <w:rPr>
                <w:rFonts w:asciiTheme="minorHAnsi" w:hAnsiTheme="minorHAnsi" w:cs="Arial"/>
                <w:color w:val="000000"/>
                <w:sz w:val="18"/>
                <w:szCs w:val="18"/>
              </w:rPr>
            </w:pPr>
          </w:p>
        </w:tc>
        <w:tc>
          <w:tcPr>
            <w:tcW w:w="0" w:type="auto"/>
            <w:shd w:val="clear" w:color="auto" w:fill="auto"/>
          </w:tcPr>
          <w:p w14:paraId="3A09C3E5" w14:textId="114A5876" w:rsidR="00437069" w:rsidRPr="00567D48" w:rsidRDefault="00437069" w:rsidP="00437069">
            <w:pPr>
              <w:rPr>
                <w:rFonts w:asciiTheme="minorHAnsi" w:hAnsiTheme="minorHAnsi" w:cs="Arial"/>
                <w:color w:val="000000"/>
                <w:sz w:val="18"/>
                <w:szCs w:val="18"/>
              </w:rPr>
            </w:pPr>
            <w:r w:rsidRPr="00567D48">
              <w:rPr>
                <w:rFonts w:asciiTheme="minorHAnsi" w:hAnsiTheme="minorHAnsi" w:cs="Arial"/>
                <w:color w:val="000000"/>
                <w:sz w:val="18"/>
                <w:szCs w:val="18"/>
                <w:u w:val="single"/>
              </w:rPr>
              <w:t>Sponsor’s comment</w:t>
            </w:r>
            <w:r w:rsidRPr="00567D48">
              <w:rPr>
                <w:rFonts w:asciiTheme="minorHAnsi" w:hAnsiTheme="minorHAnsi" w:cs="Arial"/>
                <w:color w:val="000000"/>
                <w:sz w:val="18"/>
                <w:szCs w:val="18"/>
              </w:rPr>
              <w:t>: MSD welcomes the opportunity to work with PBAC and MSAC to expedite availability of pembrolizumab for patients with recurrent or metastatic squamous cell carcinoma of the head and neck.</w:t>
            </w:r>
          </w:p>
        </w:tc>
      </w:tr>
      <w:tr w:rsidR="00821923" w:rsidRPr="00567D48" w14:paraId="1021ECBF" w14:textId="77777777" w:rsidTr="00F00B7A">
        <w:trPr>
          <w:cantSplit/>
          <w:trHeight w:val="2580"/>
        </w:trPr>
        <w:tc>
          <w:tcPr>
            <w:tcW w:w="2972" w:type="dxa"/>
            <w:vMerge w:val="restart"/>
            <w:shd w:val="clear" w:color="auto" w:fill="auto"/>
            <w:tcMar>
              <w:top w:w="28" w:type="dxa"/>
              <w:bottom w:w="28" w:type="dxa"/>
            </w:tcMar>
            <w:vAlign w:val="center"/>
          </w:tcPr>
          <w:p w14:paraId="2930CB84" w14:textId="71A982FB" w:rsidR="00821923" w:rsidRPr="00567D48" w:rsidRDefault="00821923"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t xml:space="preserve">PEMBROLIZUMAB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Solution concentrate for I.V. infusion 100 mg in 4 mL</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Keytruda®</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Merck Sharp &amp; Dohme (Australia)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2 submission</w:t>
            </w:r>
            <w:r w:rsidRPr="00567D48">
              <w:rPr>
                <w:rFonts w:asciiTheme="minorHAnsi" w:hAnsiTheme="minorHAnsi" w:cs="Arial"/>
                <w:color w:val="000000"/>
                <w:sz w:val="18"/>
                <w:szCs w:val="18"/>
              </w:rPr>
              <w:br/>
              <w:t>(Change to PBS listing)</w:t>
            </w:r>
          </w:p>
        </w:tc>
        <w:tc>
          <w:tcPr>
            <w:tcW w:w="2491" w:type="dxa"/>
            <w:vMerge w:val="restart"/>
            <w:shd w:val="clear" w:color="auto" w:fill="auto"/>
            <w:vAlign w:val="center"/>
          </w:tcPr>
          <w:p w14:paraId="4FFC59C0" w14:textId="5B8CEB8D" w:rsidR="00821923" w:rsidRPr="00567D48" w:rsidRDefault="00821923"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Oesophageal carcinoma or human epidermal growth factor receptor 2 (HER2)-negative gastroesophageal adenocarcinoma</w:t>
            </w:r>
          </w:p>
        </w:tc>
        <w:tc>
          <w:tcPr>
            <w:tcW w:w="0" w:type="auto"/>
            <w:vMerge w:val="restart"/>
            <w:shd w:val="clear" w:color="auto" w:fill="auto"/>
            <w:tcMar>
              <w:top w:w="28" w:type="dxa"/>
              <w:bottom w:w="28" w:type="dxa"/>
            </w:tcMar>
            <w:vAlign w:val="center"/>
          </w:tcPr>
          <w:p w14:paraId="1F0BE994" w14:textId="5F59B418" w:rsidR="00821923" w:rsidRPr="00567D48" w:rsidRDefault="00821923"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listing a Section 100 (Efficient Funding of Chemotherapy Program) Authority Required (STREAMLINED) listing for the first-line treatment of locally advanced or metastatic oesophageal carcinoma or HER-2-negative gastroesophageal junction adenocarcinoma.</w:t>
            </w:r>
          </w:p>
        </w:tc>
        <w:tc>
          <w:tcPr>
            <w:tcW w:w="0" w:type="auto"/>
            <w:vMerge w:val="restart"/>
            <w:shd w:val="clear" w:color="auto" w:fill="auto"/>
            <w:vAlign w:val="center"/>
          </w:tcPr>
          <w:p w14:paraId="270C898A" w14:textId="0F5EE95E" w:rsidR="00821923" w:rsidRPr="00567D48" w:rsidRDefault="00821923"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Not Recommended</w:t>
            </w:r>
          </w:p>
        </w:tc>
        <w:tc>
          <w:tcPr>
            <w:tcW w:w="0" w:type="auto"/>
            <w:shd w:val="clear" w:color="auto" w:fill="auto"/>
            <w:vAlign w:val="bottom"/>
          </w:tcPr>
          <w:p w14:paraId="0DB25B9C" w14:textId="35223821" w:rsidR="00821923" w:rsidRPr="00567D48" w:rsidRDefault="00821923" w:rsidP="002E78AC">
            <w:pPr>
              <w:rPr>
                <w:rFonts w:asciiTheme="minorHAnsi" w:hAnsiTheme="minorHAnsi" w:cs="Arial"/>
                <w:color w:val="000000"/>
                <w:sz w:val="18"/>
                <w:szCs w:val="18"/>
              </w:rPr>
            </w:pPr>
            <w:r w:rsidRPr="00567D48">
              <w:rPr>
                <w:rFonts w:asciiTheme="minorHAnsi" w:hAnsiTheme="minorHAnsi" w:cs="Arial"/>
                <w:color w:val="000000"/>
                <w:sz w:val="18"/>
                <w:szCs w:val="18"/>
              </w:rPr>
              <w:t>The PBAC did not recommend the listing of pembrolizumab, in combination with platinum-based chemotherapy, for the treatment of locally advanced (Stage III) or metastatic (Stage IV) oesophageal adenocarcinoma or oesophageal squamous cell carcinoma, or HER2-negative adenocarcinoma of the gastro-oesophageal junction. The PBAC noted the high clinical need for effective treatments in this therapeutic area. The PBAC considered the evidence presented demonstrated there was a clinically meaningful improvement in progression free survival and overall survival with pembrolizumab. However, the PBAC considered the incremental cost-effectiveness ratio in this setting at the proposed price was high and moderately uncertain.</w:t>
            </w:r>
          </w:p>
          <w:p w14:paraId="2ADB6941" w14:textId="77777777" w:rsidR="00821923" w:rsidRPr="00567D48" w:rsidRDefault="00821923" w:rsidP="002E78AC">
            <w:pPr>
              <w:rPr>
                <w:rFonts w:asciiTheme="minorHAnsi" w:hAnsiTheme="minorHAnsi" w:cs="Arial"/>
                <w:color w:val="000000"/>
                <w:sz w:val="18"/>
                <w:szCs w:val="18"/>
              </w:rPr>
            </w:pPr>
          </w:p>
          <w:p w14:paraId="27054482" w14:textId="51096615" w:rsidR="00821923" w:rsidRPr="00567D48" w:rsidRDefault="00821923" w:rsidP="00807E3E">
            <w:pPr>
              <w:rPr>
                <w:rFonts w:asciiTheme="minorHAnsi" w:hAnsiTheme="minorHAnsi" w:cs="Arial"/>
                <w:color w:val="000000"/>
                <w:sz w:val="18"/>
                <w:szCs w:val="18"/>
              </w:rPr>
            </w:pPr>
            <w:r w:rsidRPr="00567D48">
              <w:rPr>
                <w:rFonts w:asciiTheme="minorHAnsi" w:hAnsiTheme="minorHAnsi" w:cs="Arial"/>
                <w:color w:val="000000"/>
                <w:sz w:val="18"/>
                <w:szCs w:val="18"/>
              </w:rPr>
              <w:t>The PBAC nominated the Early Resolution re-submission pathway for this item.</w:t>
            </w:r>
          </w:p>
        </w:tc>
      </w:tr>
      <w:tr w:rsidR="00821923" w:rsidRPr="00567D48" w14:paraId="5D4C9C57" w14:textId="77777777" w:rsidTr="00F00B7A">
        <w:trPr>
          <w:cantSplit/>
          <w:trHeight w:val="2580"/>
        </w:trPr>
        <w:tc>
          <w:tcPr>
            <w:tcW w:w="2972" w:type="dxa"/>
            <w:vMerge/>
            <w:shd w:val="clear" w:color="auto" w:fill="auto"/>
            <w:tcMar>
              <w:top w:w="28" w:type="dxa"/>
              <w:bottom w:w="28" w:type="dxa"/>
            </w:tcMar>
            <w:vAlign w:val="center"/>
          </w:tcPr>
          <w:p w14:paraId="7CF14132" w14:textId="77777777" w:rsidR="00821923" w:rsidRPr="00567D48" w:rsidRDefault="00821923" w:rsidP="00124585">
            <w:pPr>
              <w:keepLines/>
              <w:spacing w:after="120"/>
              <w:rPr>
                <w:rFonts w:asciiTheme="minorHAnsi" w:hAnsiTheme="minorHAnsi" w:cs="Arial"/>
                <w:color w:val="000000"/>
                <w:sz w:val="18"/>
                <w:szCs w:val="18"/>
              </w:rPr>
            </w:pPr>
          </w:p>
        </w:tc>
        <w:tc>
          <w:tcPr>
            <w:tcW w:w="2491" w:type="dxa"/>
            <w:vMerge/>
            <w:shd w:val="clear" w:color="auto" w:fill="auto"/>
            <w:vAlign w:val="center"/>
          </w:tcPr>
          <w:p w14:paraId="4E5F0E8E" w14:textId="77777777" w:rsidR="00821923" w:rsidRPr="00567D48" w:rsidRDefault="00821923" w:rsidP="00124585">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2FBE2CF0" w14:textId="77777777" w:rsidR="00821923" w:rsidRPr="00567D48" w:rsidRDefault="00821923" w:rsidP="00124585">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2DCEB460" w14:textId="77777777" w:rsidR="00821923" w:rsidRPr="00567D48" w:rsidRDefault="00821923" w:rsidP="00124585">
            <w:pPr>
              <w:pStyle w:val="ListParagraph"/>
              <w:keepLines/>
              <w:spacing w:after="120"/>
              <w:ind w:left="0"/>
              <w:rPr>
                <w:rFonts w:asciiTheme="minorHAnsi" w:hAnsiTheme="minorHAnsi" w:cs="Arial"/>
                <w:color w:val="000000"/>
                <w:sz w:val="18"/>
                <w:szCs w:val="18"/>
              </w:rPr>
            </w:pPr>
          </w:p>
        </w:tc>
        <w:tc>
          <w:tcPr>
            <w:tcW w:w="0" w:type="auto"/>
            <w:shd w:val="clear" w:color="auto" w:fill="auto"/>
          </w:tcPr>
          <w:p w14:paraId="6DEAA1C3" w14:textId="7A1A4688" w:rsidR="00821923" w:rsidRPr="00567D48" w:rsidRDefault="00821923" w:rsidP="00E458B2">
            <w:pPr>
              <w:rPr>
                <w:rFonts w:asciiTheme="minorHAnsi" w:hAnsiTheme="minorHAnsi" w:cs="Arial"/>
                <w:color w:val="000000"/>
                <w:sz w:val="18"/>
                <w:szCs w:val="18"/>
              </w:rPr>
            </w:pPr>
            <w:r w:rsidRPr="00567D48">
              <w:rPr>
                <w:rFonts w:asciiTheme="minorHAnsi" w:hAnsiTheme="minorHAnsi" w:cs="Arial"/>
                <w:color w:val="000000"/>
                <w:sz w:val="18"/>
                <w:szCs w:val="18"/>
                <w:u w:val="single"/>
              </w:rPr>
              <w:t>Sponsor’s comment</w:t>
            </w:r>
            <w:r w:rsidRPr="00567D48">
              <w:rPr>
                <w:rFonts w:asciiTheme="minorHAnsi" w:hAnsiTheme="minorHAnsi" w:cs="Arial"/>
                <w:color w:val="000000"/>
                <w:sz w:val="18"/>
                <w:szCs w:val="18"/>
              </w:rPr>
              <w:t>:</w:t>
            </w:r>
            <w:r w:rsidR="000C339F" w:rsidRPr="00567D48">
              <w:rPr>
                <w:rFonts w:asciiTheme="minorHAnsi" w:hAnsiTheme="minorHAnsi" w:cs="Arial"/>
                <w:color w:val="000000"/>
                <w:sz w:val="18"/>
                <w:szCs w:val="18"/>
              </w:rPr>
              <w:t xml:space="preserve"> MSD is pleased that the PBAC has recognised the high added therapeutic value that K</w:t>
            </w:r>
            <w:r w:rsidR="00E458B2" w:rsidRPr="00567D48">
              <w:rPr>
                <w:rFonts w:asciiTheme="minorHAnsi" w:hAnsiTheme="minorHAnsi" w:cs="Arial"/>
                <w:color w:val="000000"/>
                <w:sz w:val="18"/>
                <w:szCs w:val="18"/>
              </w:rPr>
              <w:t>eytruda</w:t>
            </w:r>
            <w:r w:rsidR="00E11DB5" w:rsidRPr="00567D48">
              <w:rPr>
                <w:rFonts w:asciiTheme="minorHAnsi" w:hAnsiTheme="minorHAnsi" w:cs="Arial"/>
                <w:color w:val="000000"/>
                <w:sz w:val="18"/>
                <w:szCs w:val="18"/>
              </w:rPr>
              <w:t>®</w:t>
            </w:r>
            <w:r w:rsidR="000C339F" w:rsidRPr="00567D48">
              <w:rPr>
                <w:rFonts w:asciiTheme="minorHAnsi" w:hAnsiTheme="minorHAnsi" w:cs="Arial"/>
                <w:color w:val="000000"/>
                <w:sz w:val="18"/>
                <w:szCs w:val="18"/>
              </w:rPr>
              <w:t xml:space="preserve"> offers patients with oesophageal/GOJ cancer. MSD is looking forward to working with the PBAC to provide access to K</w:t>
            </w:r>
            <w:r w:rsidR="00E458B2" w:rsidRPr="00567D48">
              <w:rPr>
                <w:rFonts w:asciiTheme="minorHAnsi" w:hAnsiTheme="minorHAnsi" w:cs="Arial"/>
                <w:color w:val="000000"/>
                <w:sz w:val="18"/>
                <w:szCs w:val="18"/>
              </w:rPr>
              <w:t>eytruda</w:t>
            </w:r>
            <w:r w:rsidR="00E11DB5" w:rsidRPr="00567D48">
              <w:rPr>
                <w:rFonts w:asciiTheme="minorHAnsi" w:hAnsiTheme="minorHAnsi" w:cs="Arial"/>
                <w:color w:val="000000"/>
                <w:sz w:val="18"/>
                <w:szCs w:val="18"/>
              </w:rPr>
              <w:t>®</w:t>
            </w:r>
            <w:r w:rsidR="000C339F" w:rsidRPr="00567D48">
              <w:rPr>
                <w:rFonts w:asciiTheme="minorHAnsi" w:hAnsiTheme="minorHAnsi" w:cs="Arial"/>
                <w:color w:val="000000"/>
                <w:sz w:val="18"/>
                <w:szCs w:val="18"/>
              </w:rPr>
              <w:t xml:space="preserve"> for this patient group as early as possible through the early resolution pathway.</w:t>
            </w:r>
          </w:p>
        </w:tc>
      </w:tr>
      <w:tr w:rsidR="00124585" w:rsidRPr="00567D48" w14:paraId="529907A0" w14:textId="77777777" w:rsidTr="00567D48">
        <w:trPr>
          <w:cantSplit/>
          <w:trHeight w:val="1368"/>
        </w:trPr>
        <w:tc>
          <w:tcPr>
            <w:tcW w:w="2972" w:type="dxa"/>
            <w:shd w:val="clear" w:color="auto" w:fill="auto"/>
            <w:tcMar>
              <w:top w:w="28" w:type="dxa"/>
              <w:bottom w:w="28" w:type="dxa"/>
            </w:tcMar>
            <w:vAlign w:val="center"/>
          </w:tcPr>
          <w:p w14:paraId="1F88D8AC" w14:textId="472B7D29" w:rsidR="00124585" w:rsidRPr="00567D48" w:rsidRDefault="00124585"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PNEUMOCOCCAL POLYSACCHARIDE CONJUGATE VACCINE, 15 VALENT ADSORBED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0.5 mL in pre-filled syringe</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r w:rsidRPr="00567D48">
              <w:rPr>
                <w:rFonts w:asciiTheme="minorHAnsi" w:hAnsiTheme="minorHAnsi" w:cs="Arial"/>
                <w:sz w:val="18"/>
                <w:szCs w:val="18"/>
              </w:rPr>
              <w:t>Trade name to be confirmed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Merck Sharp &amp; Dohme (Australia)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2 submission</w:t>
            </w:r>
            <w:r w:rsidRPr="00567D48">
              <w:rPr>
                <w:rFonts w:asciiTheme="minorHAnsi" w:hAnsiTheme="minorHAnsi" w:cs="Arial"/>
                <w:color w:val="000000"/>
                <w:sz w:val="18"/>
                <w:szCs w:val="18"/>
              </w:rPr>
              <w:br/>
              <w:t>(New listing)</w:t>
            </w:r>
          </w:p>
        </w:tc>
        <w:tc>
          <w:tcPr>
            <w:tcW w:w="2491" w:type="dxa"/>
            <w:shd w:val="clear" w:color="auto" w:fill="auto"/>
            <w:vAlign w:val="center"/>
          </w:tcPr>
          <w:p w14:paraId="5FECF70E" w14:textId="6A6D68B5" w:rsidR="00124585" w:rsidRPr="00567D48" w:rsidRDefault="00124585"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Prevention of pneumococcal disease</w:t>
            </w:r>
          </w:p>
        </w:tc>
        <w:tc>
          <w:tcPr>
            <w:tcW w:w="0" w:type="auto"/>
            <w:shd w:val="clear" w:color="auto" w:fill="auto"/>
            <w:tcMar>
              <w:top w:w="28" w:type="dxa"/>
              <w:bottom w:w="28" w:type="dxa"/>
            </w:tcMar>
            <w:vAlign w:val="center"/>
          </w:tcPr>
          <w:p w14:paraId="20CEB33F" w14:textId="0256C74B"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National Immunisation Program listing for the prevention of pneumococcal disease.</w:t>
            </w:r>
          </w:p>
        </w:tc>
        <w:tc>
          <w:tcPr>
            <w:tcW w:w="0" w:type="auto"/>
            <w:shd w:val="clear" w:color="auto" w:fill="auto"/>
            <w:vAlign w:val="center"/>
          </w:tcPr>
          <w:p w14:paraId="34BF4597" w14:textId="56282C10"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28DD7332" w14:textId="78E74F6B" w:rsidR="00124585" w:rsidRPr="00567D48" w:rsidRDefault="00124585" w:rsidP="002D37D6">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 xml:space="preserve">The PBAC recommended that a 15-valent pneumococcal conjugate vaccine be a designated vaccine for the purposes of the </w:t>
            </w:r>
            <w:r w:rsidRPr="00567D48">
              <w:rPr>
                <w:rFonts w:asciiTheme="minorHAnsi" w:hAnsiTheme="minorHAnsi" w:cs="Arial"/>
                <w:i/>
                <w:iCs/>
                <w:color w:val="000000"/>
                <w:sz w:val="18"/>
                <w:szCs w:val="18"/>
              </w:rPr>
              <w:t>National Health Act 1953</w:t>
            </w:r>
            <w:r w:rsidRPr="00567D48">
              <w:rPr>
                <w:rFonts w:asciiTheme="minorHAnsi" w:hAnsiTheme="minorHAnsi" w:cs="Arial"/>
                <w:color w:val="000000"/>
                <w:sz w:val="18"/>
                <w:szCs w:val="18"/>
              </w:rPr>
              <w:t>, for the prevention of pneumococcal disease in non-Indigenous adults aged ≥70 years, Indigenous adults aged ≥50 years, and individuals at increased risk of pneumococcal disease aged ≥18 years. The PBAC’s recommendation for listing was based on, among other matters, its assessment that the cost-effectiveness of</w:t>
            </w:r>
            <w:r w:rsidR="002D37D6" w:rsidRPr="00567D48">
              <w:rPr>
                <w:rFonts w:asciiTheme="minorHAnsi" w:hAnsiTheme="minorHAnsi" w:cs="Arial"/>
                <w:color w:val="000000"/>
                <w:sz w:val="18"/>
                <w:szCs w:val="18"/>
              </w:rPr>
              <w:t xml:space="preserve"> the 15-valent pneumococcal conjugate vaccine </w:t>
            </w:r>
            <w:r w:rsidRPr="00567D48">
              <w:rPr>
                <w:rFonts w:asciiTheme="minorHAnsi" w:hAnsiTheme="minorHAnsi" w:cs="Arial"/>
                <w:color w:val="000000"/>
                <w:sz w:val="18"/>
                <w:szCs w:val="18"/>
              </w:rPr>
              <w:t xml:space="preserve">would be acceptable if it were cost-minimised against the nominated comparator, Prevenar 13 (a 13-valent pneumococcal conjugate vaccine). </w:t>
            </w:r>
          </w:p>
        </w:tc>
      </w:tr>
      <w:tr w:rsidR="00124585" w:rsidRPr="00567D48" w14:paraId="0B349741" w14:textId="77777777" w:rsidTr="00F00B7A">
        <w:trPr>
          <w:cantSplit/>
          <w:trHeight w:val="574"/>
        </w:trPr>
        <w:tc>
          <w:tcPr>
            <w:tcW w:w="2972" w:type="dxa"/>
            <w:shd w:val="clear" w:color="auto" w:fill="auto"/>
            <w:tcMar>
              <w:top w:w="28" w:type="dxa"/>
              <w:bottom w:w="28" w:type="dxa"/>
            </w:tcMar>
            <w:vAlign w:val="center"/>
          </w:tcPr>
          <w:p w14:paraId="3DE76A8B" w14:textId="540DA9FB" w:rsidR="00124585" w:rsidRPr="00567D48" w:rsidRDefault="00124585"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t>POLYETHYLENE GLYCOL 400 WITH PROPYLENE GLYCOL</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Eye drops 4mg-3mg per mL, single dose units 0.8 mL, 30</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Systane®</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Alcon Laboratories (Australia)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4 submission</w:t>
            </w:r>
            <w:r w:rsidRPr="00567D48">
              <w:rPr>
                <w:rFonts w:asciiTheme="minorHAnsi" w:hAnsiTheme="minorHAnsi" w:cs="Arial"/>
                <w:color w:val="000000"/>
                <w:sz w:val="18"/>
                <w:szCs w:val="18"/>
              </w:rPr>
              <w:br/>
              <w:t>(Change to PBS listing)</w:t>
            </w:r>
          </w:p>
        </w:tc>
        <w:tc>
          <w:tcPr>
            <w:tcW w:w="2491" w:type="dxa"/>
            <w:shd w:val="clear" w:color="auto" w:fill="auto"/>
            <w:vAlign w:val="center"/>
          </w:tcPr>
          <w:p w14:paraId="71EF3BCC" w14:textId="2B3EEC22" w:rsidR="00124585" w:rsidRPr="00567D48" w:rsidRDefault="00124585"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Severe dry eye syndrome</w:t>
            </w:r>
          </w:p>
        </w:tc>
        <w:tc>
          <w:tcPr>
            <w:tcW w:w="0" w:type="auto"/>
            <w:shd w:val="clear" w:color="auto" w:fill="auto"/>
            <w:tcMar>
              <w:top w:w="28" w:type="dxa"/>
              <w:bottom w:w="28" w:type="dxa"/>
            </w:tcMar>
            <w:vAlign w:val="center"/>
          </w:tcPr>
          <w:p w14:paraId="01D5F122" w14:textId="27F5A80C"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a change in pack size from a pack of 28 x 0.8 mL unit doses to 30 x 0.8 mL unit doses.</w:t>
            </w:r>
          </w:p>
        </w:tc>
        <w:tc>
          <w:tcPr>
            <w:tcW w:w="0" w:type="auto"/>
            <w:shd w:val="clear" w:color="auto" w:fill="auto"/>
            <w:vAlign w:val="center"/>
          </w:tcPr>
          <w:p w14:paraId="079047BF" w14:textId="163CAA15"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451D2C2D" w14:textId="30559350" w:rsidR="00124585" w:rsidRPr="00567D48" w:rsidRDefault="00124585" w:rsidP="00124585">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 xml:space="preserve">The PBAC recommended listing a new pack size of Systane (polyethylene glycol 400 with propylene glycol) eye drops with 30 x 0.8 mL unit doses at the same price per unit as the currently listed 28 x 0.8 mL unit doses pack. </w:t>
            </w:r>
          </w:p>
        </w:tc>
      </w:tr>
      <w:tr w:rsidR="00821923" w:rsidRPr="00567D48" w14:paraId="7DD20919" w14:textId="77777777" w:rsidTr="00F00B7A">
        <w:trPr>
          <w:cantSplit/>
          <w:trHeight w:val="3546"/>
        </w:trPr>
        <w:tc>
          <w:tcPr>
            <w:tcW w:w="2972" w:type="dxa"/>
            <w:vMerge w:val="restart"/>
            <w:shd w:val="clear" w:color="auto" w:fill="auto"/>
            <w:tcMar>
              <w:top w:w="28" w:type="dxa"/>
              <w:bottom w:w="28" w:type="dxa"/>
            </w:tcMar>
            <w:vAlign w:val="center"/>
          </w:tcPr>
          <w:p w14:paraId="3654F577" w14:textId="5E0139EE" w:rsidR="00821923" w:rsidRPr="00567D48" w:rsidRDefault="00821923"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 xml:space="preserve">PREGABALIN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Tablet 82.5 mg</w:t>
            </w:r>
            <w:r w:rsidRPr="00567D48">
              <w:rPr>
                <w:rFonts w:asciiTheme="minorHAnsi" w:hAnsiTheme="minorHAnsi" w:cs="Arial"/>
                <w:color w:val="000000"/>
                <w:sz w:val="18"/>
                <w:szCs w:val="18"/>
              </w:rPr>
              <w:br/>
              <w:t>Tablet 165 mg</w:t>
            </w:r>
            <w:r w:rsidRPr="00567D48">
              <w:rPr>
                <w:rFonts w:asciiTheme="minorHAnsi" w:hAnsiTheme="minorHAnsi" w:cs="Arial"/>
                <w:color w:val="000000"/>
                <w:sz w:val="18"/>
                <w:szCs w:val="18"/>
              </w:rPr>
              <w:br/>
              <w:t>Tablet 330 mg</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Lyrica® CR</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Upjohn Australia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2 submission</w:t>
            </w:r>
            <w:r w:rsidRPr="00567D48">
              <w:rPr>
                <w:rFonts w:asciiTheme="minorHAnsi" w:hAnsiTheme="minorHAnsi" w:cs="Arial"/>
                <w:color w:val="000000"/>
                <w:sz w:val="18"/>
                <w:szCs w:val="18"/>
              </w:rPr>
              <w:br/>
              <w:t>(New PBS listing)</w:t>
            </w:r>
          </w:p>
        </w:tc>
        <w:tc>
          <w:tcPr>
            <w:tcW w:w="2491" w:type="dxa"/>
            <w:vMerge w:val="restart"/>
            <w:shd w:val="clear" w:color="auto" w:fill="auto"/>
            <w:vAlign w:val="center"/>
          </w:tcPr>
          <w:p w14:paraId="745997A4" w14:textId="70183F71" w:rsidR="00821923" w:rsidRPr="00567D48" w:rsidRDefault="00821923"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Neuropathic pain</w:t>
            </w:r>
          </w:p>
        </w:tc>
        <w:tc>
          <w:tcPr>
            <w:tcW w:w="0" w:type="auto"/>
            <w:vMerge w:val="restart"/>
            <w:shd w:val="clear" w:color="auto" w:fill="auto"/>
            <w:tcMar>
              <w:top w:w="28" w:type="dxa"/>
              <w:bottom w:w="28" w:type="dxa"/>
            </w:tcMar>
            <w:vAlign w:val="center"/>
          </w:tcPr>
          <w:p w14:paraId="2C1B5E5F" w14:textId="6D46C60A" w:rsidR="00821923" w:rsidRPr="00567D48" w:rsidRDefault="00821923"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a General Schedule Authority Required (STREAMLINED) listing for the treatment of neuropathic pain in adults, where this condition is refractory to treatment with other drugs.</w:t>
            </w:r>
          </w:p>
        </w:tc>
        <w:tc>
          <w:tcPr>
            <w:tcW w:w="0" w:type="auto"/>
            <w:vMerge w:val="restart"/>
            <w:shd w:val="clear" w:color="auto" w:fill="auto"/>
            <w:vAlign w:val="center"/>
          </w:tcPr>
          <w:p w14:paraId="31003CA7" w14:textId="4F284E5D" w:rsidR="00821923" w:rsidRPr="00567D48" w:rsidRDefault="00821923"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Deferred</w:t>
            </w:r>
          </w:p>
        </w:tc>
        <w:tc>
          <w:tcPr>
            <w:tcW w:w="0" w:type="auto"/>
            <w:shd w:val="clear" w:color="auto" w:fill="auto"/>
            <w:vAlign w:val="bottom"/>
          </w:tcPr>
          <w:p w14:paraId="73685F0D" w14:textId="77777777" w:rsidR="00821923" w:rsidRPr="00567D48" w:rsidRDefault="00821923" w:rsidP="00104C50">
            <w:pPr>
              <w:rPr>
                <w:rFonts w:asciiTheme="minorHAnsi" w:hAnsiTheme="minorHAnsi" w:cs="Arial"/>
                <w:color w:val="000000"/>
                <w:sz w:val="18"/>
                <w:szCs w:val="18"/>
              </w:rPr>
            </w:pPr>
            <w:r w:rsidRPr="00567D48">
              <w:rPr>
                <w:rFonts w:asciiTheme="minorHAnsi" w:hAnsiTheme="minorHAnsi" w:cs="Arial"/>
                <w:color w:val="000000"/>
                <w:sz w:val="18"/>
                <w:szCs w:val="18"/>
              </w:rPr>
              <w:t xml:space="preserve">The PBAC deferred making a recommendation for the listing of a controlled-released formulation of pregabalin (pregabalin CR) for the treatment of neuropathic pain to allow for utilisation analysis of immediate release pregabalin (pregabalin IR) and to further consider the potential quality use of medicines (QUM) issues with the CR formulation. </w:t>
            </w:r>
          </w:p>
          <w:p w14:paraId="7356E910" w14:textId="77777777" w:rsidR="00821923" w:rsidRPr="00567D48" w:rsidRDefault="00821923" w:rsidP="00104C50">
            <w:pPr>
              <w:rPr>
                <w:rFonts w:asciiTheme="minorHAnsi" w:hAnsiTheme="minorHAnsi" w:cs="Arial"/>
                <w:color w:val="000000"/>
                <w:sz w:val="18"/>
                <w:szCs w:val="18"/>
              </w:rPr>
            </w:pPr>
          </w:p>
          <w:p w14:paraId="1521BBB1" w14:textId="77777777" w:rsidR="00821923" w:rsidRPr="00567D48" w:rsidRDefault="00821923" w:rsidP="00024CE2">
            <w:pPr>
              <w:rPr>
                <w:rFonts w:asciiTheme="minorHAnsi" w:hAnsiTheme="minorHAnsi" w:cs="Arial"/>
                <w:color w:val="000000"/>
                <w:sz w:val="18"/>
                <w:szCs w:val="18"/>
              </w:rPr>
            </w:pPr>
            <w:r w:rsidRPr="00567D48">
              <w:rPr>
                <w:rFonts w:asciiTheme="minorHAnsi" w:hAnsiTheme="minorHAnsi" w:cs="Arial"/>
                <w:color w:val="000000"/>
                <w:sz w:val="18"/>
                <w:szCs w:val="18"/>
              </w:rPr>
              <w:t xml:space="preserve">The PBAC expressed concern about reports of potential misuse and diversion of pregabalin (and </w:t>
            </w:r>
            <w:proofErr w:type="spellStart"/>
            <w:r w:rsidRPr="00567D48">
              <w:rPr>
                <w:rFonts w:asciiTheme="minorHAnsi" w:hAnsiTheme="minorHAnsi" w:cs="Arial"/>
                <w:color w:val="000000"/>
                <w:sz w:val="18"/>
                <w:szCs w:val="18"/>
              </w:rPr>
              <w:t>gabapentinoids</w:t>
            </w:r>
            <w:proofErr w:type="spellEnd"/>
            <w:r w:rsidRPr="00567D48">
              <w:rPr>
                <w:rFonts w:asciiTheme="minorHAnsi" w:hAnsiTheme="minorHAnsi" w:cs="Arial"/>
                <w:color w:val="000000"/>
                <w:sz w:val="18"/>
                <w:szCs w:val="18"/>
              </w:rPr>
              <w:t xml:space="preserve"> more broadly) in Australia. The Committee considered it was prudent to review the utilisation of pregabalin and to consider current evidence of misuse and diversion in Australia prior to forming a view as to whether additional forms of pregabalin should be recommended for listing on the PBS. Furthermore, the PBAC had additional QUM concerns specifically related to pregabalin CR which require further consideration, including the risk of prescribing errors, increased confusion amongst prescribers and patients and other factors unique to the controlled release formulation.</w:t>
            </w:r>
          </w:p>
          <w:p w14:paraId="1E38473B" w14:textId="77777777" w:rsidR="00821923" w:rsidRPr="00567D48" w:rsidRDefault="00821923" w:rsidP="00024CE2">
            <w:pPr>
              <w:rPr>
                <w:rFonts w:asciiTheme="minorHAnsi" w:hAnsiTheme="minorHAnsi" w:cs="Arial"/>
                <w:color w:val="000000"/>
                <w:sz w:val="18"/>
                <w:szCs w:val="18"/>
              </w:rPr>
            </w:pPr>
          </w:p>
          <w:p w14:paraId="712399D9" w14:textId="0EA9AC00" w:rsidR="00821923" w:rsidRPr="00567D48" w:rsidRDefault="00821923" w:rsidP="00024CE2">
            <w:pPr>
              <w:rPr>
                <w:rFonts w:asciiTheme="minorHAnsi" w:hAnsiTheme="minorHAnsi" w:cs="Arial"/>
                <w:color w:val="000000"/>
                <w:sz w:val="18"/>
                <w:szCs w:val="18"/>
              </w:rPr>
            </w:pPr>
            <w:r w:rsidRPr="00567D48">
              <w:rPr>
                <w:rFonts w:asciiTheme="minorHAnsi" w:hAnsiTheme="minorHAnsi" w:cs="Arial"/>
                <w:color w:val="000000"/>
                <w:sz w:val="18"/>
                <w:szCs w:val="18"/>
              </w:rPr>
              <w:t>The PBAC referred the matter of pregabalin use to the Drug Utilisation Sub-Committee (DUSC) for consideration at a future meeting.</w:t>
            </w:r>
          </w:p>
        </w:tc>
      </w:tr>
      <w:tr w:rsidR="00821923" w:rsidRPr="00567D48" w14:paraId="6808757A" w14:textId="77777777" w:rsidTr="00F00B7A">
        <w:trPr>
          <w:cantSplit/>
          <w:trHeight w:val="1456"/>
        </w:trPr>
        <w:tc>
          <w:tcPr>
            <w:tcW w:w="2972" w:type="dxa"/>
            <w:vMerge/>
            <w:shd w:val="clear" w:color="auto" w:fill="auto"/>
            <w:tcMar>
              <w:top w:w="28" w:type="dxa"/>
              <w:bottom w:w="28" w:type="dxa"/>
            </w:tcMar>
            <w:vAlign w:val="center"/>
          </w:tcPr>
          <w:p w14:paraId="7C641820" w14:textId="77777777" w:rsidR="00821923" w:rsidRPr="00567D48" w:rsidRDefault="00821923" w:rsidP="00124585">
            <w:pPr>
              <w:keepLines/>
              <w:spacing w:after="120"/>
              <w:rPr>
                <w:rFonts w:asciiTheme="minorHAnsi" w:hAnsiTheme="minorHAnsi" w:cs="Arial"/>
                <w:color w:val="000000"/>
                <w:sz w:val="18"/>
                <w:szCs w:val="18"/>
              </w:rPr>
            </w:pPr>
          </w:p>
        </w:tc>
        <w:tc>
          <w:tcPr>
            <w:tcW w:w="2491" w:type="dxa"/>
            <w:vMerge/>
            <w:shd w:val="clear" w:color="auto" w:fill="auto"/>
            <w:vAlign w:val="center"/>
          </w:tcPr>
          <w:p w14:paraId="26FE81A8" w14:textId="77777777" w:rsidR="00821923" w:rsidRPr="00567D48" w:rsidRDefault="00821923" w:rsidP="00124585">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0CC0D197" w14:textId="77777777" w:rsidR="00821923" w:rsidRPr="00567D48" w:rsidRDefault="00821923" w:rsidP="00124585">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5C35533D" w14:textId="77777777" w:rsidR="00821923" w:rsidRPr="00567D48" w:rsidRDefault="00821923" w:rsidP="00124585">
            <w:pPr>
              <w:pStyle w:val="ListParagraph"/>
              <w:keepLines/>
              <w:spacing w:after="120"/>
              <w:ind w:left="0"/>
              <w:rPr>
                <w:rFonts w:asciiTheme="minorHAnsi" w:hAnsiTheme="minorHAnsi" w:cs="Arial"/>
                <w:color w:val="000000"/>
                <w:sz w:val="18"/>
                <w:szCs w:val="18"/>
              </w:rPr>
            </w:pPr>
          </w:p>
        </w:tc>
        <w:tc>
          <w:tcPr>
            <w:tcW w:w="0" w:type="auto"/>
            <w:shd w:val="clear" w:color="auto" w:fill="auto"/>
          </w:tcPr>
          <w:p w14:paraId="04C72CA5" w14:textId="4130303E" w:rsidR="00821923" w:rsidRPr="00567D48" w:rsidRDefault="00821923" w:rsidP="00821923">
            <w:pPr>
              <w:rPr>
                <w:rFonts w:asciiTheme="minorHAnsi" w:hAnsiTheme="minorHAnsi" w:cs="Arial"/>
                <w:color w:val="000000"/>
                <w:sz w:val="18"/>
                <w:szCs w:val="18"/>
              </w:rPr>
            </w:pPr>
            <w:r w:rsidRPr="00567D48">
              <w:rPr>
                <w:rFonts w:asciiTheme="minorHAnsi" w:hAnsiTheme="minorHAnsi" w:cs="Arial"/>
                <w:color w:val="000000"/>
                <w:sz w:val="18"/>
                <w:szCs w:val="18"/>
                <w:u w:val="single"/>
              </w:rPr>
              <w:t>Sponsor’s comment</w:t>
            </w:r>
            <w:r w:rsidRPr="00567D48">
              <w:rPr>
                <w:rFonts w:asciiTheme="minorHAnsi" w:hAnsiTheme="minorHAnsi" w:cs="Arial"/>
                <w:color w:val="000000"/>
                <w:sz w:val="18"/>
                <w:szCs w:val="18"/>
              </w:rPr>
              <w:t>:</w:t>
            </w:r>
            <w:r w:rsidR="00AA7897" w:rsidRPr="00567D48">
              <w:rPr>
                <w:rFonts w:asciiTheme="minorHAnsi" w:hAnsiTheme="minorHAnsi" w:cs="Arial"/>
                <w:color w:val="000000"/>
                <w:sz w:val="18"/>
                <w:szCs w:val="18"/>
              </w:rPr>
              <w:t xml:space="preserve"> The sponsor had no comment. </w:t>
            </w:r>
          </w:p>
        </w:tc>
      </w:tr>
      <w:tr w:rsidR="00821923" w:rsidRPr="00567D48" w14:paraId="1B2218F9" w14:textId="77777777" w:rsidTr="00F00B7A">
        <w:trPr>
          <w:cantSplit/>
          <w:trHeight w:val="762"/>
        </w:trPr>
        <w:tc>
          <w:tcPr>
            <w:tcW w:w="2972" w:type="dxa"/>
            <w:vMerge w:val="restart"/>
            <w:shd w:val="clear" w:color="auto" w:fill="auto"/>
            <w:tcMar>
              <w:top w:w="28" w:type="dxa"/>
              <w:bottom w:w="28" w:type="dxa"/>
            </w:tcMar>
            <w:vAlign w:val="center"/>
          </w:tcPr>
          <w:p w14:paraId="0D30FF79" w14:textId="3457865A" w:rsidR="00821923" w:rsidRPr="00567D48" w:rsidRDefault="00821923"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 xml:space="preserve">PREGABALIN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Oral solution 20 mg per mL, 473 mL</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Pregabalin-AFT®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AFT Pharmaceuticals (Au)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4 submission</w:t>
            </w:r>
            <w:r w:rsidRPr="00567D48">
              <w:rPr>
                <w:rFonts w:asciiTheme="minorHAnsi" w:hAnsiTheme="minorHAnsi" w:cs="Arial"/>
                <w:color w:val="000000"/>
                <w:sz w:val="18"/>
                <w:szCs w:val="18"/>
              </w:rPr>
              <w:br/>
              <w:t>(New PBS listing)</w:t>
            </w:r>
          </w:p>
        </w:tc>
        <w:tc>
          <w:tcPr>
            <w:tcW w:w="2491" w:type="dxa"/>
            <w:vMerge w:val="restart"/>
            <w:shd w:val="clear" w:color="auto" w:fill="auto"/>
            <w:vAlign w:val="center"/>
          </w:tcPr>
          <w:p w14:paraId="2BC56D32" w14:textId="0AD0EDB1" w:rsidR="00821923" w:rsidRPr="00567D48" w:rsidRDefault="00821923"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Neuropathic pain</w:t>
            </w:r>
          </w:p>
        </w:tc>
        <w:tc>
          <w:tcPr>
            <w:tcW w:w="0" w:type="auto"/>
            <w:vMerge w:val="restart"/>
            <w:shd w:val="clear" w:color="auto" w:fill="auto"/>
            <w:tcMar>
              <w:top w:w="28" w:type="dxa"/>
              <w:bottom w:w="28" w:type="dxa"/>
            </w:tcMar>
            <w:vAlign w:val="center"/>
          </w:tcPr>
          <w:p w14:paraId="4FFADF65" w14:textId="0C3B6583" w:rsidR="00821923" w:rsidRPr="00567D48" w:rsidRDefault="00821923"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an Authority Required (STREAMLINED) listing of pregabalin solution under the same circumstances as the existing listings of pregabalin capsules.</w:t>
            </w:r>
          </w:p>
        </w:tc>
        <w:tc>
          <w:tcPr>
            <w:tcW w:w="0" w:type="auto"/>
            <w:vMerge w:val="restart"/>
            <w:shd w:val="clear" w:color="auto" w:fill="auto"/>
            <w:vAlign w:val="center"/>
          </w:tcPr>
          <w:p w14:paraId="6659036D" w14:textId="5DB20DA2" w:rsidR="00821923" w:rsidRPr="00567D48" w:rsidRDefault="00821923"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Deferred</w:t>
            </w:r>
          </w:p>
        </w:tc>
        <w:tc>
          <w:tcPr>
            <w:tcW w:w="0" w:type="auto"/>
            <w:shd w:val="clear" w:color="auto" w:fill="auto"/>
            <w:vAlign w:val="bottom"/>
          </w:tcPr>
          <w:p w14:paraId="7FE54F59" w14:textId="469702B0" w:rsidR="00821923" w:rsidRPr="00567D48" w:rsidRDefault="00821923" w:rsidP="00590136">
            <w:pPr>
              <w:rPr>
                <w:rFonts w:asciiTheme="minorHAnsi" w:hAnsiTheme="minorHAnsi" w:cs="Arial"/>
                <w:color w:val="000000"/>
                <w:sz w:val="18"/>
                <w:szCs w:val="18"/>
              </w:rPr>
            </w:pPr>
            <w:r w:rsidRPr="00567D48">
              <w:rPr>
                <w:rFonts w:asciiTheme="minorHAnsi" w:hAnsiTheme="minorHAnsi" w:cs="Arial"/>
                <w:color w:val="000000"/>
                <w:sz w:val="18"/>
                <w:szCs w:val="18"/>
              </w:rPr>
              <w:t xml:space="preserve">The PBAC deferred making a recommendation for the listing of pregabalin 20 mg per mL oral liquid (Pregabalin-AFT) for the treatment of neuropathic pain to allow for a review of the utilisation of the currently listed immediate release pregabalin capsules and to further consider potential quality use of medicines issues.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 xml:space="preserve">The PBAC expressed concern about reports of potential misuse and diversion of pregabalin (and </w:t>
            </w:r>
            <w:proofErr w:type="spellStart"/>
            <w:r w:rsidRPr="00567D48">
              <w:rPr>
                <w:rFonts w:asciiTheme="minorHAnsi" w:hAnsiTheme="minorHAnsi" w:cs="Arial"/>
                <w:color w:val="000000"/>
                <w:sz w:val="18"/>
                <w:szCs w:val="18"/>
              </w:rPr>
              <w:t>gabapentinoids</w:t>
            </w:r>
            <w:proofErr w:type="spellEnd"/>
            <w:r w:rsidRPr="00567D48">
              <w:rPr>
                <w:rFonts w:asciiTheme="minorHAnsi" w:hAnsiTheme="minorHAnsi" w:cs="Arial"/>
                <w:color w:val="000000"/>
                <w:sz w:val="18"/>
                <w:szCs w:val="18"/>
              </w:rPr>
              <w:t xml:space="preserve"> more broadly) in Australia. The Committee considered it was prudent to review the utilisation of pregabalin and to consider current evidence of misuse and diversion in Australia prior to forming a view as to whether additional forms of pregabalin should be recommended for listing on the PBS.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The PBAC referred the matter of pregabalin use to the Drug Utilisation Sub-Committee (DUSC) for consideration at a future meeting.</w:t>
            </w:r>
          </w:p>
        </w:tc>
      </w:tr>
      <w:tr w:rsidR="00821923" w:rsidRPr="00567D48" w14:paraId="007DB15F" w14:textId="77777777" w:rsidTr="00567D48">
        <w:trPr>
          <w:cantSplit/>
          <w:trHeight w:val="394"/>
        </w:trPr>
        <w:tc>
          <w:tcPr>
            <w:tcW w:w="2972" w:type="dxa"/>
            <w:vMerge/>
            <w:shd w:val="clear" w:color="auto" w:fill="auto"/>
            <w:tcMar>
              <w:top w:w="28" w:type="dxa"/>
              <w:bottom w:w="28" w:type="dxa"/>
            </w:tcMar>
            <w:vAlign w:val="center"/>
          </w:tcPr>
          <w:p w14:paraId="3331F1A7" w14:textId="77777777" w:rsidR="00821923" w:rsidRPr="00567D48" w:rsidRDefault="00821923" w:rsidP="00124585">
            <w:pPr>
              <w:keepLines/>
              <w:spacing w:after="120"/>
              <w:rPr>
                <w:rFonts w:asciiTheme="minorHAnsi" w:hAnsiTheme="minorHAnsi" w:cs="Arial"/>
                <w:color w:val="000000"/>
                <w:sz w:val="18"/>
                <w:szCs w:val="18"/>
              </w:rPr>
            </w:pPr>
          </w:p>
        </w:tc>
        <w:tc>
          <w:tcPr>
            <w:tcW w:w="2491" w:type="dxa"/>
            <w:vMerge/>
            <w:shd w:val="clear" w:color="auto" w:fill="auto"/>
            <w:vAlign w:val="center"/>
          </w:tcPr>
          <w:p w14:paraId="1E104F63" w14:textId="77777777" w:rsidR="00821923" w:rsidRPr="00567D48" w:rsidRDefault="00821923" w:rsidP="00124585">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72C259E2" w14:textId="77777777" w:rsidR="00821923" w:rsidRPr="00567D48" w:rsidRDefault="00821923" w:rsidP="00124585">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24FF39E6" w14:textId="77777777" w:rsidR="00821923" w:rsidRPr="00567D48" w:rsidRDefault="00821923" w:rsidP="00124585">
            <w:pPr>
              <w:pStyle w:val="ListParagraph"/>
              <w:keepLines/>
              <w:spacing w:after="120"/>
              <w:ind w:left="0"/>
              <w:rPr>
                <w:rFonts w:asciiTheme="minorHAnsi" w:hAnsiTheme="minorHAnsi" w:cs="Arial"/>
                <w:color w:val="000000"/>
                <w:sz w:val="18"/>
                <w:szCs w:val="18"/>
              </w:rPr>
            </w:pPr>
          </w:p>
        </w:tc>
        <w:tc>
          <w:tcPr>
            <w:tcW w:w="0" w:type="auto"/>
            <w:shd w:val="clear" w:color="auto" w:fill="auto"/>
          </w:tcPr>
          <w:p w14:paraId="6E5CFDB3" w14:textId="0506D7D8" w:rsidR="00821923" w:rsidRPr="00567D48" w:rsidRDefault="00821923" w:rsidP="00821923">
            <w:pPr>
              <w:rPr>
                <w:rFonts w:asciiTheme="minorHAnsi" w:hAnsiTheme="minorHAnsi" w:cs="Arial"/>
                <w:color w:val="000000"/>
                <w:sz w:val="18"/>
                <w:szCs w:val="18"/>
              </w:rPr>
            </w:pPr>
            <w:r w:rsidRPr="00567D48">
              <w:rPr>
                <w:rFonts w:asciiTheme="minorHAnsi" w:hAnsiTheme="minorHAnsi" w:cs="Arial"/>
                <w:color w:val="000000"/>
                <w:sz w:val="18"/>
                <w:szCs w:val="18"/>
                <w:u w:val="single"/>
              </w:rPr>
              <w:t>Sponsor’s comment</w:t>
            </w:r>
            <w:r w:rsidRPr="00567D48">
              <w:rPr>
                <w:rFonts w:asciiTheme="minorHAnsi" w:hAnsiTheme="minorHAnsi" w:cs="Arial"/>
                <w:color w:val="000000"/>
                <w:sz w:val="18"/>
                <w:szCs w:val="18"/>
              </w:rPr>
              <w:t>:</w:t>
            </w:r>
            <w:r w:rsidR="00F55BB0" w:rsidRPr="00567D48">
              <w:rPr>
                <w:rFonts w:asciiTheme="minorHAnsi" w:hAnsiTheme="minorHAnsi" w:cs="Arial"/>
                <w:color w:val="000000"/>
                <w:sz w:val="18"/>
                <w:szCs w:val="18"/>
              </w:rPr>
              <w:t xml:space="preserve"> The sponsor had no comment. </w:t>
            </w:r>
          </w:p>
        </w:tc>
      </w:tr>
      <w:tr w:rsidR="00124585" w:rsidRPr="00567D48" w14:paraId="3E78221A" w14:textId="77777777" w:rsidTr="00822F66">
        <w:trPr>
          <w:trHeight w:val="2910"/>
        </w:trPr>
        <w:tc>
          <w:tcPr>
            <w:tcW w:w="2972" w:type="dxa"/>
            <w:shd w:val="clear" w:color="auto" w:fill="auto"/>
            <w:tcMar>
              <w:top w:w="28" w:type="dxa"/>
              <w:bottom w:w="28" w:type="dxa"/>
            </w:tcMar>
            <w:vAlign w:val="center"/>
          </w:tcPr>
          <w:p w14:paraId="4B53DEBA" w14:textId="12C1DECA" w:rsidR="00124585" w:rsidRPr="00567D48" w:rsidRDefault="00124585" w:rsidP="00124585">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t>PROGESTERONE</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Pessary 200 mg</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Oripro</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Orion Laboratories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4 submission</w:t>
            </w:r>
            <w:r w:rsidRPr="00567D48">
              <w:rPr>
                <w:rFonts w:asciiTheme="minorHAnsi" w:hAnsiTheme="minorHAnsi" w:cs="Arial"/>
                <w:color w:val="000000"/>
                <w:sz w:val="18"/>
                <w:szCs w:val="18"/>
              </w:rPr>
              <w:br/>
              <w:t>(Change to PBS listing)</w:t>
            </w:r>
          </w:p>
        </w:tc>
        <w:tc>
          <w:tcPr>
            <w:tcW w:w="2491" w:type="dxa"/>
            <w:shd w:val="clear" w:color="auto" w:fill="auto"/>
            <w:vAlign w:val="center"/>
          </w:tcPr>
          <w:p w14:paraId="6B946CF8" w14:textId="328CA42E" w:rsidR="00124585" w:rsidRPr="00567D48" w:rsidRDefault="00124585" w:rsidP="00124585">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Prevention of preterm birth</w:t>
            </w:r>
          </w:p>
        </w:tc>
        <w:tc>
          <w:tcPr>
            <w:tcW w:w="0" w:type="auto"/>
            <w:shd w:val="clear" w:color="auto" w:fill="auto"/>
            <w:tcMar>
              <w:top w:w="28" w:type="dxa"/>
              <w:bottom w:w="28" w:type="dxa"/>
            </w:tcMar>
            <w:vAlign w:val="center"/>
          </w:tcPr>
          <w:p w14:paraId="38255969" w14:textId="499E7A2F" w:rsidR="00124585" w:rsidRPr="00567D48" w:rsidRDefault="00124585" w:rsidP="00590136">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 xml:space="preserve">To request an increase of maximum quantity from </w:t>
            </w:r>
            <w:r w:rsidR="00590136" w:rsidRPr="00567D48">
              <w:rPr>
                <w:rFonts w:asciiTheme="minorHAnsi" w:hAnsiTheme="minorHAnsi" w:cs="Arial"/>
                <w:color w:val="000000"/>
                <w:sz w:val="18"/>
                <w:szCs w:val="18"/>
              </w:rPr>
              <w:t>2</w:t>
            </w:r>
            <w:r w:rsidRPr="00567D48">
              <w:rPr>
                <w:rFonts w:asciiTheme="minorHAnsi" w:hAnsiTheme="minorHAnsi" w:cs="Arial"/>
                <w:color w:val="000000"/>
                <w:sz w:val="18"/>
                <w:szCs w:val="18"/>
              </w:rPr>
              <w:t xml:space="preserve"> packs (30 units) to </w:t>
            </w:r>
            <w:r w:rsidR="00590136" w:rsidRPr="00567D48">
              <w:rPr>
                <w:rFonts w:asciiTheme="minorHAnsi" w:hAnsiTheme="minorHAnsi" w:cs="Arial"/>
                <w:color w:val="000000"/>
                <w:sz w:val="18"/>
                <w:szCs w:val="18"/>
              </w:rPr>
              <w:t xml:space="preserve">3 </w:t>
            </w:r>
            <w:r w:rsidRPr="00567D48">
              <w:rPr>
                <w:rFonts w:asciiTheme="minorHAnsi" w:hAnsiTheme="minorHAnsi" w:cs="Arial"/>
                <w:color w:val="000000"/>
                <w:sz w:val="18"/>
                <w:szCs w:val="18"/>
              </w:rPr>
              <w:t xml:space="preserve">packs (45 units), and a decrease in number of repeats from </w:t>
            </w:r>
            <w:r w:rsidR="00590136" w:rsidRPr="00567D48">
              <w:rPr>
                <w:rFonts w:asciiTheme="minorHAnsi" w:hAnsiTheme="minorHAnsi" w:cs="Arial"/>
                <w:color w:val="000000"/>
                <w:sz w:val="18"/>
                <w:szCs w:val="18"/>
              </w:rPr>
              <w:t>5</w:t>
            </w:r>
            <w:r w:rsidRPr="00567D48">
              <w:rPr>
                <w:rFonts w:asciiTheme="minorHAnsi" w:hAnsiTheme="minorHAnsi" w:cs="Arial"/>
                <w:color w:val="000000"/>
                <w:sz w:val="18"/>
                <w:szCs w:val="18"/>
              </w:rPr>
              <w:t xml:space="preserve"> to </w:t>
            </w:r>
            <w:r w:rsidR="00590136" w:rsidRPr="00567D48">
              <w:rPr>
                <w:rFonts w:asciiTheme="minorHAnsi" w:hAnsiTheme="minorHAnsi" w:cs="Arial"/>
                <w:color w:val="000000"/>
                <w:sz w:val="18"/>
                <w:szCs w:val="18"/>
              </w:rPr>
              <w:t>3</w:t>
            </w:r>
            <w:r w:rsidRPr="00567D48">
              <w:rPr>
                <w:rFonts w:asciiTheme="minorHAnsi" w:hAnsiTheme="minorHAnsi" w:cs="Arial"/>
                <w:color w:val="000000"/>
                <w:sz w:val="18"/>
                <w:szCs w:val="18"/>
              </w:rPr>
              <w:t>.</w:t>
            </w:r>
          </w:p>
        </w:tc>
        <w:tc>
          <w:tcPr>
            <w:tcW w:w="0" w:type="auto"/>
            <w:shd w:val="clear" w:color="auto" w:fill="auto"/>
            <w:vAlign w:val="center"/>
          </w:tcPr>
          <w:p w14:paraId="0BE3D99B" w14:textId="3F3111D8" w:rsidR="00124585" w:rsidRPr="00567D48" w:rsidRDefault="00124585" w:rsidP="00124585">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3F1FB539" w14:textId="18CAFCC2" w:rsidR="00124585" w:rsidRPr="00567D48" w:rsidRDefault="00124585" w:rsidP="00124585">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The PBAC recommended increasing the maximum quantity from 30 pessaries (2 packs) to 45 pessaries (3 packs) and reducing the number of repeats from 5 to 3 of the PBS listed progesterone 200 mg pessary (</w:t>
            </w:r>
            <w:proofErr w:type="spellStart"/>
            <w:r w:rsidRPr="00567D48">
              <w:rPr>
                <w:rFonts w:asciiTheme="minorHAnsi" w:hAnsiTheme="minorHAnsi" w:cs="Arial"/>
                <w:color w:val="000000"/>
                <w:sz w:val="18"/>
                <w:szCs w:val="18"/>
              </w:rPr>
              <w:t>Oripro</w:t>
            </w:r>
            <w:proofErr w:type="spellEnd"/>
            <w:r w:rsidRPr="00567D48">
              <w:rPr>
                <w:rFonts w:asciiTheme="minorHAnsi" w:hAnsiTheme="minorHAnsi" w:cs="Arial"/>
                <w:color w:val="000000"/>
                <w:sz w:val="18"/>
                <w:szCs w:val="18"/>
              </w:rPr>
              <w:t>) for the prevention of preterm birth, to align the number of patient co-payments with another brand of progesterone (</w:t>
            </w:r>
            <w:proofErr w:type="spellStart"/>
            <w:r w:rsidRPr="00567D48">
              <w:rPr>
                <w:rFonts w:asciiTheme="minorHAnsi" w:hAnsiTheme="minorHAnsi" w:cs="Arial"/>
                <w:color w:val="000000"/>
                <w:sz w:val="18"/>
                <w:szCs w:val="18"/>
              </w:rPr>
              <w:t>Utrogestan</w:t>
            </w:r>
            <w:proofErr w:type="spellEnd"/>
            <w:r w:rsidRPr="00567D48">
              <w:rPr>
                <w:rFonts w:asciiTheme="minorHAnsi" w:hAnsiTheme="minorHAnsi" w:cs="Arial"/>
                <w:color w:val="000000"/>
                <w:sz w:val="18"/>
                <w:szCs w:val="18"/>
              </w:rPr>
              <w:t>®).</w:t>
            </w:r>
          </w:p>
        </w:tc>
      </w:tr>
      <w:tr w:rsidR="00822F66" w:rsidRPr="00567D48" w14:paraId="2BE40CA9" w14:textId="77777777" w:rsidTr="00822F66">
        <w:trPr>
          <w:trHeight w:val="574"/>
        </w:trPr>
        <w:tc>
          <w:tcPr>
            <w:tcW w:w="2972" w:type="dxa"/>
            <w:vMerge w:val="restart"/>
            <w:shd w:val="clear" w:color="auto" w:fill="auto"/>
            <w:tcMar>
              <w:top w:w="28" w:type="dxa"/>
              <w:bottom w:w="28" w:type="dxa"/>
            </w:tcMar>
            <w:vAlign w:val="center"/>
          </w:tcPr>
          <w:p w14:paraId="69BA43D2" w14:textId="1216525B" w:rsidR="00822F66" w:rsidRPr="00567D48" w:rsidRDefault="00822F66" w:rsidP="00822F66">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 xml:space="preserve">REGORAFENIB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Tablet 40 mg (as monohydrate)</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Stivarga</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Bayer Australia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Standard Re-entry submission</w:t>
            </w:r>
            <w:r w:rsidRPr="00567D48">
              <w:rPr>
                <w:rFonts w:asciiTheme="minorHAnsi" w:hAnsiTheme="minorHAnsi" w:cs="Arial"/>
                <w:color w:val="000000"/>
                <w:sz w:val="18"/>
                <w:szCs w:val="18"/>
              </w:rPr>
              <w:br/>
              <w:t>(New PBS listing)</w:t>
            </w:r>
          </w:p>
        </w:tc>
        <w:tc>
          <w:tcPr>
            <w:tcW w:w="2491" w:type="dxa"/>
            <w:vMerge w:val="restart"/>
            <w:shd w:val="clear" w:color="auto" w:fill="auto"/>
            <w:vAlign w:val="center"/>
          </w:tcPr>
          <w:p w14:paraId="29C8C454" w14:textId="7D62209B" w:rsidR="00822F66" w:rsidRPr="00567D48" w:rsidRDefault="00822F66" w:rsidP="00822F66">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Colorectal cancer</w:t>
            </w:r>
          </w:p>
        </w:tc>
        <w:tc>
          <w:tcPr>
            <w:tcW w:w="0" w:type="auto"/>
            <w:vMerge w:val="restart"/>
            <w:shd w:val="clear" w:color="auto" w:fill="auto"/>
            <w:tcMar>
              <w:top w:w="28" w:type="dxa"/>
              <w:bottom w:w="28" w:type="dxa"/>
            </w:tcMar>
            <w:vAlign w:val="center"/>
          </w:tcPr>
          <w:p w14:paraId="162099B8" w14:textId="3889D950" w:rsidR="00822F66" w:rsidRPr="00567D48" w:rsidRDefault="00822F66" w:rsidP="00822F66">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Resubmission to request a General Schedule Authority Required (STREAMLINED) listing for beyond second-line treatment of patients with metastatic colorectal cancer.</w:t>
            </w:r>
          </w:p>
        </w:tc>
        <w:tc>
          <w:tcPr>
            <w:tcW w:w="0" w:type="auto"/>
            <w:vMerge w:val="restart"/>
            <w:shd w:val="clear" w:color="auto" w:fill="auto"/>
            <w:vAlign w:val="center"/>
          </w:tcPr>
          <w:p w14:paraId="7BB5DB17" w14:textId="1B62A769" w:rsidR="00822F66" w:rsidRPr="00567D48" w:rsidRDefault="00822F66" w:rsidP="00822F66">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Not Recommended</w:t>
            </w:r>
          </w:p>
        </w:tc>
        <w:tc>
          <w:tcPr>
            <w:tcW w:w="0" w:type="auto"/>
            <w:shd w:val="clear" w:color="auto" w:fill="auto"/>
            <w:vAlign w:val="center"/>
          </w:tcPr>
          <w:p w14:paraId="0EF7DA44" w14:textId="77777777" w:rsidR="00822F66" w:rsidRPr="00567D48" w:rsidRDefault="00822F66" w:rsidP="00822F66">
            <w:pPr>
              <w:rPr>
                <w:rFonts w:asciiTheme="minorHAnsi" w:hAnsiTheme="minorHAnsi" w:cs="Arial"/>
                <w:sz w:val="18"/>
                <w:szCs w:val="18"/>
              </w:rPr>
            </w:pPr>
            <w:r w:rsidRPr="00567D48">
              <w:rPr>
                <w:rFonts w:asciiTheme="minorHAnsi" w:hAnsiTheme="minorHAnsi" w:cs="Arial"/>
                <w:sz w:val="18"/>
                <w:szCs w:val="18"/>
              </w:rPr>
              <w:t>The PBAC did not recommend the listing of regorafenib for the treatment of metastatic colorectal cancer (mCRC) after treatment with two or more prior therapies, on the basis that the evidence presented indicated regorafenib is toxic and would adversely impact patients’ overall quality of life, whilst having a limited impact on prognosis.</w:t>
            </w:r>
          </w:p>
          <w:p w14:paraId="557D1F52" w14:textId="77777777" w:rsidR="00822F66" w:rsidRPr="00567D48" w:rsidRDefault="00822F66" w:rsidP="00822F66">
            <w:pPr>
              <w:rPr>
                <w:rFonts w:asciiTheme="minorHAnsi" w:hAnsiTheme="minorHAnsi" w:cs="Arial"/>
                <w:sz w:val="18"/>
                <w:szCs w:val="18"/>
              </w:rPr>
            </w:pPr>
          </w:p>
          <w:p w14:paraId="3C27649B" w14:textId="77777777" w:rsidR="00822F66" w:rsidRPr="00567D48" w:rsidRDefault="00822F66" w:rsidP="00822F66">
            <w:pPr>
              <w:rPr>
                <w:rFonts w:asciiTheme="minorHAnsi" w:hAnsiTheme="minorHAnsi" w:cs="Arial"/>
                <w:sz w:val="18"/>
                <w:szCs w:val="18"/>
              </w:rPr>
            </w:pPr>
            <w:r w:rsidRPr="00567D48">
              <w:rPr>
                <w:rFonts w:asciiTheme="minorHAnsi" w:hAnsiTheme="minorHAnsi" w:cs="Arial"/>
                <w:sz w:val="18"/>
                <w:szCs w:val="18"/>
              </w:rPr>
              <w:t>The PBAC considered while there was a clinical need for additional safe and effective later-line therapies in mCRC, the modest efficacy and poor safety profile of regorafenib meant it did not fulfil this need.</w:t>
            </w:r>
          </w:p>
          <w:p w14:paraId="4E4B63A7" w14:textId="77777777" w:rsidR="00822F66" w:rsidRPr="00567D48" w:rsidRDefault="00822F66" w:rsidP="00822F66">
            <w:pPr>
              <w:rPr>
                <w:rFonts w:asciiTheme="minorHAnsi" w:hAnsiTheme="minorHAnsi" w:cs="Arial"/>
                <w:sz w:val="18"/>
                <w:szCs w:val="18"/>
              </w:rPr>
            </w:pPr>
          </w:p>
          <w:p w14:paraId="3D3AD33D" w14:textId="77777777" w:rsidR="00822F66" w:rsidRPr="00567D48" w:rsidRDefault="00822F66" w:rsidP="00822F66">
            <w:pPr>
              <w:rPr>
                <w:rFonts w:asciiTheme="minorHAnsi" w:hAnsiTheme="minorHAnsi" w:cs="Arial"/>
                <w:sz w:val="18"/>
                <w:szCs w:val="18"/>
                <w:u w:val="single"/>
              </w:rPr>
            </w:pPr>
            <w:r w:rsidRPr="00567D48">
              <w:rPr>
                <w:rFonts w:asciiTheme="minorHAnsi" w:hAnsiTheme="minorHAnsi" w:cs="Arial"/>
                <w:sz w:val="18"/>
                <w:szCs w:val="18"/>
                <w:u w:val="single"/>
              </w:rPr>
              <w:t>Comparator: Trifluridine/</w:t>
            </w:r>
            <w:proofErr w:type="spellStart"/>
            <w:r w:rsidRPr="00567D48">
              <w:rPr>
                <w:rFonts w:asciiTheme="minorHAnsi" w:hAnsiTheme="minorHAnsi" w:cs="Arial"/>
                <w:sz w:val="18"/>
                <w:szCs w:val="18"/>
                <w:u w:val="single"/>
              </w:rPr>
              <w:t>tipiracil</w:t>
            </w:r>
            <w:proofErr w:type="spellEnd"/>
          </w:p>
          <w:p w14:paraId="14C68F46" w14:textId="77777777" w:rsidR="00822F66" w:rsidRPr="00567D48" w:rsidRDefault="00822F66" w:rsidP="00822F66">
            <w:pPr>
              <w:rPr>
                <w:rFonts w:asciiTheme="minorHAnsi" w:hAnsiTheme="minorHAnsi" w:cs="Arial"/>
                <w:sz w:val="18"/>
                <w:szCs w:val="18"/>
              </w:rPr>
            </w:pPr>
            <w:r w:rsidRPr="00567D48">
              <w:rPr>
                <w:rFonts w:asciiTheme="minorHAnsi" w:hAnsiTheme="minorHAnsi" w:cs="Arial"/>
                <w:sz w:val="18"/>
                <w:szCs w:val="18"/>
              </w:rPr>
              <w:t>The PBAC considered this was reasonable.</w:t>
            </w:r>
          </w:p>
          <w:p w14:paraId="2073282E" w14:textId="77777777" w:rsidR="00822F66" w:rsidRPr="00567D48" w:rsidRDefault="00822F66" w:rsidP="00822F66">
            <w:pPr>
              <w:rPr>
                <w:rFonts w:asciiTheme="minorHAnsi" w:hAnsiTheme="minorHAnsi" w:cs="Arial"/>
                <w:sz w:val="18"/>
                <w:szCs w:val="18"/>
              </w:rPr>
            </w:pPr>
          </w:p>
          <w:p w14:paraId="7CD92594" w14:textId="77777777" w:rsidR="00822F66" w:rsidRPr="00567D48" w:rsidRDefault="00822F66" w:rsidP="00822F66">
            <w:pPr>
              <w:rPr>
                <w:rFonts w:asciiTheme="minorHAnsi" w:hAnsiTheme="minorHAnsi" w:cs="Arial"/>
                <w:sz w:val="18"/>
                <w:szCs w:val="18"/>
                <w:u w:val="single"/>
              </w:rPr>
            </w:pPr>
            <w:r w:rsidRPr="00567D48">
              <w:rPr>
                <w:rFonts w:asciiTheme="minorHAnsi" w:hAnsiTheme="minorHAnsi" w:cs="Arial"/>
                <w:sz w:val="18"/>
                <w:szCs w:val="18"/>
                <w:u w:val="single"/>
              </w:rPr>
              <w:t>Clinical claim: Regorafenib is of non-inferior comparative effectiveness and safety to trifluridine/</w:t>
            </w:r>
            <w:proofErr w:type="spellStart"/>
            <w:r w:rsidRPr="00567D48">
              <w:rPr>
                <w:rFonts w:asciiTheme="minorHAnsi" w:hAnsiTheme="minorHAnsi" w:cs="Arial"/>
                <w:sz w:val="18"/>
                <w:szCs w:val="18"/>
                <w:u w:val="single"/>
              </w:rPr>
              <w:t>tipiracil</w:t>
            </w:r>
            <w:proofErr w:type="spellEnd"/>
          </w:p>
          <w:p w14:paraId="318399CD" w14:textId="77777777" w:rsidR="00822F66" w:rsidRPr="00567D48" w:rsidRDefault="00822F66" w:rsidP="00822F66">
            <w:pPr>
              <w:rPr>
                <w:rFonts w:asciiTheme="minorHAnsi" w:hAnsiTheme="minorHAnsi" w:cs="Arial"/>
                <w:sz w:val="18"/>
                <w:szCs w:val="18"/>
              </w:rPr>
            </w:pPr>
            <w:r w:rsidRPr="00567D48">
              <w:rPr>
                <w:rFonts w:asciiTheme="minorHAnsi" w:hAnsiTheme="minorHAnsi" w:cs="Arial"/>
                <w:sz w:val="18"/>
                <w:szCs w:val="18"/>
              </w:rPr>
              <w:t>Despite uncertainties with the indirect comparisons and variability with the sensitivity analyses, the PBAC considered the claim of non-inferior comparative effectiveness to trifluridine/</w:t>
            </w:r>
            <w:proofErr w:type="spellStart"/>
            <w:r w:rsidRPr="00567D48">
              <w:rPr>
                <w:rFonts w:asciiTheme="minorHAnsi" w:hAnsiTheme="minorHAnsi" w:cs="Arial"/>
                <w:sz w:val="18"/>
                <w:szCs w:val="18"/>
              </w:rPr>
              <w:t>tipiracil</w:t>
            </w:r>
            <w:proofErr w:type="spellEnd"/>
            <w:r w:rsidRPr="00567D48">
              <w:rPr>
                <w:rFonts w:asciiTheme="minorHAnsi" w:hAnsiTheme="minorHAnsi" w:cs="Arial"/>
                <w:sz w:val="18"/>
                <w:szCs w:val="18"/>
              </w:rPr>
              <w:t xml:space="preserve"> was likely to be reasonable.</w:t>
            </w:r>
          </w:p>
          <w:p w14:paraId="20B00AD7" w14:textId="77777777" w:rsidR="00822F66" w:rsidRPr="00567D48" w:rsidRDefault="00822F66" w:rsidP="00822F66">
            <w:pPr>
              <w:rPr>
                <w:rFonts w:asciiTheme="minorHAnsi" w:hAnsiTheme="minorHAnsi" w:cs="Arial"/>
                <w:sz w:val="18"/>
                <w:szCs w:val="18"/>
              </w:rPr>
            </w:pPr>
          </w:p>
          <w:p w14:paraId="1C9CAAE1" w14:textId="77777777" w:rsidR="00822F66" w:rsidRPr="00567D48" w:rsidRDefault="00822F66" w:rsidP="00822F66">
            <w:pPr>
              <w:rPr>
                <w:rFonts w:asciiTheme="minorHAnsi" w:hAnsiTheme="minorHAnsi" w:cs="Arial"/>
                <w:snapToGrid w:val="0"/>
                <w:sz w:val="18"/>
                <w:szCs w:val="18"/>
                <w:lang w:val="en-GB"/>
              </w:rPr>
            </w:pPr>
            <w:r w:rsidRPr="00567D48">
              <w:rPr>
                <w:rFonts w:asciiTheme="minorHAnsi" w:hAnsiTheme="minorHAnsi" w:cs="Arial"/>
                <w:snapToGrid w:val="0"/>
                <w:sz w:val="18"/>
                <w:szCs w:val="18"/>
                <w:lang w:val="en-GB"/>
              </w:rPr>
              <w:t xml:space="preserve">The PBAC noted the evidence presented indicated regorafenib is associated with significant risk of adverse events, including many of grade III or higher severity. The PBAC was particularly concerned about the high number of hand-foot skin reactions of this severity (16.6% in the CORRECT trial) and the impact on patients’ ability for self-care. It was also noted more than 7% of patients experienced diarrhoea at this level of severity, which may require hospitalisation. The PBAC also noted the TGA black box warning for rare cases of fatal hepatotoxicity. </w:t>
            </w:r>
          </w:p>
          <w:p w14:paraId="41544C3C" w14:textId="77777777" w:rsidR="00822F66" w:rsidRPr="00567D48" w:rsidRDefault="00822F66" w:rsidP="00822F66">
            <w:pPr>
              <w:rPr>
                <w:rFonts w:asciiTheme="minorHAnsi" w:hAnsiTheme="minorHAnsi" w:cs="Arial"/>
                <w:snapToGrid w:val="0"/>
                <w:sz w:val="18"/>
                <w:szCs w:val="18"/>
                <w:lang w:val="en-GB"/>
              </w:rPr>
            </w:pPr>
          </w:p>
          <w:p w14:paraId="59FD731C" w14:textId="77777777" w:rsidR="00822F66" w:rsidRPr="00567D48" w:rsidRDefault="00822F66" w:rsidP="00822F66">
            <w:pPr>
              <w:rPr>
                <w:rFonts w:asciiTheme="minorHAnsi" w:hAnsiTheme="minorHAnsi" w:cs="Arial"/>
                <w:snapToGrid w:val="0"/>
                <w:sz w:val="18"/>
                <w:szCs w:val="18"/>
                <w:lang w:val="en-GB"/>
              </w:rPr>
            </w:pPr>
            <w:r w:rsidRPr="00567D48">
              <w:rPr>
                <w:rFonts w:asciiTheme="minorHAnsi" w:hAnsiTheme="minorHAnsi" w:cs="Arial"/>
                <w:snapToGrid w:val="0"/>
                <w:sz w:val="18"/>
                <w:szCs w:val="18"/>
                <w:lang w:val="en-GB"/>
              </w:rPr>
              <w:t>The Committee considered regorafenib and trifluridine/</w:t>
            </w:r>
            <w:proofErr w:type="spellStart"/>
            <w:r w:rsidRPr="00567D48">
              <w:rPr>
                <w:rFonts w:asciiTheme="minorHAnsi" w:hAnsiTheme="minorHAnsi" w:cs="Arial"/>
                <w:snapToGrid w:val="0"/>
                <w:sz w:val="18"/>
                <w:szCs w:val="18"/>
                <w:lang w:val="en-GB"/>
              </w:rPr>
              <w:t>tipiracil</w:t>
            </w:r>
            <w:proofErr w:type="spellEnd"/>
            <w:r w:rsidRPr="00567D48">
              <w:rPr>
                <w:rFonts w:asciiTheme="minorHAnsi" w:hAnsiTheme="minorHAnsi" w:cs="Arial"/>
                <w:snapToGrid w:val="0"/>
                <w:sz w:val="18"/>
                <w:szCs w:val="18"/>
                <w:lang w:val="en-GB"/>
              </w:rPr>
              <w:t xml:space="preserve"> have distinct adverse event profiles, however it was noted the haematological adverse effects of </w:t>
            </w:r>
            <w:r w:rsidRPr="00567D48">
              <w:rPr>
                <w:rFonts w:asciiTheme="minorHAnsi" w:hAnsiTheme="minorHAnsi" w:cs="Arial"/>
                <w:snapToGrid w:val="0"/>
                <w:sz w:val="18"/>
                <w:szCs w:val="18"/>
                <w:lang w:val="en-GB"/>
              </w:rPr>
              <w:lastRenderedPageBreak/>
              <w:t>trifluridine/</w:t>
            </w:r>
            <w:proofErr w:type="spellStart"/>
            <w:r w:rsidRPr="00567D48">
              <w:rPr>
                <w:rFonts w:asciiTheme="minorHAnsi" w:hAnsiTheme="minorHAnsi" w:cs="Arial"/>
                <w:snapToGrid w:val="0"/>
                <w:sz w:val="18"/>
                <w:szCs w:val="18"/>
                <w:lang w:val="en-GB"/>
              </w:rPr>
              <w:t>tipiracil</w:t>
            </w:r>
            <w:proofErr w:type="spellEnd"/>
            <w:r w:rsidRPr="00567D48">
              <w:rPr>
                <w:rFonts w:asciiTheme="minorHAnsi" w:hAnsiTheme="minorHAnsi" w:cs="Arial"/>
                <w:snapToGrid w:val="0"/>
                <w:sz w:val="18"/>
                <w:szCs w:val="18"/>
                <w:lang w:val="en-GB"/>
              </w:rPr>
              <w:t xml:space="preserve"> are generally easier to manage than the severe dermatological reactions with regorafenib, and regorafenib was associated with statistically significantly higher rates of adverse events leading to treatment discontinuation. Based on the available evidence, the PBAC did not agree with the submission’s claim of non-inferior comparative safety to trifluridine/</w:t>
            </w:r>
            <w:proofErr w:type="spellStart"/>
            <w:r w:rsidRPr="00567D48">
              <w:rPr>
                <w:rFonts w:asciiTheme="minorHAnsi" w:hAnsiTheme="minorHAnsi" w:cs="Arial"/>
                <w:snapToGrid w:val="0"/>
                <w:sz w:val="18"/>
                <w:szCs w:val="18"/>
                <w:lang w:val="en-GB"/>
              </w:rPr>
              <w:t>tipiracil</w:t>
            </w:r>
            <w:proofErr w:type="spellEnd"/>
            <w:r w:rsidRPr="00567D48">
              <w:rPr>
                <w:rFonts w:asciiTheme="minorHAnsi" w:hAnsiTheme="minorHAnsi" w:cs="Arial"/>
                <w:snapToGrid w:val="0"/>
                <w:sz w:val="18"/>
                <w:szCs w:val="18"/>
                <w:lang w:val="en-GB"/>
              </w:rPr>
              <w:t xml:space="preserve"> and considered </w:t>
            </w:r>
            <w:proofErr w:type="spellStart"/>
            <w:r w:rsidRPr="00567D48">
              <w:rPr>
                <w:rFonts w:asciiTheme="minorHAnsi" w:hAnsiTheme="minorHAnsi" w:cs="Arial"/>
                <w:snapToGrid w:val="0"/>
                <w:sz w:val="18"/>
                <w:szCs w:val="18"/>
                <w:lang w:val="en-GB"/>
              </w:rPr>
              <w:t>reforafenib</w:t>
            </w:r>
            <w:proofErr w:type="spellEnd"/>
            <w:r w:rsidRPr="00567D48">
              <w:rPr>
                <w:rFonts w:asciiTheme="minorHAnsi" w:hAnsiTheme="minorHAnsi" w:cs="Arial"/>
                <w:snapToGrid w:val="0"/>
                <w:sz w:val="18"/>
                <w:szCs w:val="18"/>
                <w:lang w:val="en-GB"/>
              </w:rPr>
              <w:t xml:space="preserve"> was likely inferior.</w:t>
            </w:r>
          </w:p>
          <w:p w14:paraId="6B35E6CA" w14:textId="77777777" w:rsidR="00822F66" w:rsidRPr="00567D48" w:rsidRDefault="00822F66" w:rsidP="00822F66">
            <w:pPr>
              <w:rPr>
                <w:rFonts w:asciiTheme="minorHAnsi" w:hAnsiTheme="minorHAnsi" w:cs="Arial"/>
                <w:sz w:val="18"/>
                <w:szCs w:val="18"/>
                <w:u w:val="single"/>
              </w:rPr>
            </w:pPr>
          </w:p>
          <w:p w14:paraId="0DE3C9A0" w14:textId="77777777" w:rsidR="00822F66" w:rsidRPr="00567D48" w:rsidRDefault="00822F66" w:rsidP="00822F66">
            <w:pPr>
              <w:rPr>
                <w:rFonts w:asciiTheme="minorHAnsi" w:hAnsiTheme="minorHAnsi" w:cs="Arial"/>
                <w:sz w:val="18"/>
                <w:szCs w:val="18"/>
              </w:rPr>
            </w:pPr>
            <w:r w:rsidRPr="00567D48">
              <w:rPr>
                <w:rFonts w:asciiTheme="minorHAnsi" w:hAnsiTheme="minorHAnsi" w:cs="Arial"/>
                <w:sz w:val="18"/>
                <w:szCs w:val="18"/>
                <w:u w:val="single"/>
              </w:rPr>
              <w:t>Economic claim: Cost minimisation approach versus trifluridine/</w:t>
            </w:r>
            <w:proofErr w:type="spellStart"/>
            <w:r w:rsidRPr="00567D48">
              <w:rPr>
                <w:rFonts w:asciiTheme="minorHAnsi" w:hAnsiTheme="minorHAnsi" w:cs="Arial"/>
                <w:sz w:val="18"/>
                <w:szCs w:val="18"/>
                <w:u w:val="single"/>
              </w:rPr>
              <w:t>tipiracil</w:t>
            </w:r>
            <w:proofErr w:type="spellEnd"/>
            <w:r w:rsidRPr="00567D48">
              <w:rPr>
                <w:rFonts w:asciiTheme="minorHAnsi" w:hAnsiTheme="minorHAnsi" w:cs="Arial"/>
                <w:sz w:val="18"/>
                <w:szCs w:val="18"/>
                <w:u w:val="single"/>
              </w:rPr>
              <w:t xml:space="preserve"> based on drug costs only.</w:t>
            </w:r>
          </w:p>
          <w:p w14:paraId="0AA30ADA" w14:textId="79D2B0CD" w:rsidR="00822F66" w:rsidRPr="00567D48" w:rsidRDefault="00822F66" w:rsidP="00822F66">
            <w:pPr>
              <w:pStyle w:val="ListParagraph"/>
              <w:keepLines/>
              <w:spacing w:after="120"/>
              <w:ind w:left="0"/>
              <w:rPr>
                <w:rFonts w:asciiTheme="minorHAnsi" w:hAnsiTheme="minorHAnsi" w:cs="Arial"/>
                <w:color w:val="000000"/>
                <w:sz w:val="18"/>
                <w:szCs w:val="18"/>
              </w:rPr>
            </w:pPr>
            <w:r w:rsidRPr="00567D48">
              <w:rPr>
                <w:rFonts w:asciiTheme="minorHAnsi" w:hAnsiTheme="minorHAnsi" w:cs="Arial"/>
                <w:sz w:val="18"/>
                <w:szCs w:val="18"/>
              </w:rPr>
              <w:t>The PBAC considered the cost minimisation approach inappropriately did not include costs for differing adverse event management costs between regorafenib and trifluridine/</w:t>
            </w:r>
            <w:proofErr w:type="spellStart"/>
            <w:r w:rsidRPr="00567D48">
              <w:rPr>
                <w:rFonts w:asciiTheme="minorHAnsi" w:hAnsiTheme="minorHAnsi" w:cs="Arial"/>
                <w:sz w:val="18"/>
                <w:szCs w:val="18"/>
              </w:rPr>
              <w:t>tipiracil</w:t>
            </w:r>
            <w:proofErr w:type="spellEnd"/>
            <w:r>
              <w:rPr>
                <w:rFonts w:asciiTheme="minorHAnsi" w:hAnsiTheme="minorHAnsi" w:cs="Arial"/>
                <w:sz w:val="18"/>
                <w:szCs w:val="18"/>
              </w:rPr>
              <w:t>.</w:t>
            </w:r>
          </w:p>
        </w:tc>
      </w:tr>
      <w:tr w:rsidR="00822F66" w:rsidRPr="00567D48" w14:paraId="404CB83A" w14:textId="77777777" w:rsidTr="00C57ACE">
        <w:trPr>
          <w:trHeight w:val="574"/>
        </w:trPr>
        <w:tc>
          <w:tcPr>
            <w:tcW w:w="2972" w:type="dxa"/>
            <w:vMerge/>
            <w:shd w:val="clear" w:color="auto" w:fill="auto"/>
            <w:tcMar>
              <w:top w:w="28" w:type="dxa"/>
              <w:bottom w:w="28" w:type="dxa"/>
            </w:tcMar>
            <w:vAlign w:val="center"/>
          </w:tcPr>
          <w:p w14:paraId="4D32AEDA" w14:textId="77777777" w:rsidR="00822F66" w:rsidRPr="00567D48" w:rsidRDefault="00822F66" w:rsidP="00A70347">
            <w:pPr>
              <w:keepLines/>
              <w:spacing w:after="120"/>
              <w:rPr>
                <w:rFonts w:asciiTheme="minorHAnsi" w:hAnsiTheme="minorHAnsi" w:cs="Arial"/>
                <w:color w:val="000000"/>
                <w:sz w:val="18"/>
                <w:szCs w:val="18"/>
              </w:rPr>
            </w:pPr>
          </w:p>
        </w:tc>
        <w:tc>
          <w:tcPr>
            <w:tcW w:w="2491" w:type="dxa"/>
            <w:vMerge/>
            <w:shd w:val="clear" w:color="auto" w:fill="auto"/>
            <w:vAlign w:val="center"/>
          </w:tcPr>
          <w:p w14:paraId="2C6AB737" w14:textId="77777777" w:rsidR="00822F66" w:rsidRPr="00567D48" w:rsidRDefault="00822F66" w:rsidP="00A70347">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1503808A" w14:textId="77777777" w:rsidR="00822F66" w:rsidRPr="00567D48" w:rsidRDefault="00822F66" w:rsidP="00A70347">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4266F384" w14:textId="77777777" w:rsidR="00822F66" w:rsidRPr="00567D48" w:rsidRDefault="00822F66" w:rsidP="00A70347">
            <w:pPr>
              <w:pStyle w:val="ListParagraph"/>
              <w:keepLines/>
              <w:spacing w:after="120"/>
              <w:ind w:left="0"/>
              <w:rPr>
                <w:rFonts w:asciiTheme="minorHAnsi" w:hAnsiTheme="minorHAnsi" w:cs="Arial"/>
                <w:color w:val="000000"/>
                <w:sz w:val="18"/>
                <w:szCs w:val="18"/>
              </w:rPr>
            </w:pPr>
          </w:p>
        </w:tc>
        <w:tc>
          <w:tcPr>
            <w:tcW w:w="0" w:type="auto"/>
            <w:shd w:val="clear" w:color="auto" w:fill="auto"/>
            <w:vAlign w:val="center"/>
          </w:tcPr>
          <w:p w14:paraId="0298F070" w14:textId="0CA9E73D" w:rsidR="00822F66" w:rsidRPr="00567D48" w:rsidRDefault="00822F66" w:rsidP="00A70347">
            <w:pPr>
              <w:rPr>
                <w:rFonts w:asciiTheme="minorHAnsi" w:hAnsiTheme="minorHAnsi" w:cs="Arial"/>
                <w:sz w:val="18"/>
                <w:szCs w:val="18"/>
              </w:rPr>
            </w:pPr>
            <w:r w:rsidRPr="00567D48">
              <w:rPr>
                <w:rFonts w:asciiTheme="minorHAnsi" w:hAnsiTheme="minorHAnsi" w:cs="Arial"/>
                <w:sz w:val="18"/>
                <w:szCs w:val="18"/>
                <w:u w:val="single"/>
              </w:rPr>
              <w:t>Sponsor’s comment</w:t>
            </w:r>
            <w:r w:rsidRPr="00567D48">
              <w:rPr>
                <w:rFonts w:asciiTheme="minorHAnsi" w:hAnsiTheme="minorHAnsi" w:cs="Arial"/>
                <w:sz w:val="18"/>
                <w:szCs w:val="18"/>
              </w:rPr>
              <w:t xml:space="preserve">: </w:t>
            </w:r>
            <w:r w:rsidRPr="00567D48">
              <w:rPr>
                <w:rFonts w:asciiTheme="minorHAnsi" w:hAnsiTheme="minorHAnsi" w:cs="Arial"/>
                <w:color w:val="000000"/>
                <w:sz w:val="18"/>
                <w:szCs w:val="18"/>
              </w:rPr>
              <w:t>Bayer is disappointed the PBAC did not recommend regorafenib for an additional later-line therapy for treatment of patients with mCRC.</w:t>
            </w:r>
          </w:p>
        </w:tc>
      </w:tr>
      <w:tr w:rsidR="00A70347" w:rsidRPr="00567D48" w14:paraId="1D80C6D6" w14:textId="77777777" w:rsidTr="00F00B7A">
        <w:trPr>
          <w:cantSplit/>
          <w:trHeight w:val="574"/>
        </w:trPr>
        <w:tc>
          <w:tcPr>
            <w:tcW w:w="2972" w:type="dxa"/>
            <w:shd w:val="clear" w:color="auto" w:fill="auto"/>
            <w:tcMar>
              <w:top w:w="28" w:type="dxa"/>
              <w:bottom w:w="28" w:type="dxa"/>
            </w:tcMar>
            <w:vAlign w:val="center"/>
          </w:tcPr>
          <w:p w14:paraId="36119FE3" w14:textId="7EC4086D" w:rsidR="00A70347" w:rsidRPr="00567D48" w:rsidRDefault="00A70347" w:rsidP="00A70347">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t>RISANKIZUMAB</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Injection 150mg in 1 mL pre-filled pen</w:t>
            </w:r>
            <w:r w:rsidRPr="00567D48">
              <w:rPr>
                <w:rFonts w:asciiTheme="minorHAnsi" w:hAnsiTheme="minorHAnsi" w:cs="Arial"/>
                <w:color w:val="000000"/>
                <w:sz w:val="18"/>
                <w:szCs w:val="18"/>
              </w:rPr>
              <w:br/>
              <w:t>Injection 150mg in 1 mL pre-filled syringe</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Skyrizi</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AbbVie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4 submission</w:t>
            </w:r>
            <w:r w:rsidRPr="00567D48">
              <w:rPr>
                <w:rFonts w:asciiTheme="minorHAnsi" w:hAnsiTheme="minorHAnsi" w:cs="Arial"/>
                <w:color w:val="000000"/>
                <w:sz w:val="18"/>
                <w:szCs w:val="18"/>
              </w:rPr>
              <w:br/>
              <w:t>(New PBS listing)</w:t>
            </w:r>
          </w:p>
        </w:tc>
        <w:tc>
          <w:tcPr>
            <w:tcW w:w="2491" w:type="dxa"/>
            <w:shd w:val="clear" w:color="auto" w:fill="auto"/>
            <w:vAlign w:val="center"/>
          </w:tcPr>
          <w:p w14:paraId="5D2F9EC1" w14:textId="41843BDA" w:rsidR="00A70347" w:rsidRPr="00567D48" w:rsidRDefault="00A70347" w:rsidP="00A70347">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Severe chronic plaque psoriasis</w:t>
            </w:r>
          </w:p>
        </w:tc>
        <w:tc>
          <w:tcPr>
            <w:tcW w:w="0" w:type="auto"/>
            <w:shd w:val="clear" w:color="auto" w:fill="auto"/>
            <w:tcMar>
              <w:top w:w="28" w:type="dxa"/>
              <w:bottom w:w="28" w:type="dxa"/>
            </w:tcMar>
            <w:vAlign w:val="center"/>
          </w:tcPr>
          <w:p w14:paraId="06EA4369" w14:textId="08F8F696" w:rsidR="00A70347" w:rsidRPr="00567D48" w:rsidRDefault="00A70347" w:rsidP="00A70347">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 xml:space="preserve">To request listing of new forms of </w:t>
            </w:r>
            <w:proofErr w:type="spellStart"/>
            <w:r w:rsidRPr="00567D48">
              <w:rPr>
                <w:rFonts w:asciiTheme="minorHAnsi" w:hAnsiTheme="minorHAnsi" w:cs="Arial"/>
                <w:color w:val="000000"/>
                <w:sz w:val="18"/>
                <w:szCs w:val="18"/>
              </w:rPr>
              <w:t>risankizumab</w:t>
            </w:r>
            <w:proofErr w:type="spellEnd"/>
            <w:r w:rsidRPr="00567D48">
              <w:rPr>
                <w:rFonts w:asciiTheme="minorHAnsi" w:hAnsiTheme="minorHAnsi" w:cs="Arial"/>
                <w:color w:val="000000"/>
                <w:sz w:val="18"/>
                <w:szCs w:val="18"/>
              </w:rPr>
              <w:t xml:space="preserve"> under the same circumstances as the currently listed </w:t>
            </w:r>
            <w:proofErr w:type="spellStart"/>
            <w:r w:rsidRPr="00567D48">
              <w:rPr>
                <w:rFonts w:asciiTheme="minorHAnsi" w:hAnsiTheme="minorHAnsi" w:cs="Arial"/>
                <w:color w:val="000000"/>
                <w:sz w:val="18"/>
                <w:szCs w:val="18"/>
              </w:rPr>
              <w:t>risankizumab</w:t>
            </w:r>
            <w:proofErr w:type="spellEnd"/>
            <w:r w:rsidRPr="00567D48">
              <w:rPr>
                <w:rFonts w:asciiTheme="minorHAnsi" w:hAnsiTheme="minorHAnsi" w:cs="Arial"/>
                <w:color w:val="000000"/>
                <w:sz w:val="18"/>
                <w:szCs w:val="18"/>
              </w:rPr>
              <w:t>.</w:t>
            </w:r>
          </w:p>
        </w:tc>
        <w:tc>
          <w:tcPr>
            <w:tcW w:w="0" w:type="auto"/>
            <w:shd w:val="clear" w:color="auto" w:fill="auto"/>
            <w:vAlign w:val="center"/>
          </w:tcPr>
          <w:p w14:paraId="6428B8D5" w14:textId="52188A8B" w:rsidR="00A70347" w:rsidRPr="00567D48" w:rsidRDefault="00A70347" w:rsidP="00A70347">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0947AB3C" w14:textId="4DADE132" w:rsidR="00A70347" w:rsidRPr="00567D48" w:rsidRDefault="00A70347" w:rsidP="00A70347">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 xml:space="preserve">The PBAC recommended the listing of </w:t>
            </w:r>
            <w:proofErr w:type="spellStart"/>
            <w:r w:rsidRPr="00567D48">
              <w:rPr>
                <w:rFonts w:asciiTheme="minorHAnsi" w:hAnsiTheme="minorHAnsi" w:cs="Arial"/>
                <w:color w:val="000000"/>
                <w:sz w:val="18"/>
                <w:szCs w:val="18"/>
              </w:rPr>
              <w:t>risankizumab</w:t>
            </w:r>
            <w:proofErr w:type="spellEnd"/>
            <w:r w:rsidRPr="00567D48">
              <w:rPr>
                <w:rFonts w:asciiTheme="minorHAnsi" w:hAnsiTheme="minorHAnsi" w:cs="Arial"/>
                <w:color w:val="000000"/>
                <w:sz w:val="18"/>
                <w:szCs w:val="18"/>
              </w:rPr>
              <w:t xml:space="preserve"> 150 mg/1 mL pre-filled pen (PFP) and 150 mg/1 mL PFS under the same circumstances as the currently listed </w:t>
            </w:r>
            <w:proofErr w:type="spellStart"/>
            <w:r w:rsidRPr="00567D48">
              <w:rPr>
                <w:rFonts w:asciiTheme="minorHAnsi" w:hAnsiTheme="minorHAnsi" w:cs="Arial"/>
                <w:color w:val="000000"/>
                <w:sz w:val="18"/>
                <w:szCs w:val="18"/>
              </w:rPr>
              <w:t>risankizumab</w:t>
            </w:r>
            <w:proofErr w:type="spellEnd"/>
            <w:r w:rsidRPr="00567D48">
              <w:rPr>
                <w:rFonts w:asciiTheme="minorHAnsi" w:hAnsiTheme="minorHAnsi" w:cs="Arial"/>
                <w:color w:val="000000"/>
                <w:sz w:val="18"/>
                <w:szCs w:val="18"/>
              </w:rPr>
              <w:t xml:space="preserve"> 75 mg/0.83 mL pre-filled syringe (PFS), on a cost-minimisation basis with the least costly biologic currently listed on the PBS for chronic plaque psoriasis. </w:t>
            </w:r>
          </w:p>
        </w:tc>
      </w:tr>
      <w:tr w:rsidR="00A70347" w:rsidRPr="00567D48" w14:paraId="46BB2A9B" w14:textId="77777777" w:rsidTr="00F00B7A">
        <w:trPr>
          <w:cantSplit/>
          <w:trHeight w:val="574"/>
        </w:trPr>
        <w:tc>
          <w:tcPr>
            <w:tcW w:w="2972" w:type="dxa"/>
            <w:shd w:val="clear" w:color="auto" w:fill="auto"/>
            <w:tcMar>
              <w:top w:w="28" w:type="dxa"/>
              <w:bottom w:w="28" w:type="dxa"/>
            </w:tcMar>
            <w:vAlign w:val="center"/>
          </w:tcPr>
          <w:p w14:paraId="33605C8B" w14:textId="013EAEAD" w:rsidR="00A70347" w:rsidRPr="00567D48" w:rsidRDefault="00A70347" w:rsidP="00A70347">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RITUXIMAB</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Solution for I.V. infusion 100 mg in 10 mL</w:t>
            </w:r>
            <w:r w:rsidRPr="00567D48">
              <w:rPr>
                <w:rFonts w:asciiTheme="minorHAnsi" w:hAnsiTheme="minorHAnsi" w:cs="Arial"/>
                <w:color w:val="000000"/>
                <w:sz w:val="18"/>
                <w:szCs w:val="18"/>
              </w:rPr>
              <w:br/>
              <w:t>Solution for I.V. infusion 500 mg in 50 mL</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Ruxience</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Pfizer Australia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3 submission</w:t>
            </w:r>
            <w:r w:rsidRPr="00567D48">
              <w:rPr>
                <w:rFonts w:asciiTheme="minorHAnsi" w:hAnsiTheme="minorHAnsi" w:cs="Arial"/>
                <w:color w:val="000000"/>
                <w:sz w:val="18"/>
                <w:szCs w:val="18"/>
              </w:rPr>
              <w:br/>
              <w:t>(New PBS listing)</w:t>
            </w:r>
          </w:p>
        </w:tc>
        <w:tc>
          <w:tcPr>
            <w:tcW w:w="2491" w:type="dxa"/>
            <w:shd w:val="clear" w:color="auto" w:fill="auto"/>
            <w:vAlign w:val="center"/>
          </w:tcPr>
          <w:p w14:paraId="12CB007D" w14:textId="5366CFFA" w:rsidR="00A70347" w:rsidRPr="00567D48" w:rsidRDefault="00A70347" w:rsidP="00A70347">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 xml:space="preserve">Non-Hodgkin’s lymphoma (NHL); </w:t>
            </w:r>
            <w:r w:rsidRPr="00567D48">
              <w:rPr>
                <w:rFonts w:asciiTheme="minorHAnsi" w:hAnsiTheme="minorHAnsi" w:cs="Arial"/>
                <w:color w:val="000000"/>
                <w:sz w:val="18"/>
                <w:szCs w:val="18"/>
              </w:rPr>
              <w:br/>
              <w:t xml:space="preserve">Chronic lymphocytic leukaemia (CLL);  </w:t>
            </w:r>
            <w:r w:rsidRPr="00567D48">
              <w:rPr>
                <w:rFonts w:asciiTheme="minorHAnsi" w:hAnsiTheme="minorHAnsi" w:cs="Arial"/>
                <w:color w:val="000000"/>
                <w:sz w:val="18"/>
                <w:szCs w:val="18"/>
              </w:rPr>
              <w:br/>
              <w:t xml:space="preserve">Rheumatoid arthritis (RA); </w:t>
            </w:r>
            <w:r w:rsidRPr="00567D48">
              <w:rPr>
                <w:rFonts w:asciiTheme="minorHAnsi" w:hAnsiTheme="minorHAnsi" w:cs="Arial"/>
                <w:color w:val="000000"/>
                <w:sz w:val="18"/>
                <w:szCs w:val="18"/>
              </w:rPr>
              <w:br/>
              <w:t>Granulomatosis with polyangiitis (Wegener’s granulomatosis) (GPA);</w:t>
            </w:r>
            <w:r w:rsidRPr="00567D48">
              <w:rPr>
                <w:rFonts w:asciiTheme="minorHAnsi" w:hAnsiTheme="minorHAnsi" w:cs="Arial"/>
                <w:color w:val="000000"/>
                <w:sz w:val="18"/>
                <w:szCs w:val="18"/>
              </w:rPr>
              <w:br/>
              <w:t xml:space="preserve">Microscopic polyangiitis (MPA) </w:t>
            </w:r>
          </w:p>
        </w:tc>
        <w:tc>
          <w:tcPr>
            <w:tcW w:w="0" w:type="auto"/>
            <w:shd w:val="clear" w:color="auto" w:fill="auto"/>
            <w:tcMar>
              <w:top w:w="28" w:type="dxa"/>
              <w:bottom w:w="28" w:type="dxa"/>
            </w:tcMar>
            <w:vAlign w:val="center"/>
          </w:tcPr>
          <w:p w14:paraId="10DE7389" w14:textId="43BF6028" w:rsidR="00A70347" w:rsidRPr="00567D48" w:rsidRDefault="00A70347" w:rsidP="00A70347">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 xml:space="preserve">To request listing of rituximab biosimilar under the same conditions as the currently listed rituximab. </w:t>
            </w:r>
          </w:p>
        </w:tc>
        <w:tc>
          <w:tcPr>
            <w:tcW w:w="0" w:type="auto"/>
            <w:shd w:val="clear" w:color="auto" w:fill="auto"/>
            <w:vAlign w:val="center"/>
          </w:tcPr>
          <w:p w14:paraId="4103041E" w14:textId="1FD8BDD8" w:rsidR="00A70347" w:rsidRPr="00567D48" w:rsidRDefault="00A70347" w:rsidP="00A70347">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2BC1D954" w14:textId="63F3C0EE" w:rsidR="00A70347" w:rsidRPr="00567D48" w:rsidRDefault="00A70347" w:rsidP="00A70347">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The PBAC recommended the listing of a new biosimilar brand of rituximab (</w:t>
            </w:r>
            <w:proofErr w:type="spellStart"/>
            <w:r w:rsidRPr="00567D48">
              <w:rPr>
                <w:rFonts w:asciiTheme="minorHAnsi" w:hAnsiTheme="minorHAnsi" w:cs="Arial"/>
                <w:color w:val="000000"/>
                <w:sz w:val="18"/>
                <w:szCs w:val="18"/>
              </w:rPr>
              <w:t>Ruxience</w:t>
            </w:r>
            <w:proofErr w:type="spellEnd"/>
            <w:r w:rsidRPr="00567D48">
              <w:rPr>
                <w:rFonts w:asciiTheme="minorHAnsi" w:hAnsiTheme="minorHAnsi" w:cs="Arial"/>
                <w:color w:val="000000"/>
                <w:sz w:val="18"/>
                <w:szCs w:val="18"/>
              </w:rPr>
              <w:t>) under the same conditions as the biosimilar brands currently listed on the PBS (</w:t>
            </w:r>
            <w:proofErr w:type="spellStart"/>
            <w:r w:rsidRPr="00567D48">
              <w:rPr>
                <w:rFonts w:asciiTheme="minorHAnsi" w:hAnsiTheme="minorHAnsi" w:cs="Arial"/>
                <w:color w:val="000000"/>
                <w:sz w:val="18"/>
                <w:szCs w:val="18"/>
              </w:rPr>
              <w:t>Riximyo</w:t>
            </w:r>
            <w:proofErr w:type="spellEnd"/>
            <w:r w:rsidRPr="00567D48">
              <w:rPr>
                <w:rFonts w:asciiTheme="minorHAnsi" w:hAnsiTheme="minorHAnsi" w:cs="Arial"/>
                <w:color w:val="000000"/>
                <w:sz w:val="18"/>
                <w:szCs w:val="18"/>
              </w:rPr>
              <w:t xml:space="preserve">® and </w:t>
            </w:r>
            <w:proofErr w:type="spellStart"/>
            <w:r w:rsidRPr="00567D48">
              <w:rPr>
                <w:rFonts w:asciiTheme="minorHAnsi" w:hAnsiTheme="minorHAnsi" w:cs="Arial"/>
                <w:color w:val="000000"/>
                <w:sz w:val="18"/>
                <w:szCs w:val="18"/>
              </w:rPr>
              <w:t>Truxima</w:t>
            </w:r>
            <w:proofErr w:type="spellEnd"/>
            <w:r w:rsidRPr="00567D48">
              <w:rPr>
                <w:rFonts w:asciiTheme="minorHAnsi" w:hAnsiTheme="minorHAnsi" w:cs="Arial"/>
                <w:color w:val="000000"/>
                <w:sz w:val="18"/>
                <w:szCs w:val="18"/>
              </w:rPr>
              <w:t xml:space="preserve">®). The PBAC’s recommendation for listing was based on its assessment that the cost-effectiveness of </w:t>
            </w:r>
            <w:proofErr w:type="spellStart"/>
            <w:r w:rsidRPr="00567D48">
              <w:rPr>
                <w:rFonts w:asciiTheme="minorHAnsi" w:hAnsiTheme="minorHAnsi" w:cs="Arial"/>
                <w:color w:val="000000"/>
                <w:sz w:val="18"/>
                <w:szCs w:val="18"/>
              </w:rPr>
              <w:t>Ruxience</w:t>
            </w:r>
            <w:proofErr w:type="spellEnd"/>
            <w:r w:rsidRPr="00567D48">
              <w:rPr>
                <w:rFonts w:asciiTheme="minorHAnsi" w:hAnsiTheme="minorHAnsi" w:cs="Arial"/>
                <w:color w:val="000000"/>
                <w:sz w:val="18"/>
                <w:szCs w:val="18"/>
              </w:rPr>
              <w:t xml:space="preserve"> would be acceptable if it were cost-minimised to </w:t>
            </w:r>
            <w:proofErr w:type="spellStart"/>
            <w:r w:rsidRPr="00567D48">
              <w:rPr>
                <w:rFonts w:asciiTheme="minorHAnsi" w:hAnsiTheme="minorHAnsi" w:cs="Arial"/>
                <w:color w:val="000000"/>
                <w:sz w:val="18"/>
                <w:szCs w:val="18"/>
              </w:rPr>
              <w:t>Riximyo</w:t>
            </w:r>
            <w:proofErr w:type="spellEnd"/>
            <w:r w:rsidRPr="00567D48">
              <w:rPr>
                <w:rFonts w:asciiTheme="minorHAnsi" w:hAnsiTheme="minorHAnsi" w:cs="Arial"/>
                <w:color w:val="000000"/>
                <w:sz w:val="18"/>
                <w:szCs w:val="18"/>
              </w:rPr>
              <w:t xml:space="preserve"> and </w:t>
            </w:r>
            <w:proofErr w:type="spellStart"/>
            <w:r w:rsidRPr="00567D48">
              <w:rPr>
                <w:rFonts w:asciiTheme="minorHAnsi" w:hAnsiTheme="minorHAnsi" w:cs="Arial"/>
                <w:color w:val="000000"/>
                <w:sz w:val="18"/>
                <w:szCs w:val="18"/>
              </w:rPr>
              <w:t>Truxima</w:t>
            </w:r>
            <w:proofErr w:type="spellEnd"/>
            <w:r w:rsidRPr="00567D48">
              <w:rPr>
                <w:rFonts w:asciiTheme="minorHAnsi" w:hAnsiTheme="minorHAnsi" w:cs="Arial"/>
                <w:color w:val="000000"/>
                <w:sz w:val="18"/>
                <w:szCs w:val="18"/>
              </w:rPr>
              <w:t>.</w:t>
            </w:r>
          </w:p>
        </w:tc>
      </w:tr>
      <w:tr w:rsidR="00A70347" w:rsidRPr="00567D48" w14:paraId="25DCA2AB" w14:textId="77777777" w:rsidTr="00F00B7A">
        <w:trPr>
          <w:cantSplit/>
          <w:trHeight w:val="3060"/>
        </w:trPr>
        <w:tc>
          <w:tcPr>
            <w:tcW w:w="2972" w:type="dxa"/>
            <w:vMerge w:val="restart"/>
            <w:shd w:val="clear" w:color="auto" w:fill="auto"/>
            <w:tcMar>
              <w:top w:w="28" w:type="dxa"/>
              <w:bottom w:w="28" w:type="dxa"/>
            </w:tcMar>
            <w:vAlign w:val="center"/>
          </w:tcPr>
          <w:p w14:paraId="518B1A26" w14:textId="2C1D7B82" w:rsidR="00A70347" w:rsidRPr="00567D48" w:rsidRDefault="00A70347" w:rsidP="00A70347">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t>SACITUZUMAB GOVITECAN</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Powder for injection 180 mg</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Trodelvy</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Gilead Sciences Pty Limited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1 submission</w:t>
            </w:r>
            <w:r w:rsidRPr="00567D48">
              <w:rPr>
                <w:rFonts w:asciiTheme="minorHAnsi" w:hAnsiTheme="minorHAnsi" w:cs="Arial"/>
                <w:color w:val="000000"/>
                <w:sz w:val="18"/>
                <w:szCs w:val="18"/>
              </w:rPr>
              <w:br/>
              <w:t>(New PBS listing)</w:t>
            </w:r>
          </w:p>
        </w:tc>
        <w:tc>
          <w:tcPr>
            <w:tcW w:w="2491" w:type="dxa"/>
            <w:vMerge w:val="restart"/>
            <w:shd w:val="clear" w:color="auto" w:fill="auto"/>
            <w:vAlign w:val="center"/>
          </w:tcPr>
          <w:p w14:paraId="6077109A" w14:textId="2082EC43" w:rsidR="00A70347" w:rsidRPr="00567D48" w:rsidRDefault="00A70347" w:rsidP="00A70347">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Breast cancer</w:t>
            </w:r>
          </w:p>
        </w:tc>
        <w:tc>
          <w:tcPr>
            <w:tcW w:w="0" w:type="auto"/>
            <w:vMerge w:val="restart"/>
            <w:shd w:val="clear" w:color="auto" w:fill="auto"/>
            <w:tcMar>
              <w:top w:w="28" w:type="dxa"/>
              <w:bottom w:w="28" w:type="dxa"/>
            </w:tcMar>
            <w:vAlign w:val="center"/>
          </w:tcPr>
          <w:p w14:paraId="52C4C188" w14:textId="59AE7731" w:rsidR="00A70347" w:rsidRPr="00567D48" w:rsidRDefault="00A70347" w:rsidP="00A70347">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a Section 100 (Efficient Funding of Chemotherapy Program) Authority Required (STREAMLINED) listing for the treatment of adult patients with unresectable, locally advanced or metastatic triple negative breast cancer, who have received two or more prior therapies, at least one of them in the locally advanced or metastatic setting.</w:t>
            </w:r>
          </w:p>
        </w:tc>
        <w:tc>
          <w:tcPr>
            <w:tcW w:w="0" w:type="auto"/>
            <w:vMerge w:val="restart"/>
            <w:shd w:val="clear" w:color="auto" w:fill="auto"/>
            <w:vAlign w:val="center"/>
          </w:tcPr>
          <w:p w14:paraId="61415339" w14:textId="151F7D21" w:rsidR="00A70347" w:rsidRPr="00567D48" w:rsidRDefault="00A70347" w:rsidP="00A70347">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Not Recommended</w:t>
            </w:r>
          </w:p>
        </w:tc>
        <w:tc>
          <w:tcPr>
            <w:tcW w:w="0" w:type="auto"/>
            <w:shd w:val="clear" w:color="auto" w:fill="auto"/>
            <w:vAlign w:val="bottom"/>
          </w:tcPr>
          <w:p w14:paraId="483DB930" w14:textId="77777777" w:rsidR="00A70347" w:rsidRPr="00567D48" w:rsidRDefault="00A70347" w:rsidP="00A70347">
            <w:pPr>
              <w:rPr>
                <w:rFonts w:asciiTheme="minorHAnsi" w:hAnsiTheme="minorHAnsi" w:cs="Arial"/>
                <w:color w:val="000000"/>
                <w:sz w:val="18"/>
                <w:szCs w:val="18"/>
              </w:rPr>
            </w:pPr>
            <w:r w:rsidRPr="00567D48">
              <w:rPr>
                <w:rFonts w:asciiTheme="minorHAnsi" w:hAnsiTheme="minorHAnsi" w:cs="Arial"/>
                <w:color w:val="000000"/>
                <w:sz w:val="18"/>
                <w:szCs w:val="18"/>
              </w:rPr>
              <w:t xml:space="preserve">The PBAC did not recommend </w:t>
            </w:r>
            <w:proofErr w:type="spellStart"/>
            <w:r w:rsidRPr="00567D48">
              <w:rPr>
                <w:rFonts w:asciiTheme="minorHAnsi" w:hAnsiTheme="minorHAnsi" w:cs="Arial"/>
                <w:color w:val="000000"/>
                <w:sz w:val="18"/>
                <w:szCs w:val="18"/>
              </w:rPr>
              <w:t>sacituzumab</w:t>
            </w:r>
            <w:proofErr w:type="spellEnd"/>
            <w:r w:rsidRPr="00567D48">
              <w:rPr>
                <w:rFonts w:asciiTheme="minorHAnsi" w:hAnsiTheme="minorHAnsi" w:cs="Arial"/>
                <w:color w:val="000000"/>
                <w:sz w:val="18"/>
                <w:szCs w:val="18"/>
              </w:rPr>
              <w:t xml:space="preserve"> </w:t>
            </w:r>
            <w:proofErr w:type="spellStart"/>
            <w:r w:rsidRPr="00567D48">
              <w:rPr>
                <w:rFonts w:asciiTheme="minorHAnsi" w:hAnsiTheme="minorHAnsi" w:cs="Arial"/>
                <w:color w:val="000000"/>
                <w:sz w:val="18"/>
                <w:szCs w:val="18"/>
              </w:rPr>
              <w:t>govitecan</w:t>
            </w:r>
            <w:proofErr w:type="spellEnd"/>
            <w:r w:rsidRPr="00567D48">
              <w:rPr>
                <w:rFonts w:asciiTheme="minorHAnsi" w:hAnsiTheme="minorHAnsi" w:cs="Arial"/>
                <w:color w:val="000000"/>
                <w:sz w:val="18"/>
                <w:szCs w:val="18"/>
              </w:rPr>
              <w:t xml:space="preserve"> (SG) for the treatment of unresectable, locally advanced or metastatic triple negative breast cancer (TNBC). The PBAC considered that SG provides superior efficacy compared with the current standard of care, notably an improvement in overall survival and acknowledged the consumer comments that emphasised the impact of improved survival for this patient group. The PBAC also acknowledged the high clinical need for effective therapies for patients with this condition, who have poorer survival outcomes than patients with other breast cancer subtypes.</w:t>
            </w:r>
          </w:p>
          <w:p w14:paraId="249A4C0C" w14:textId="77777777" w:rsidR="00A70347" w:rsidRPr="00567D48" w:rsidRDefault="00A70347" w:rsidP="00A70347">
            <w:pPr>
              <w:rPr>
                <w:rFonts w:asciiTheme="minorHAnsi" w:hAnsiTheme="minorHAnsi" w:cs="Arial"/>
                <w:color w:val="000000"/>
                <w:sz w:val="18"/>
                <w:szCs w:val="18"/>
              </w:rPr>
            </w:pPr>
          </w:p>
          <w:p w14:paraId="274E0066" w14:textId="5362FA97" w:rsidR="00A70347" w:rsidRPr="00567D48" w:rsidRDefault="00A70347" w:rsidP="00A70347">
            <w:pPr>
              <w:rPr>
                <w:rFonts w:asciiTheme="minorHAnsi" w:hAnsiTheme="minorHAnsi" w:cs="Arial"/>
                <w:color w:val="000000"/>
                <w:sz w:val="18"/>
                <w:szCs w:val="18"/>
              </w:rPr>
            </w:pPr>
            <w:r w:rsidRPr="00567D48">
              <w:rPr>
                <w:rFonts w:asciiTheme="minorHAnsi" w:hAnsiTheme="minorHAnsi" w:cs="Arial"/>
                <w:color w:val="000000"/>
                <w:sz w:val="18"/>
                <w:szCs w:val="18"/>
              </w:rPr>
              <w:t xml:space="preserve">However, the PBAC considered that specific inputs to the economic model should be revised and that the incremental cost-effectiveness ratio was unacceptably high at the proposed price. The PBAC considered that a price reduction would be required to achieve a cost-effective listing. </w:t>
            </w:r>
          </w:p>
          <w:p w14:paraId="2222A33A" w14:textId="428792E3" w:rsidR="00A70347" w:rsidRPr="00567D48" w:rsidRDefault="00A70347" w:rsidP="00A70347">
            <w:pPr>
              <w:rPr>
                <w:rFonts w:asciiTheme="minorHAnsi" w:hAnsiTheme="minorHAnsi" w:cs="Arial"/>
                <w:snapToGrid w:val="0"/>
                <w:sz w:val="18"/>
                <w:szCs w:val="18"/>
                <w:lang w:eastAsia="en-US"/>
              </w:rPr>
            </w:pPr>
            <w:r w:rsidRPr="00567D48">
              <w:rPr>
                <w:rFonts w:asciiTheme="minorHAnsi" w:hAnsiTheme="minorHAnsi" w:cs="Arial"/>
                <w:color w:val="000000"/>
                <w:sz w:val="18"/>
                <w:szCs w:val="18"/>
              </w:rPr>
              <w:br/>
              <w:t>The PBAC nominated the Early Resolution re-submission pathway for this item.</w:t>
            </w:r>
          </w:p>
        </w:tc>
      </w:tr>
      <w:tr w:rsidR="00A70347" w:rsidRPr="00567D48" w14:paraId="0EA8A937" w14:textId="77777777" w:rsidTr="00822F66">
        <w:trPr>
          <w:cantSplit/>
          <w:trHeight w:val="1651"/>
        </w:trPr>
        <w:tc>
          <w:tcPr>
            <w:tcW w:w="2972" w:type="dxa"/>
            <w:vMerge/>
            <w:shd w:val="clear" w:color="auto" w:fill="auto"/>
            <w:tcMar>
              <w:top w:w="28" w:type="dxa"/>
              <w:bottom w:w="28" w:type="dxa"/>
            </w:tcMar>
            <w:vAlign w:val="center"/>
          </w:tcPr>
          <w:p w14:paraId="6221DE67" w14:textId="77777777" w:rsidR="00A70347" w:rsidRPr="00567D48" w:rsidRDefault="00A70347" w:rsidP="00A70347">
            <w:pPr>
              <w:keepLines/>
              <w:spacing w:after="120"/>
              <w:rPr>
                <w:rFonts w:asciiTheme="minorHAnsi" w:hAnsiTheme="minorHAnsi" w:cs="Arial"/>
                <w:color w:val="000000"/>
                <w:sz w:val="18"/>
                <w:szCs w:val="18"/>
              </w:rPr>
            </w:pPr>
          </w:p>
        </w:tc>
        <w:tc>
          <w:tcPr>
            <w:tcW w:w="2491" w:type="dxa"/>
            <w:vMerge/>
            <w:shd w:val="clear" w:color="auto" w:fill="auto"/>
            <w:vAlign w:val="center"/>
          </w:tcPr>
          <w:p w14:paraId="485E1180" w14:textId="77777777" w:rsidR="00A70347" w:rsidRPr="00567D48" w:rsidRDefault="00A70347" w:rsidP="00A70347">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5BD22D8C" w14:textId="77777777" w:rsidR="00A70347" w:rsidRPr="00567D48" w:rsidRDefault="00A70347" w:rsidP="00A70347">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292A29BB" w14:textId="77777777" w:rsidR="00A70347" w:rsidRPr="00567D48" w:rsidRDefault="00A70347" w:rsidP="00A70347">
            <w:pPr>
              <w:pStyle w:val="ListParagraph"/>
              <w:keepLines/>
              <w:spacing w:after="120"/>
              <w:ind w:left="0"/>
              <w:rPr>
                <w:rFonts w:asciiTheme="minorHAnsi" w:hAnsiTheme="minorHAnsi" w:cs="Arial"/>
                <w:color w:val="000000"/>
                <w:sz w:val="18"/>
                <w:szCs w:val="18"/>
              </w:rPr>
            </w:pPr>
          </w:p>
        </w:tc>
        <w:tc>
          <w:tcPr>
            <w:tcW w:w="0" w:type="auto"/>
            <w:shd w:val="clear" w:color="auto" w:fill="auto"/>
          </w:tcPr>
          <w:p w14:paraId="2A51A749" w14:textId="77777777" w:rsidR="00A70347" w:rsidRPr="00567D48" w:rsidRDefault="00A70347" w:rsidP="00A70347">
            <w:pPr>
              <w:rPr>
                <w:rFonts w:asciiTheme="minorHAnsi" w:hAnsiTheme="minorHAnsi" w:cs="Arial"/>
                <w:color w:val="000000"/>
                <w:sz w:val="18"/>
                <w:szCs w:val="18"/>
              </w:rPr>
            </w:pPr>
            <w:r w:rsidRPr="00567D48">
              <w:rPr>
                <w:rFonts w:asciiTheme="minorHAnsi" w:hAnsiTheme="minorHAnsi" w:cs="Arial"/>
                <w:color w:val="000000"/>
                <w:sz w:val="18"/>
                <w:szCs w:val="18"/>
                <w:u w:val="single"/>
              </w:rPr>
              <w:t>Sponsor’s comment</w:t>
            </w:r>
            <w:r w:rsidRPr="00567D48">
              <w:rPr>
                <w:rFonts w:asciiTheme="minorHAnsi" w:hAnsiTheme="minorHAnsi" w:cs="Arial"/>
                <w:color w:val="000000"/>
                <w:sz w:val="18"/>
                <w:szCs w:val="18"/>
              </w:rPr>
              <w:t xml:space="preserve">: Gilead shares the PBAC’s view that </w:t>
            </w:r>
            <w:proofErr w:type="spellStart"/>
            <w:r w:rsidRPr="00567D48">
              <w:rPr>
                <w:rFonts w:asciiTheme="minorHAnsi" w:hAnsiTheme="minorHAnsi" w:cs="Arial"/>
                <w:color w:val="000000"/>
                <w:sz w:val="18"/>
                <w:szCs w:val="18"/>
              </w:rPr>
              <w:t>sacituzumab</w:t>
            </w:r>
            <w:proofErr w:type="spellEnd"/>
            <w:r w:rsidRPr="00567D48">
              <w:rPr>
                <w:rFonts w:asciiTheme="minorHAnsi" w:hAnsiTheme="minorHAnsi" w:cs="Arial"/>
                <w:color w:val="000000"/>
                <w:sz w:val="18"/>
                <w:szCs w:val="18"/>
              </w:rPr>
              <w:t xml:space="preserve"> </w:t>
            </w:r>
            <w:proofErr w:type="spellStart"/>
            <w:r w:rsidRPr="00567D48">
              <w:rPr>
                <w:rFonts w:asciiTheme="minorHAnsi" w:hAnsiTheme="minorHAnsi" w:cs="Arial"/>
                <w:color w:val="000000"/>
                <w:sz w:val="18"/>
                <w:szCs w:val="18"/>
              </w:rPr>
              <w:t>govitecan</w:t>
            </w:r>
            <w:proofErr w:type="spellEnd"/>
            <w:r w:rsidRPr="00567D48">
              <w:rPr>
                <w:rFonts w:asciiTheme="minorHAnsi" w:hAnsiTheme="minorHAnsi" w:cs="Arial"/>
                <w:color w:val="000000"/>
                <w:sz w:val="18"/>
                <w:szCs w:val="18"/>
              </w:rPr>
              <w:t xml:space="preserve"> addresses a high and urgent unmet clinical need in patients with unresectable, locally advanced or metastatic TNBC.</w:t>
            </w:r>
          </w:p>
          <w:p w14:paraId="20AAB2EC" w14:textId="77777777" w:rsidR="00A70347" w:rsidRPr="00567D48" w:rsidRDefault="00A70347" w:rsidP="00A70347">
            <w:pPr>
              <w:rPr>
                <w:rFonts w:asciiTheme="minorHAnsi" w:hAnsiTheme="minorHAnsi" w:cs="Arial"/>
                <w:color w:val="000000"/>
                <w:sz w:val="18"/>
                <w:szCs w:val="18"/>
              </w:rPr>
            </w:pPr>
          </w:p>
          <w:p w14:paraId="518FA48D" w14:textId="57277B1C" w:rsidR="00A70347" w:rsidRPr="00567D48" w:rsidRDefault="00A70347" w:rsidP="00A70347">
            <w:pPr>
              <w:rPr>
                <w:rFonts w:asciiTheme="minorHAnsi" w:hAnsiTheme="minorHAnsi" w:cs="Arial"/>
                <w:color w:val="000000"/>
                <w:sz w:val="18"/>
                <w:szCs w:val="18"/>
              </w:rPr>
            </w:pPr>
            <w:r w:rsidRPr="00567D48">
              <w:rPr>
                <w:rFonts w:asciiTheme="minorHAnsi" w:hAnsiTheme="minorHAnsi" w:cs="Arial"/>
                <w:color w:val="000000"/>
                <w:sz w:val="18"/>
                <w:szCs w:val="18"/>
              </w:rPr>
              <w:t>The company is working collaboratively with the PBAC and the Department under the early resolution re-submission pathway towards listing in the shortest possible time.</w:t>
            </w:r>
          </w:p>
        </w:tc>
      </w:tr>
      <w:tr w:rsidR="00A70347" w:rsidRPr="00567D48" w14:paraId="75A371EF" w14:textId="77777777" w:rsidTr="00F00B7A">
        <w:trPr>
          <w:cantSplit/>
          <w:trHeight w:val="574"/>
        </w:trPr>
        <w:tc>
          <w:tcPr>
            <w:tcW w:w="2972" w:type="dxa"/>
            <w:shd w:val="clear" w:color="auto" w:fill="auto"/>
            <w:tcMar>
              <w:top w:w="28" w:type="dxa"/>
              <w:bottom w:w="28" w:type="dxa"/>
            </w:tcMar>
            <w:vAlign w:val="center"/>
          </w:tcPr>
          <w:p w14:paraId="2039BE98" w14:textId="741004CC" w:rsidR="00A70347" w:rsidRPr="00567D48" w:rsidRDefault="00A70347" w:rsidP="00A70347">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t xml:space="preserve">SECUKINUMAB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Injection 75 mg in 0.5 mL pre-filled syringe</w:t>
            </w:r>
            <w:r w:rsidRPr="00567D48">
              <w:rPr>
                <w:rFonts w:asciiTheme="minorHAnsi" w:hAnsiTheme="minorHAnsi" w:cs="Arial"/>
                <w:color w:val="000000"/>
                <w:sz w:val="18"/>
                <w:szCs w:val="18"/>
              </w:rPr>
              <w:br/>
              <w:t>Injection 150 mg in 1 mL pre-filled pen</w:t>
            </w:r>
            <w:r w:rsidRPr="00567D48">
              <w:rPr>
                <w:rFonts w:asciiTheme="minorHAnsi" w:hAnsiTheme="minorHAnsi" w:cs="Arial"/>
                <w:color w:val="000000"/>
                <w:sz w:val="18"/>
                <w:szCs w:val="18"/>
              </w:rPr>
              <w:br/>
              <w:t>Injection 300 mg in 2 mL pre-filled pen</w:t>
            </w:r>
            <w:r w:rsidRPr="00567D48">
              <w:rPr>
                <w:rFonts w:asciiTheme="minorHAnsi" w:hAnsiTheme="minorHAnsi" w:cs="Arial"/>
                <w:color w:val="000000"/>
                <w:sz w:val="18"/>
                <w:szCs w:val="18"/>
              </w:rPr>
              <w:br/>
              <w:t>Injection 300 mg in 2 mL pre-filled syringe</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Cosentyx®</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Novartis Pharmaceuticals Australia Pty Limited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2 submission</w:t>
            </w:r>
            <w:r w:rsidRPr="00567D48">
              <w:rPr>
                <w:rFonts w:asciiTheme="minorHAnsi" w:hAnsiTheme="minorHAnsi" w:cs="Arial"/>
                <w:color w:val="000000"/>
                <w:sz w:val="18"/>
                <w:szCs w:val="18"/>
              </w:rPr>
              <w:br/>
              <w:t>(New PBS listing)</w:t>
            </w:r>
          </w:p>
        </w:tc>
        <w:tc>
          <w:tcPr>
            <w:tcW w:w="2491" w:type="dxa"/>
            <w:shd w:val="clear" w:color="auto" w:fill="auto"/>
            <w:vAlign w:val="center"/>
          </w:tcPr>
          <w:p w14:paraId="6251A269" w14:textId="2594ED96" w:rsidR="00A70347" w:rsidRPr="00567D48" w:rsidRDefault="00A70347" w:rsidP="00A70347">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Paediatric psoriasis</w:t>
            </w:r>
          </w:p>
        </w:tc>
        <w:tc>
          <w:tcPr>
            <w:tcW w:w="0" w:type="auto"/>
            <w:shd w:val="clear" w:color="auto" w:fill="auto"/>
            <w:tcMar>
              <w:top w:w="28" w:type="dxa"/>
              <w:bottom w:w="28" w:type="dxa"/>
            </w:tcMar>
            <w:vAlign w:val="center"/>
          </w:tcPr>
          <w:p w14:paraId="70D08423" w14:textId="5D6B677C" w:rsidR="00A70347" w:rsidRPr="00567D48" w:rsidRDefault="00A70347" w:rsidP="00A70347">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a General Schedule Authority Required (Written) listing for the treatment of paediatric patients with psoriasis, including the addition of a new 75 mg pre-filled syringe, 300 mg pre-filled pen and 300 mg pre-filled syringe.</w:t>
            </w:r>
          </w:p>
        </w:tc>
        <w:tc>
          <w:tcPr>
            <w:tcW w:w="0" w:type="auto"/>
            <w:shd w:val="clear" w:color="auto" w:fill="auto"/>
            <w:vAlign w:val="center"/>
          </w:tcPr>
          <w:p w14:paraId="0A6A256F" w14:textId="7C6DF1A3" w:rsidR="00A70347" w:rsidRPr="00567D48" w:rsidRDefault="00A70347" w:rsidP="00A70347">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202CEFD0" w14:textId="77777777" w:rsidR="00A70347" w:rsidRPr="00567D48" w:rsidRDefault="00A70347" w:rsidP="00A70347">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 xml:space="preserve">The PBAC recommended the listing of secukinumab for the treatment of paediatric patients with severe chronic plaque psoriasis. Whilst there were limitations to the clinical comparison, the PBAC was satisfied that secukinumab is non-inferior to </w:t>
            </w:r>
            <w:proofErr w:type="spellStart"/>
            <w:r w:rsidRPr="00567D48">
              <w:rPr>
                <w:rFonts w:asciiTheme="minorHAnsi" w:hAnsiTheme="minorHAnsi" w:cs="Arial"/>
                <w:color w:val="000000"/>
                <w:sz w:val="18"/>
                <w:szCs w:val="18"/>
              </w:rPr>
              <w:t>ustekinumab</w:t>
            </w:r>
            <w:proofErr w:type="spellEnd"/>
            <w:r w:rsidRPr="00567D48">
              <w:rPr>
                <w:rFonts w:asciiTheme="minorHAnsi" w:hAnsiTheme="minorHAnsi" w:cs="Arial"/>
                <w:color w:val="000000"/>
                <w:sz w:val="18"/>
                <w:szCs w:val="18"/>
              </w:rPr>
              <w:t xml:space="preserve"> in this indication in the context of the available evidence. The PBAC considered that secukinumab would be cost-effective in paediatric patients at a price no greater than the price for </w:t>
            </w:r>
            <w:proofErr w:type="spellStart"/>
            <w:r w:rsidRPr="00567D48">
              <w:rPr>
                <w:rFonts w:asciiTheme="minorHAnsi" w:hAnsiTheme="minorHAnsi" w:cs="Arial"/>
                <w:color w:val="000000"/>
                <w:sz w:val="18"/>
                <w:szCs w:val="18"/>
              </w:rPr>
              <w:t>ustekinumab</w:t>
            </w:r>
            <w:proofErr w:type="spellEnd"/>
            <w:r w:rsidRPr="00567D48">
              <w:rPr>
                <w:rFonts w:asciiTheme="minorHAnsi" w:hAnsiTheme="minorHAnsi" w:cs="Arial"/>
                <w:color w:val="000000"/>
                <w:sz w:val="18"/>
                <w:szCs w:val="18"/>
              </w:rPr>
              <w:t xml:space="preserve"> in the same indication and population. </w:t>
            </w:r>
          </w:p>
          <w:p w14:paraId="163303D1" w14:textId="77777777" w:rsidR="00A70347" w:rsidRPr="00567D48" w:rsidRDefault="00A70347" w:rsidP="00A70347">
            <w:pPr>
              <w:pStyle w:val="ListParagraph"/>
              <w:keepLines/>
              <w:spacing w:after="120"/>
              <w:ind w:left="0"/>
              <w:rPr>
                <w:rFonts w:asciiTheme="minorHAnsi" w:hAnsiTheme="minorHAnsi" w:cs="Arial"/>
                <w:color w:val="000000"/>
                <w:sz w:val="18"/>
                <w:szCs w:val="18"/>
              </w:rPr>
            </w:pPr>
          </w:p>
          <w:p w14:paraId="252ACA66" w14:textId="725E6014" w:rsidR="00A70347" w:rsidRPr="00567D48" w:rsidRDefault="00A70347" w:rsidP="00A70347">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 xml:space="preserve">The PBAC noted flow on changes to the restriction criteria for </w:t>
            </w:r>
            <w:proofErr w:type="spellStart"/>
            <w:r w:rsidRPr="00567D48">
              <w:rPr>
                <w:rFonts w:asciiTheme="minorHAnsi" w:hAnsiTheme="minorHAnsi" w:cs="Arial"/>
                <w:color w:val="000000"/>
                <w:sz w:val="18"/>
                <w:szCs w:val="18"/>
              </w:rPr>
              <w:t>ustekinumab</w:t>
            </w:r>
            <w:proofErr w:type="spellEnd"/>
            <w:r w:rsidRPr="00567D48">
              <w:rPr>
                <w:rFonts w:asciiTheme="minorHAnsi" w:hAnsiTheme="minorHAnsi" w:cs="Arial"/>
                <w:color w:val="000000"/>
                <w:sz w:val="18"/>
                <w:szCs w:val="18"/>
              </w:rPr>
              <w:t xml:space="preserve"> and etanercept would be required.</w:t>
            </w:r>
          </w:p>
        </w:tc>
      </w:tr>
      <w:tr w:rsidR="00A70347" w:rsidRPr="00567D48" w14:paraId="5B857E90" w14:textId="77777777" w:rsidTr="00F00B7A">
        <w:trPr>
          <w:cantSplit/>
          <w:trHeight w:val="574"/>
        </w:trPr>
        <w:tc>
          <w:tcPr>
            <w:tcW w:w="2972" w:type="dxa"/>
            <w:shd w:val="clear" w:color="auto" w:fill="auto"/>
            <w:tcMar>
              <w:top w:w="28" w:type="dxa"/>
              <w:bottom w:w="28" w:type="dxa"/>
            </w:tcMar>
            <w:vAlign w:val="center"/>
          </w:tcPr>
          <w:p w14:paraId="0DECFB1C" w14:textId="2E7F5685" w:rsidR="00A70347" w:rsidRPr="00567D48" w:rsidRDefault="00A70347" w:rsidP="00A70347">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SILTUXIMAB</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Powder for injection 100 mg</w:t>
            </w:r>
            <w:r w:rsidRPr="00567D48">
              <w:rPr>
                <w:rFonts w:asciiTheme="minorHAnsi" w:hAnsiTheme="minorHAnsi" w:cs="Arial"/>
                <w:color w:val="000000"/>
                <w:sz w:val="18"/>
                <w:szCs w:val="18"/>
              </w:rPr>
              <w:br/>
              <w:t>Powder for injection 400 mg</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Sylvant</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Eusa</w:t>
            </w:r>
            <w:proofErr w:type="spellEnd"/>
            <w:r w:rsidRPr="00567D48">
              <w:rPr>
                <w:rFonts w:asciiTheme="minorHAnsi" w:hAnsiTheme="minorHAnsi" w:cs="Arial"/>
                <w:color w:val="000000"/>
                <w:sz w:val="18"/>
                <w:szCs w:val="18"/>
              </w:rPr>
              <w:t xml:space="preserve"> Pharma (UK)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Early Re-entry submission</w:t>
            </w:r>
            <w:r w:rsidRPr="00567D48">
              <w:rPr>
                <w:rFonts w:asciiTheme="minorHAnsi" w:hAnsiTheme="minorHAnsi" w:cs="Arial"/>
                <w:color w:val="000000"/>
                <w:sz w:val="18"/>
                <w:szCs w:val="18"/>
              </w:rPr>
              <w:br/>
              <w:t>(New PBS listing)</w:t>
            </w:r>
          </w:p>
        </w:tc>
        <w:tc>
          <w:tcPr>
            <w:tcW w:w="2491" w:type="dxa"/>
            <w:shd w:val="clear" w:color="auto" w:fill="auto"/>
            <w:vAlign w:val="center"/>
          </w:tcPr>
          <w:p w14:paraId="576A182B" w14:textId="6627052E" w:rsidR="00A70347" w:rsidRPr="00567D48" w:rsidRDefault="00A70347" w:rsidP="00A70347">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Idiopathic multicentric Castleman’s disease (</w:t>
            </w:r>
            <w:proofErr w:type="spellStart"/>
            <w:r w:rsidRPr="00567D48">
              <w:rPr>
                <w:rFonts w:asciiTheme="minorHAnsi" w:hAnsiTheme="minorHAnsi" w:cs="Arial"/>
                <w:color w:val="000000"/>
                <w:sz w:val="18"/>
                <w:szCs w:val="18"/>
              </w:rPr>
              <w:t>iMCD</w:t>
            </w:r>
            <w:proofErr w:type="spellEnd"/>
            <w:r w:rsidRPr="00567D48">
              <w:rPr>
                <w:rFonts w:asciiTheme="minorHAnsi" w:hAnsiTheme="minorHAnsi" w:cs="Arial"/>
                <w:color w:val="000000"/>
                <w:sz w:val="18"/>
                <w:szCs w:val="18"/>
              </w:rPr>
              <w:t>)</w:t>
            </w:r>
          </w:p>
        </w:tc>
        <w:tc>
          <w:tcPr>
            <w:tcW w:w="0" w:type="auto"/>
            <w:shd w:val="clear" w:color="auto" w:fill="auto"/>
            <w:tcMar>
              <w:top w:w="28" w:type="dxa"/>
              <w:bottom w:w="28" w:type="dxa"/>
            </w:tcMar>
            <w:vAlign w:val="center"/>
          </w:tcPr>
          <w:p w14:paraId="1C2E0FE7" w14:textId="01FE9FE3" w:rsidR="00A70347" w:rsidRPr="00567D48" w:rsidRDefault="00A70347" w:rsidP="00A70347">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 xml:space="preserve">Resubmission to request a Section 100 (Efficient Funding of Chemotherapy) Authority Required listing for the treatment of </w:t>
            </w:r>
            <w:proofErr w:type="spellStart"/>
            <w:r w:rsidRPr="00567D48">
              <w:rPr>
                <w:rFonts w:asciiTheme="minorHAnsi" w:hAnsiTheme="minorHAnsi" w:cs="Arial"/>
                <w:color w:val="000000"/>
                <w:sz w:val="18"/>
                <w:szCs w:val="18"/>
              </w:rPr>
              <w:t>iMCD</w:t>
            </w:r>
            <w:proofErr w:type="spellEnd"/>
            <w:r w:rsidRPr="00567D48">
              <w:rPr>
                <w:rFonts w:asciiTheme="minorHAnsi" w:hAnsiTheme="minorHAnsi" w:cs="Arial"/>
                <w:color w:val="000000"/>
                <w:sz w:val="18"/>
                <w:szCs w:val="18"/>
              </w:rPr>
              <w:t>.</w:t>
            </w:r>
          </w:p>
        </w:tc>
        <w:tc>
          <w:tcPr>
            <w:tcW w:w="0" w:type="auto"/>
            <w:shd w:val="clear" w:color="auto" w:fill="auto"/>
            <w:vAlign w:val="center"/>
          </w:tcPr>
          <w:p w14:paraId="2E24C213" w14:textId="204889B4" w:rsidR="00A70347" w:rsidRPr="00567D48" w:rsidRDefault="00A70347" w:rsidP="00A70347">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bottom"/>
          </w:tcPr>
          <w:p w14:paraId="53360C5F" w14:textId="07A37482" w:rsidR="00A70347" w:rsidRPr="00567D48" w:rsidRDefault="00A70347" w:rsidP="00A70347">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 xml:space="preserve">The PBAC recommended a Section 100 (Highly Specialised Drugs Program) listing of </w:t>
            </w:r>
            <w:proofErr w:type="spellStart"/>
            <w:r w:rsidRPr="00567D48">
              <w:rPr>
                <w:rFonts w:asciiTheme="minorHAnsi" w:hAnsiTheme="minorHAnsi" w:cs="Arial"/>
                <w:color w:val="000000"/>
                <w:sz w:val="18"/>
                <w:szCs w:val="18"/>
              </w:rPr>
              <w:t>siltuximab</w:t>
            </w:r>
            <w:proofErr w:type="spellEnd"/>
            <w:r w:rsidRPr="00567D48">
              <w:rPr>
                <w:rFonts w:asciiTheme="minorHAnsi" w:hAnsiTheme="minorHAnsi" w:cs="Arial"/>
                <w:color w:val="000000"/>
                <w:sz w:val="18"/>
                <w:szCs w:val="18"/>
              </w:rPr>
              <w:t xml:space="preserve"> for the treatment of </w:t>
            </w:r>
            <w:proofErr w:type="spellStart"/>
            <w:r w:rsidRPr="00567D48">
              <w:rPr>
                <w:rFonts w:asciiTheme="minorHAnsi" w:hAnsiTheme="minorHAnsi" w:cs="Arial"/>
                <w:color w:val="000000"/>
                <w:sz w:val="18"/>
                <w:szCs w:val="18"/>
              </w:rPr>
              <w:t>iMCD</w:t>
            </w:r>
            <w:proofErr w:type="spellEnd"/>
            <w:r w:rsidRPr="00567D48">
              <w:rPr>
                <w:rFonts w:asciiTheme="minorHAnsi" w:hAnsiTheme="minorHAnsi" w:cs="Arial"/>
                <w:color w:val="000000"/>
                <w:sz w:val="18"/>
                <w:szCs w:val="18"/>
              </w:rPr>
              <w:t>. The PBAC considered that the revised economic model provided in the pre-PBAC response was reasonable and the resulting incremental cost-effectiveness ratio was within the acceptable range. The PBAC considered that its previous concerns about the financial estimates had been addressed with the prevalence-based approach provided in the resubmission. Overall, the PBAC considered that the concerns raised at the July 2021 meeting had been sufficiently addressed.</w:t>
            </w:r>
          </w:p>
        </w:tc>
      </w:tr>
      <w:tr w:rsidR="00A70347" w:rsidRPr="00567D48" w14:paraId="0469CA69" w14:textId="77777777" w:rsidTr="00F00B7A">
        <w:trPr>
          <w:cantSplit/>
          <w:trHeight w:val="620"/>
        </w:trPr>
        <w:tc>
          <w:tcPr>
            <w:tcW w:w="2972" w:type="dxa"/>
            <w:vMerge w:val="restart"/>
            <w:shd w:val="clear" w:color="auto" w:fill="auto"/>
            <w:tcMar>
              <w:top w:w="28" w:type="dxa"/>
              <w:bottom w:w="28" w:type="dxa"/>
            </w:tcMar>
            <w:vAlign w:val="center"/>
          </w:tcPr>
          <w:p w14:paraId="59A97420" w14:textId="7C7F948F" w:rsidR="00A70347" w:rsidRPr="00567D48" w:rsidRDefault="00A70347" w:rsidP="00A70347">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t xml:space="preserve">TEPOTINIB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Tablet 225 mg (as hydrochloride monohydrate)</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Tepmetko</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Merck Healthcare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1 submission</w:t>
            </w:r>
            <w:r w:rsidRPr="00567D48">
              <w:rPr>
                <w:rFonts w:asciiTheme="minorHAnsi" w:hAnsiTheme="minorHAnsi" w:cs="Arial"/>
                <w:color w:val="000000"/>
                <w:sz w:val="18"/>
                <w:szCs w:val="18"/>
              </w:rPr>
              <w:br/>
              <w:t>(New PBS listing)</w:t>
            </w:r>
          </w:p>
        </w:tc>
        <w:tc>
          <w:tcPr>
            <w:tcW w:w="2491" w:type="dxa"/>
            <w:vMerge w:val="restart"/>
            <w:shd w:val="clear" w:color="auto" w:fill="auto"/>
            <w:vAlign w:val="center"/>
          </w:tcPr>
          <w:p w14:paraId="54D8C784" w14:textId="45731A8D" w:rsidR="00A70347" w:rsidRPr="00567D48" w:rsidRDefault="00A70347" w:rsidP="00A70347">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Non-small cell lung cancer (NSCLC)</w:t>
            </w:r>
          </w:p>
        </w:tc>
        <w:tc>
          <w:tcPr>
            <w:tcW w:w="0" w:type="auto"/>
            <w:vMerge w:val="restart"/>
            <w:shd w:val="clear" w:color="auto" w:fill="auto"/>
            <w:tcMar>
              <w:top w:w="28" w:type="dxa"/>
              <w:bottom w:w="28" w:type="dxa"/>
            </w:tcMar>
            <w:vAlign w:val="center"/>
          </w:tcPr>
          <w:p w14:paraId="1B6AEF44" w14:textId="6BCE5C93" w:rsidR="00A70347" w:rsidRPr="00567D48" w:rsidRDefault="00A70347" w:rsidP="00A70347">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request a General Schedule Authority Required (STREAMLINED) listing for the treatment of patients with locally advanced or metastatic MET exon 14 skipping alterations-positive NSCLC.</w:t>
            </w:r>
          </w:p>
        </w:tc>
        <w:tc>
          <w:tcPr>
            <w:tcW w:w="0" w:type="auto"/>
            <w:vMerge w:val="restart"/>
            <w:shd w:val="clear" w:color="auto" w:fill="auto"/>
            <w:vAlign w:val="center"/>
          </w:tcPr>
          <w:p w14:paraId="7069D526" w14:textId="66C26CEF" w:rsidR="00A70347" w:rsidRPr="00567D48" w:rsidRDefault="00A70347" w:rsidP="00A70347">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Deferred</w:t>
            </w:r>
          </w:p>
        </w:tc>
        <w:tc>
          <w:tcPr>
            <w:tcW w:w="0" w:type="auto"/>
            <w:shd w:val="clear" w:color="auto" w:fill="auto"/>
            <w:vAlign w:val="bottom"/>
          </w:tcPr>
          <w:p w14:paraId="2722FDA7" w14:textId="57BCEFA9" w:rsidR="00A70347" w:rsidRPr="00567D48" w:rsidRDefault="00A70347" w:rsidP="00A70347">
            <w:pPr>
              <w:rPr>
                <w:rFonts w:asciiTheme="minorHAnsi" w:hAnsiTheme="minorHAnsi" w:cs="Arial"/>
                <w:color w:val="000000"/>
                <w:sz w:val="18"/>
                <w:szCs w:val="18"/>
              </w:rPr>
            </w:pPr>
            <w:r w:rsidRPr="00567D48">
              <w:rPr>
                <w:rFonts w:asciiTheme="minorHAnsi" w:hAnsiTheme="minorHAnsi" w:cs="Arial"/>
                <w:color w:val="000000"/>
                <w:sz w:val="18"/>
                <w:szCs w:val="18"/>
              </w:rPr>
              <w:t xml:space="preserve">The PBAC deferred making a recommendation to list </w:t>
            </w:r>
            <w:proofErr w:type="spellStart"/>
            <w:r w:rsidRPr="00567D48">
              <w:rPr>
                <w:rFonts w:asciiTheme="minorHAnsi" w:hAnsiTheme="minorHAnsi" w:cs="Arial"/>
                <w:color w:val="000000"/>
                <w:sz w:val="18"/>
                <w:szCs w:val="18"/>
              </w:rPr>
              <w:t>tepotinib</w:t>
            </w:r>
            <w:proofErr w:type="spellEnd"/>
            <w:r w:rsidRPr="00567D48">
              <w:rPr>
                <w:rFonts w:asciiTheme="minorHAnsi" w:hAnsiTheme="minorHAnsi" w:cs="Arial"/>
                <w:color w:val="000000"/>
                <w:sz w:val="18"/>
                <w:szCs w:val="18"/>
              </w:rPr>
              <w:t xml:space="preserve"> for the treatment of locally advanced or metastatic IV NSCLC patients who have evidence of a MET proto-oncogene, receptor tyrosine kinase (</w:t>
            </w:r>
            <w:r w:rsidRPr="00567D48">
              <w:rPr>
                <w:rFonts w:asciiTheme="minorHAnsi" w:hAnsiTheme="minorHAnsi" w:cs="Arial"/>
                <w:i/>
                <w:iCs/>
                <w:color w:val="000000"/>
                <w:sz w:val="18"/>
                <w:szCs w:val="18"/>
              </w:rPr>
              <w:t>MET</w:t>
            </w:r>
            <w:r w:rsidRPr="00567D48">
              <w:rPr>
                <w:rFonts w:asciiTheme="minorHAnsi" w:hAnsiTheme="minorHAnsi" w:cs="Arial"/>
                <w:color w:val="000000"/>
                <w:sz w:val="18"/>
                <w:szCs w:val="18"/>
              </w:rPr>
              <w:t>) gene alteration that causes skipping of exon 14 (</w:t>
            </w:r>
            <w:r w:rsidRPr="00567D48">
              <w:rPr>
                <w:rFonts w:asciiTheme="minorHAnsi" w:hAnsiTheme="minorHAnsi" w:cs="Arial"/>
                <w:i/>
                <w:iCs/>
                <w:color w:val="000000"/>
                <w:sz w:val="18"/>
                <w:szCs w:val="18"/>
              </w:rPr>
              <w:t>MET</w:t>
            </w:r>
            <w:r w:rsidRPr="00567D48">
              <w:rPr>
                <w:rFonts w:asciiTheme="minorHAnsi" w:hAnsiTheme="minorHAnsi" w:cs="Arial"/>
                <w:color w:val="000000"/>
                <w:sz w:val="18"/>
                <w:szCs w:val="18"/>
              </w:rPr>
              <w:t xml:space="preserve">ex14sk). The PBAC was of a mind to recommend </w:t>
            </w:r>
            <w:proofErr w:type="spellStart"/>
            <w:r w:rsidRPr="00567D48">
              <w:rPr>
                <w:rFonts w:asciiTheme="minorHAnsi" w:hAnsiTheme="minorHAnsi" w:cs="Arial"/>
                <w:color w:val="000000"/>
                <w:sz w:val="18"/>
                <w:szCs w:val="18"/>
              </w:rPr>
              <w:t>tepotinib</w:t>
            </w:r>
            <w:proofErr w:type="spellEnd"/>
            <w:r w:rsidRPr="00567D48">
              <w:rPr>
                <w:rFonts w:asciiTheme="minorHAnsi" w:hAnsiTheme="minorHAnsi" w:cs="Arial"/>
                <w:color w:val="000000"/>
                <w:sz w:val="18"/>
                <w:szCs w:val="18"/>
              </w:rPr>
              <w:t xml:space="preserve"> pending MSAC advice on the funding of the codependent </w:t>
            </w:r>
            <w:r w:rsidRPr="00567D48">
              <w:rPr>
                <w:rFonts w:asciiTheme="minorHAnsi" w:hAnsiTheme="minorHAnsi" w:cs="Arial"/>
                <w:i/>
                <w:iCs/>
                <w:color w:val="000000"/>
                <w:sz w:val="18"/>
                <w:szCs w:val="18"/>
              </w:rPr>
              <w:t>MET</w:t>
            </w:r>
            <w:r w:rsidRPr="00567D48">
              <w:rPr>
                <w:rFonts w:asciiTheme="minorHAnsi" w:hAnsiTheme="minorHAnsi" w:cs="Arial"/>
                <w:color w:val="000000"/>
                <w:sz w:val="18"/>
                <w:szCs w:val="18"/>
              </w:rPr>
              <w:t xml:space="preserve">ex14sk testing. The PBAC considered that, despite the uncertainties associated with the indirect comparisons presented in the submission, on balance, it was likely </w:t>
            </w:r>
            <w:proofErr w:type="spellStart"/>
            <w:r w:rsidRPr="00567D48">
              <w:rPr>
                <w:rFonts w:asciiTheme="minorHAnsi" w:hAnsiTheme="minorHAnsi" w:cs="Arial"/>
                <w:color w:val="000000"/>
                <w:sz w:val="18"/>
                <w:szCs w:val="18"/>
              </w:rPr>
              <w:t>tepotinib</w:t>
            </w:r>
            <w:proofErr w:type="spellEnd"/>
            <w:r w:rsidRPr="00567D48">
              <w:rPr>
                <w:rFonts w:asciiTheme="minorHAnsi" w:hAnsiTheme="minorHAnsi" w:cs="Arial"/>
                <w:color w:val="000000"/>
                <w:sz w:val="18"/>
                <w:szCs w:val="18"/>
              </w:rPr>
              <w:t xml:space="preserve"> provided similar health outcomes to pembrolizumab in combination with chemotherapy in the proposed population. The PBAC considered that </w:t>
            </w:r>
            <w:proofErr w:type="spellStart"/>
            <w:r w:rsidRPr="00567D48">
              <w:rPr>
                <w:rFonts w:asciiTheme="minorHAnsi" w:hAnsiTheme="minorHAnsi" w:cs="Arial"/>
                <w:color w:val="000000"/>
                <w:sz w:val="18"/>
                <w:szCs w:val="18"/>
              </w:rPr>
              <w:t>tepotinib</w:t>
            </w:r>
            <w:proofErr w:type="spellEnd"/>
            <w:r w:rsidRPr="00567D48">
              <w:rPr>
                <w:rFonts w:asciiTheme="minorHAnsi" w:hAnsiTheme="minorHAnsi" w:cs="Arial"/>
                <w:color w:val="000000"/>
                <w:sz w:val="18"/>
                <w:szCs w:val="18"/>
              </w:rPr>
              <w:t xml:space="preserve"> would be acceptably cost effective if it were cost-minimised against pembrolizumab in combination with chemotherapy, taking into account the number of patients needed to be tested to identify one patient with a </w:t>
            </w:r>
            <w:r w:rsidRPr="00567D48">
              <w:rPr>
                <w:rFonts w:asciiTheme="minorHAnsi" w:hAnsiTheme="minorHAnsi" w:cs="Arial"/>
                <w:i/>
                <w:iCs/>
                <w:color w:val="000000"/>
                <w:sz w:val="18"/>
                <w:szCs w:val="18"/>
              </w:rPr>
              <w:t>MET</w:t>
            </w:r>
            <w:r w:rsidRPr="00567D48">
              <w:rPr>
                <w:rFonts w:asciiTheme="minorHAnsi" w:hAnsiTheme="minorHAnsi" w:cs="Arial"/>
                <w:color w:val="000000"/>
                <w:sz w:val="18"/>
                <w:szCs w:val="18"/>
              </w:rPr>
              <w:t xml:space="preserve">ex14sk alteration. The PBAC considered a Risk Sharing Arrangement would be appropriate to manage the uncertainty associated with a number of cost-minimisation analysis inputs and assumptions, including the treatment duration of </w:t>
            </w:r>
            <w:proofErr w:type="spellStart"/>
            <w:r w:rsidRPr="00567D48">
              <w:rPr>
                <w:rFonts w:asciiTheme="minorHAnsi" w:hAnsiTheme="minorHAnsi" w:cs="Arial"/>
                <w:color w:val="000000"/>
                <w:sz w:val="18"/>
                <w:szCs w:val="18"/>
              </w:rPr>
              <w:t>tepotinib</w:t>
            </w:r>
            <w:proofErr w:type="spellEnd"/>
            <w:r w:rsidRPr="00567D48">
              <w:rPr>
                <w:rFonts w:asciiTheme="minorHAnsi" w:hAnsiTheme="minorHAnsi" w:cs="Arial"/>
                <w:color w:val="000000"/>
                <w:sz w:val="18"/>
                <w:szCs w:val="18"/>
              </w:rPr>
              <w:t>.</w:t>
            </w:r>
          </w:p>
        </w:tc>
      </w:tr>
      <w:tr w:rsidR="00A70347" w:rsidRPr="00567D48" w14:paraId="0C18D74F" w14:textId="77777777" w:rsidTr="00822F66">
        <w:trPr>
          <w:cantSplit/>
          <w:trHeight w:val="801"/>
        </w:trPr>
        <w:tc>
          <w:tcPr>
            <w:tcW w:w="2972" w:type="dxa"/>
            <w:vMerge/>
            <w:shd w:val="clear" w:color="auto" w:fill="auto"/>
            <w:tcMar>
              <w:top w:w="28" w:type="dxa"/>
              <w:bottom w:w="28" w:type="dxa"/>
            </w:tcMar>
            <w:vAlign w:val="center"/>
          </w:tcPr>
          <w:p w14:paraId="3403BEFC" w14:textId="77777777" w:rsidR="00A70347" w:rsidRPr="00567D48" w:rsidRDefault="00A70347" w:rsidP="00A70347">
            <w:pPr>
              <w:keepLines/>
              <w:spacing w:after="120"/>
              <w:rPr>
                <w:rFonts w:asciiTheme="minorHAnsi" w:hAnsiTheme="minorHAnsi" w:cs="Arial"/>
                <w:color w:val="000000"/>
                <w:sz w:val="18"/>
                <w:szCs w:val="18"/>
              </w:rPr>
            </w:pPr>
          </w:p>
        </w:tc>
        <w:tc>
          <w:tcPr>
            <w:tcW w:w="2491" w:type="dxa"/>
            <w:vMerge/>
            <w:shd w:val="clear" w:color="auto" w:fill="auto"/>
            <w:vAlign w:val="center"/>
          </w:tcPr>
          <w:p w14:paraId="0EC286EB" w14:textId="77777777" w:rsidR="00A70347" w:rsidRPr="00567D48" w:rsidRDefault="00A70347" w:rsidP="00A70347">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57BE8FC8" w14:textId="77777777" w:rsidR="00A70347" w:rsidRPr="00567D48" w:rsidRDefault="00A70347" w:rsidP="00A70347">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449EBE27" w14:textId="77777777" w:rsidR="00A70347" w:rsidRPr="00567D48" w:rsidRDefault="00A70347" w:rsidP="00A70347">
            <w:pPr>
              <w:pStyle w:val="ListParagraph"/>
              <w:keepLines/>
              <w:spacing w:after="120"/>
              <w:ind w:left="0"/>
              <w:rPr>
                <w:rFonts w:asciiTheme="minorHAnsi" w:hAnsiTheme="minorHAnsi" w:cs="Arial"/>
                <w:color w:val="000000"/>
                <w:sz w:val="18"/>
                <w:szCs w:val="18"/>
              </w:rPr>
            </w:pPr>
          </w:p>
        </w:tc>
        <w:tc>
          <w:tcPr>
            <w:tcW w:w="0" w:type="auto"/>
            <w:shd w:val="clear" w:color="auto" w:fill="auto"/>
          </w:tcPr>
          <w:p w14:paraId="18F1B77C" w14:textId="7450FAF4" w:rsidR="00A70347" w:rsidRPr="00567D48" w:rsidRDefault="00A70347" w:rsidP="00A70347">
            <w:pPr>
              <w:rPr>
                <w:rFonts w:asciiTheme="minorHAnsi" w:hAnsiTheme="minorHAnsi" w:cs="Arial"/>
                <w:color w:val="000000"/>
                <w:sz w:val="18"/>
                <w:szCs w:val="18"/>
              </w:rPr>
            </w:pPr>
            <w:r w:rsidRPr="00567D48">
              <w:rPr>
                <w:rFonts w:asciiTheme="minorHAnsi" w:hAnsiTheme="minorHAnsi" w:cs="Arial"/>
                <w:color w:val="000000"/>
                <w:sz w:val="18"/>
                <w:szCs w:val="18"/>
                <w:u w:val="single"/>
              </w:rPr>
              <w:t>Sponsor’s comment</w:t>
            </w:r>
            <w:r w:rsidRPr="00567D48">
              <w:rPr>
                <w:rFonts w:asciiTheme="minorHAnsi" w:hAnsiTheme="minorHAnsi" w:cs="Arial"/>
                <w:color w:val="000000"/>
                <w:sz w:val="18"/>
                <w:szCs w:val="18"/>
              </w:rPr>
              <w:t xml:space="preserve">: The sponsor had no comment. </w:t>
            </w:r>
          </w:p>
        </w:tc>
      </w:tr>
      <w:tr w:rsidR="00A70347" w:rsidRPr="00567D48" w14:paraId="4C4A385B" w14:textId="77777777" w:rsidTr="00F00B7A">
        <w:trPr>
          <w:cantSplit/>
          <w:trHeight w:val="574"/>
        </w:trPr>
        <w:tc>
          <w:tcPr>
            <w:tcW w:w="2972" w:type="dxa"/>
            <w:shd w:val="clear" w:color="auto" w:fill="auto"/>
            <w:tcMar>
              <w:top w:w="28" w:type="dxa"/>
              <w:bottom w:w="28" w:type="dxa"/>
            </w:tcMar>
            <w:vAlign w:val="center"/>
          </w:tcPr>
          <w:p w14:paraId="454A7AC8" w14:textId="4BD9FEA4" w:rsidR="00A70347" w:rsidRPr="00567D48" w:rsidRDefault="00A70347" w:rsidP="00A70347">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lastRenderedPageBreak/>
              <w:t>TRASTUZUMAB</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Powder for I.V. infusion 440 mg</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Herzuma</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Celltrion</w:t>
            </w:r>
            <w:proofErr w:type="spellEnd"/>
            <w:r w:rsidRPr="00567D48">
              <w:rPr>
                <w:rFonts w:asciiTheme="minorHAnsi" w:hAnsiTheme="minorHAnsi" w:cs="Arial"/>
                <w:color w:val="000000"/>
                <w:sz w:val="18"/>
                <w:szCs w:val="18"/>
              </w:rPr>
              <w:t xml:space="preserve"> Healthcare Australia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Committee Secretariat submission</w:t>
            </w:r>
            <w:r w:rsidRPr="00567D48">
              <w:rPr>
                <w:rFonts w:asciiTheme="minorHAnsi" w:hAnsiTheme="minorHAnsi" w:cs="Arial"/>
                <w:color w:val="000000"/>
                <w:sz w:val="18"/>
                <w:szCs w:val="18"/>
              </w:rPr>
              <w:br/>
              <w:t>(New PBS listing)</w:t>
            </w:r>
          </w:p>
        </w:tc>
        <w:tc>
          <w:tcPr>
            <w:tcW w:w="2491" w:type="dxa"/>
            <w:shd w:val="clear" w:color="auto" w:fill="auto"/>
            <w:vAlign w:val="center"/>
          </w:tcPr>
          <w:p w14:paraId="555535F4" w14:textId="050AB00D" w:rsidR="00A70347" w:rsidRPr="00567D48" w:rsidRDefault="00A70347" w:rsidP="00A70347">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Metastatic (Stage IV) HER2 positive breast cancer;</w:t>
            </w:r>
            <w:r w:rsidRPr="00567D48">
              <w:rPr>
                <w:rFonts w:asciiTheme="minorHAnsi" w:hAnsiTheme="minorHAnsi" w:cs="Arial"/>
                <w:color w:val="000000"/>
                <w:sz w:val="18"/>
                <w:szCs w:val="18"/>
              </w:rPr>
              <w:br/>
              <w:t xml:space="preserve">Metastatic (Stage IV) HER2 positive </w:t>
            </w:r>
            <w:r w:rsidRPr="00567D48">
              <w:rPr>
                <w:rFonts w:asciiTheme="minorHAnsi" w:hAnsiTheme="minorHAnsi" w:cs="Arial"/>
                <w:color w:val="000000"/>
                <w:sz w:val="18"/>
                <w:szCs w:val="18"/>
              </w:rPr>
              <w:br/>
              <w:t>adenocarcinoma of the stomach or gastroesophageal junction;</w:t>
            </w:r>
            <w:r w:rsidRPr="00567D48">
              <w:rPr>
                <w:rFonts w:asciiTheme="minorHAnsi" w:hAnsiTheme="minorHAnsi" w:cs="Arial"/>
                <w:color w:val="000000"/>
                <w:sz w:val="18"/>
                <w:szCs w:val="18"/>
              </w:rPr>
              <w:br/>
              <w:t>Early HER2 positive breast cancer</w:t>
            </w:r>
          </w:p>
        </w:tc>
        <w:tc>
          <w:tcPr>
            <w:tcW w:w="0" w:type="auto"/>
            <w:shd w:val="clear" w:color="auto" w:fill="auto"/>
            <w:tcMar>
              <w:top w:w="28" w:type="dxa"/>
              <w:bottom w:w="28" w:type="dxa"/>
            </w:tcMar>
            <w:vAlign w:val="center"/>
          </w:tcPr>
          <w:p w14:paraId="4103AFAD" w14:textId="0610875E" w:rsidR="00A70347" w:rsidRPr="00567D48" w:rsidRDefault="00A70347" w:rsidP="00A70347">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 xml:space="preserve">To request listing of an additional strength under the same circumstances as the currently listed strengths of </w:t>
            </w:r>
            <w:proofErr w:type="spellStart"/>
            <w:r w:rsidRPr="00567D48">
              <w:rPr>
                <w:rFonts w:asciiTheme="minorHAnsi" w:hAnsiTheme="minorHAnsi" w:cs="Arial"/>
                <w:color w:val="000000"/>
                <w:sz w:val="18"/>
                <w:szCs w:val="18"/>
              </w:rPr>
              <w:t>Herzuma</w:t>
            </w:r>
            <w:proofErr w:type="spellEnd"/>
            <w:r w:rsidRPr="00567D48">
              <w:rPr>
                <w:rFonts w:asciiTheme="minorHAnsi" w:hAnsiTheme="minorHAnsi" w:cs="Arial"/>
                <w:color w:val="000000"/>
                <w:sz w:val="18"/>
                <w:szCs w:val="18"/>
              </w:rPr>
              <w:t>.</w:t>
            </w:r>
          </w:p>
        </w:tc>
        <w:tc>
          <w:tcPr>
            <w:tcW w:w="0" w:type="auto"/>
            <w:shd w:val="clear" w:color="auto" w:fill="auto"/>
            <w:vAlign w:val="center"/>
          </w:tcPr>
          <w:p w14:paraId="4577581D" w14:textId="4325CDCE" w:rsidR="00A70347" w:rsidRPr="00567D48" w:rsidRDefault="00A70347" w:rsidP="00A70347">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Recommended</w:t>
            </w:r>
          </w:p>
        </w:tc>
        <w:tc>
          <w:tcPr>
            <w:tcW w:w="0" w:type="auto"/>
            <w:shd w:val="clear" w:color="auto" w:fill="auto"/>
            <w:vAlign w:val="center"/>
          </w:tcPr>
          <w:p w14:paraId="0E7C2954" w14:textId="3E1935E0" w:rsidR="00A70347" w:rsidRPr="00567D48" w:rsidRDefault="00A70347" w:rsidP="00A70347">
            <w:pPr>
              <w:pStyle w:val="ListParagraph"/>
              <w:keepLines/>
              <w:spacing w:after="120"/>
              <w:ind w:left="0"/>
              <w:rPr>
                <w:rFonts w:asciiTheme="minorHAnsi" w:hAnsiTheme="minorHAnsi" w:cs="Arial"/>
                <w:snapToGrid w:val="0"/>
                <w:sz w:val="18"/>
                <w:szCs w:val="18"/>
                <w:lang w:eastAsia="en-US"/>
              </w:rPr>
            </w:pPr>
            <w:r w:rsidRPr="00567D48">
              <w:rPr>
                <w:rFonts w:asciiTheme="minorHAnsi" w:hAnsiTheme="minorHAnsi" w:cs="Arial"/>
                <w:color w:val="000000"/>
                <w:sz w:val="18"/>
                <w:szCs w:val="18"/>
              </w:rPr>
              <w:t>The PBAC recommended the listing of a new vial size of 440 mg trastuzumab as Section 100 Efficient Funding of Chemotherapy program Authority Required (STREAMLINED) under the same conditions as the currently trastuzumab 60 mg, 150 mg and 420 mg listings</w:t>
            </w:r>
          </w:p>
        </w:tc>
      </w:tr>
      <w:tr w:rsidR="00A70347" w:rsidRPr="00567D48" w14:paraId="39568343" w14:textId="77777777" w:rsidTr="00F00B7A">
        <w:trPr>
          <w:cantSplit/>
          <w:trHeight w:val="2742"/>
        </w:trPr>
        <w:tc>
          <w:tcPr>
            <w:tcW w:w="2972" w:type="dxa"/>
            <w:vMerge w:val="restart"/>
            <w:shd w:val="clear" w:color="auto" w:fill="auto"/>
            <w:tcMar>
              <w:top w:w="28" w:type="dxa"/>
              <w:bottom w:w="28" w:type="dxa"/>
            </w:tcMar>
            <w:vAlign w:val="center"/>
          </w:tcPr>
          <w:p w14:paraId="31B63A1D" w14:textId="0CDAFA74" w:rsidR="00A70347" w:rsidRPr="00567D48" w:rsidRDefault="00A70347" w:rsidP="00A70347">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t xml:space="preserve">TRIENTINE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Tablet 150 mg (as tetrahydrochloride)</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Cuprior</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Orphalan</w:t>
            </w:r>
            <w:proofErr w:type="spellEnd"/>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1 submission</w:t>
            </w:r>
            <w:r w:rsidRPr="00567D48">
              <w:rPr>
                <w:rFonts w:asciiTheme="minorHAnsi" w:hAnsiTheme="minorHAnsi" w:cs="Arial"/>
                <w:color w:val="000000"/>
                <w:sz w:val="18"/>
                <w:szCs w:val="18"/>
              </w:rPr>
              <w:br/>
              <w:t>(New PBS listing)</w:t>
            </w:r>
          </w:p>
        </w:tc>
        <w:tc>
          <w:tcPr>
            <w:tcW w:w="2491" w:type="dxa"/>
            <w:vMerge w:val="restart"/>
            <w:shd w:val="clear" w:color="auto" w:fill="auto"/>
            <w:vAlign w:val="center"/>
          </w:tcPr>
          <w:p w14:paraId="36E033F7" w14:textId="47C6E046" w:rsidR="00A70347" w:rsidRPr="00567D48" w:rsidRDefault="00A70347" w:rsidP="00A70347">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Wilson disease</w:t>
            </w:r>
          </w:p>
        </w:tc>
        <w:tc>
          <w:tcPr>
            <w:tcW w:w="0" w:type="auto"/>
            <w:vMerge w:val="restart"/>
            <w:shd w:val="clear" w:color="auto" w:fill="auto"/>
            <w:tcMar>
              <w:top w:w="28" w:type="dxa"/>
              <w:bottom w:w="28" w:type="dxa"/>
            </w:tcMar>
            <w:vAlign w:val="center"/>
          </w:tcPr>
          <w:p w14:paraId="523664DE" w14:textId="3396B6BF" w:rsidR="00A70347" w:rsidRPr="00567D48" w:rsidRDefault="00A70347" w:rsidP="00A70347">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seek a General Schedule Authority Required listing for the treatment of patients with Wilson disease who are intolerant to penicillamine.</w:t>
            </w:r>
          </w:p>
        </w:tc>
        <w:tc>
          <w:tcPr>
            <w:tcW w:w="0" w:type="auto"/>
            <w:vMerge w:val="restart"/>
            <w:shd w:val="clear" w:color="auto" w:fill="auto"/>
            <w:vAlign w:val="center"/>
          </w:tcPr>
          <w:p w14:paraId="0BC88632" w14:textId="37ED84A5" w:rsidR="00A70347" w:rsidRPr="00567D48" w:rsidRDefault="00A70347" w:rsidP="00A70347">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Not Recommended</w:t>
            </w:r>
          </w:p>
        </w:tc>
        <w:tc>
          <w:tcPr>
            <w:tcW w:w="0" w:type="auto"/>
            <w:shd w:val="clear" w:color="auto" w:fill="auto"/>
            <w:vAlign w:val="bottom"/>
          </w:tcPr>
          <w:p w14:paraId="06739CA9" w14:textId="120B5C92" w:rsidR="00A70347" w:rsidRPr="00567D48" w:rsidRDefault="00A70347" w:rsidP="00A70347">
            <w:pPr>
              <w:rPr>
                <w:rFonts w:asciiTheme="minorHAnsi" w:hAnsiTheme="minorHAnsi" w:cs="Arial"/>
                <w:color w:val="000000"/>
                <w:sz w:val="18"/>
                <w:szCs w:val="18"/>
              </w:rPr>
            </w:pPr>
            <w:r w:rsidRPr="00567D48">
              <w:rPr>
                <w:rFonts w:asciiTheme="minorHAnsi" w:hAnsiTheme="minorHAnsi" w:cs="Arial"/>
                <w:color w:val="000000"/>
                <w:sz w:val="18"/>
                <w:szCs w:val="18"/>
              </w:rPr>
              <w:t xml:space="preserve">The PBAC did not recommend </w:t>
            </w:r>
            <w:proofErr w:type="spellStart"/>
            <w:r w:rsidRPr="00567D48">
              <w:rPr>
                <w:rFonts w:asciiTheme="minorHAnsi" w:hAnsiTheme="minorHAnsi" w:cs="Arial"/>
                <w:color w:val="000000"/>
                <w:sz w:val="18"/>
                <w:szCs w:val="18"/>
              </w:rPr>
              <w:t>trientine</w:t>
            </w:r>
            <w:proofErr w:type="spellEnd"/>
            <w:r w:rsidRPr="00567D48">
              <w:rPr>
                <w:rFonts w:asciiTheme="minorHAnsi" w:hAnsiTheme="minorHAnsi" w:cs="Arial"/>
                <w:color w:val="000000"/>
                <w:sz w:val="18"/>
                <w:szCs w:val="18"/>
              </w:rPr>
              <w:t xml:space="preserve"> tetrahydrochloride (4HCl) for the treatment of patients with Wilson Disease (WD) intolerant to penicillamine/D-penicillamine (DPA) therapy. Although the PBAC accepted that chelation therapy prevents the progression of WD, the PBAC considered that the proposed place in therapy for </w:t>
            </w:r>
            <w:proofErr w:type="spellStart"/>
            <w:r w:rsidRPr="00567D48">
              <w:rPr>
                <w:rFonts w:asciiTheme="minorHAnsi" w:hAnsiTheme="minorHAnsi" w:cs="Arial"/>
                <w:color w:val="000000"/>
                <w:sz w:val="18"/>
                <w:szCs w:val="18"/>
              </w:rPr>
              <w:t>trientine</w:t>
            </w:r>
            <w:proofErr w:type="spellEnd"/>
            <w:r w:rsidRPr="00567D48">
              <w:rPr>
                <w:rFonts w:asciiTheme="minorHAnsi" w:hAnsiTheme="minorHAnsi" w:cs="Arial"/>
                <w:color w:val="000000"/>
                <w:sz w:val="18"/>
                <w:szCs w:val="18"/>
              </w:rPr>
              <w:t xml:space="preserve"> 4HCl and the nomination of best supportive care (BSC) as the comparator were unacceptable as they were inconsistent with current clinical practice and the available treatment guidelines. The PBAC therefore considered that the economic evaluation that compared </w:t>
            </w:r>
            <w:proofErr w:type="spellStart"/>
            <w:r w:rsidRPr="00567D48">
              <w:rPr>
                <w:rFonts w:asciiTheme="minorHAnsi" w:hAnsiTheme="minorHAnsi" w:cs="Arial"/>
                <w:color w:val="000000"/>
                <w:sz w:val="18"/>
                <w:szCs w:val="18"/>
              </w:rPr>
              <w:t>trientine</w:t>
            </w:r>
            <w:proofErr w:type="spellEnd"/>
            <w:r w:rsidRPr="00567D48">
              <w:rPr>
                <w:rFonts w:asciiTheme="minorHAnsi" w:hAnsiTheme="minorHAnsi" w:cs="Arial"/>
                <w:color w:val="000000"/>
                <w:sz w:val="18"/>
                <w:szCs w:val="18"/>
              </w:rPr>
              <w:t xml:space="preserve"> 4HCl with BSC was uninformative. In addition, the PBAC considered that the financial estimates were high, particularly at the proposed price. The PBAC considered that a cost-minimisation approach versus DPA would be more appropriate. </w:t>
            </w:r>
          </w:p>
          <w:p w14:paraId="4FFAD6F7" w14:textId="77777777" w:rsidR="00A70347" w:rsidRPr="00567D48" w:rsidRDefault="00A70347" w:rsidP="00A70347">
            <w:pPr>
              <w:rPr>
                <w:rFonts w:asciiTheme="minorHAnsi" w:hAnsiTheme="minorHAnsi" w:cs="Arial"/>
                <w:color w:val="000000"/>
                <w:sz w:val="18"/>
                <w:szCs w:val="18"/>
              </w:rPr>
            </w:pPr>
          </w:p>
          <w:p w14:paraId="26D0F512" w14:textId="2F0F0E30" w:rsidR="00A70347" w:rsidRPr="00567D48" w:rsidRDefault="00A70347" w:rsidP="00A70347">
            <w:pPr>
              <w:rPr>
                <w:rFonts w:asciiTheme="minorHAnsi" w:hAnsiTheme="minorHAnsi" w:cs="Arial"/>
                <w:color w:val="000000"/>
                <w:sz w:val="18"/>
                <w:szCs w:val="18"/>
              </w:rPr>
            </w:pPr>
            <w:r w:rsidRPr="00567D48">
              <w:rPr>
                <w:rFonts w:asciiTheme="minorHAnsi" w:hAnsiTheme="minorHAnsi" w:cs="Arial"/>
                <w:color w:val="000000"/>
                <w:sz w:val="18"/>
                <w:szCs w:val="18"/>
              </w:rPr>
              <w:t>The PBAC nominated the Early Re-entry re-submission pathway for this item.</w:t>
            </w:r>
          </w:p>
        </w:tc>
      </w:tr>
      <w:tr w:rsidR="00A70347" w:rsidRPr="00567D48" w14:paraId="1DB440EE" w14:textId="77777777" w:rsidTr="00F00B7A">
        <w:trPr>
          <w:cantSplit/>
          <w:trHeight w:val="2742"/>
        </w:trPr>
        <w:tc>
          <w:tcPr>
            <w:tcW w:w="2972" w:type="dxa"/>
            <w:vMerge/>
            <w:shd w:val="clear" w:color="auto" w:fill="auto"/>
            <w:tcMar>
              <w:top w:w="28" w:type="dxa"/>
              <w:bottom w:w="28" w:type="dxa"/>
            </w:tcMar>
            <w:vAlign w:val="center"/>
          </w:tcPr>
          <w:p w14:paraId="5C05AAE0" w14:textId="77777777" w:rsidR="00A70347" w:rsidRPr="00567D48" w:rsidRDefault="00A70347" w:rsidP="00A70347">
            <w:pPr>
              <w:keepLines/>
              <w:spacing w:after="120"/>
              <w:rPr>
                <w:rFonts w:asciiTheme="minorHAnsi" w:hAnsiTheme="minorHAnsi" w:cs="Arial"/>
                <w:color w:val="000000"/>
                <w:sz w:val="18"/>
                <w:szCs w:val="18"/>
              </w:rPr>
            </w:pPr>
          </w:p>
        </w:tc>
        <w:tc>
          <w:tcPr>
            <w:tcW w:w="2491" w:type="dxa"/>
            <w:vMerge/>
            <w:shd w:val="clear" w:color="auto" w:fill="auto"/>
            <w:vAlign w:val="center"/>
          </w:tcPr>
          <w:p w14:paraId="60792798" w14:textId="77777777" w:rsidR="00A70347" w:rsidRPr="00567D48" w:rsidRDefault="00A70347" w:rsidP="00A70347">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22F0D25B" w14:textId="77777777" w:rsidR="00A70347" w:rsidRPr="00567D48" w:rsidRDefault="00A70347" w:rsidP="00A70347">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0BC2A243" w14:textId="77777777" w:rsidR="00A70347" w:rsidRPr="00567D48" w:rsidRDefault="00A70347" w:rsidP="00A70347">
            <w:pPr>
              <w:pStyle w:val="ListParagraph"/>
              <w:keepLines/>
              <w:spacing w:after="120"/>
              <w:ind w:left="0"/>
              <w:rPr>
                <w:rFonts w:asciiTheme="minorHAnsi" w:hAnsiTheme="minorHAnsi" w:cs="Arial"/>
                <w:color w:val="000000"/>
                <w:sz w:val="18"/>
                <w:szCs w:val="18"/>
              </w:rPr>
            </w:pPr>
          </w:p>
        </w:tc>
        <w:tc>
          <w:tcPr>
            <w:tcW w:w="0" w:type="auto"/>
            <w:shd w:val="clear" w:color="auto" w:fill="auto"/>
          </w:tcPr>
          <w:p w14:paraId="44D79678" w14:textId="2606F974" w:rsidR="00A70347" w:rsidRPr="00567D48" w:rsidRDefault="00A70347" w:rsidP="000F14EE">
            <w:pPr>
              <w:rPr>
                <w:rFonts w:asciiTheme="minorHAnsi" w:hAnsiTheme="minorHAnsi" w:cs="Arial"/>
                <w:color w:val="000000"/>
                <w:sz w:val="18"/>
                <w:szCs w:val="18"/>
              </w:rPr>
            </w:pPr>
            <w:r w:rsidRPr="00567D48">
              <w:rPr>
                <w:rFonts w:asciiTheme="minorHAnsi" w:hAnsiTheme="minorHAnsi" w:cs="Arial"/>
                <w:color w:val="000000"/>
                <w:sz w:val="18"/>
                <w:szCs w:val="18"/>
                <w:u w:val="single"/>
              </w:rPr>
              <w:t>Sponsor’s comment</w:t>
            </w:r>
            <w:r w:rsidRPr="00567D48">
              <w:rPr>
                <w:rFonts w:asciiTheme="minorHAnsi" w:hAnsiTheme="minorHAnsi" w:cs="Arial"/>
                <w:color w:val="000000"/>
                <w:sz w:val="18"/>
                <w:szCs w:val="18"/>
              </w:rPr>
              <w:t xml:space="preserve">: </w:t>
            </w:r>
            <w:proofErr w:type="spellStart"/>
            <w:r w:rsidRPr="00567D48">
              <w:rPr>
                <w:rFonts w:asciiTheme="minorHAnsi" w:hAnsiTheme="minorHAnsi" w:cs="Arial"/>
                <w:color w:val="000000"/>
                <w:sz w:val="18"/>
                <w:szCs w:val="18"/>
              </w:rPr>
              <w:t>Orphalan</w:t>
            </w:r>
            <w:proofErr w:type="spellEnd"/>
            <w:r w:rsidRPr="00567D48">
              <w:rPr>
                <w:rFonts w:asciiTheme="minorHAnsi" w:hAnsiTheme="minorHAnsi" w:cs="Arial"/>
                <w:color w:val="000000"/>
                <w:sz w:val="18"/>
                <w:szCs w:val="18"/>
              </w:rPr>
              <w:t xml:space="preserve"> is disappointed with the PBAC’s decision not to recommend a PBS listing for </w:t>
            </w:r>
            <w:proofErr w:type="spellStart"/>
            <w:r w:rsidRPr="00567D48">
              <w:rPr>
                <w:rFonts w:asciiTheme="minorHAnsi" w:hAnsiTheme="minorHAnsi" w:cs="Arial"/>
                <w:color w:val="000000"/>
                <w:sz w:val="18"/>
                <w:szCs w:val="18"/>
              </w:rPr>
              <w:t>trientine</w:t>
            </w:r>
            <w:proofErr w:type="spellEnd"/>
            <w:r w:rsidRPr="00567D48">
              <w:rPr>
                <w:rFonts w:asciiTheme="minorHAnsi" w:hAnsiTheme="minorHAnsi" w:cs="Arial"/>
                <w:color w:val="000000"/>
                <w:sz w:val="18"/>
                <w:szCs w:val="18"/>
              </w:rPr>
              <w:t xml:space="preserve"> 4HCl to treat WD. We are concerned that in this setting, there is now a lack of access to any effective chelating therapies to treat this life-threatening condition. We will continue to work with the PBAC process to help ensure equitable and sustainable access to </w:t>
            </w:r>
            <w:proofErr w:type="spellStart"/>
            <w:r w:rsidRPr="00567D48">
              <w:rPr>
                <w:rFonts w:asciiTheme="minorHAnsi" w:hAnsiTheme="minorHAnsi" w:cs="Arial"/>
                <w:color w:val="000000"/>
                <w:sz w:val="18"/>
                <w:szCs w:val="18"/>
              </w:rPr>
              <w:t>trientine</w:t>
            </w:r>
            <w:proofErr w:type="spellEnd"/>
            <w:r w:rsidRPr="00567D48">
              <w:rPr>
                <w:rFonts w:asciiTheme="minorHAnsi" w:hAnsiTheme="minorHAnsi" w:cs="Arial"/>
                <w:color w:val="000000"/>
                <w:sz w:val="18"/>
                <w:szCs w:val="18"/>
              </w:rPr>
              <w:t xml:space="preserve"> 4HCl for the patient population intolerant to DPA.</w:t>
            </w:r>
          </w:p>
        </w:tc>
      </w:tr>
      <w:tr w:rsidR="00A70347" w:rsidRPr="00567D48" w14:paraId="1A1DA232" w14:textId="77777777" w:rsidTr="00F00B7A">
        <w:trPr>
          <w:cantSplit/>
          <w:trHeight w:val="2898"/>
        </w:trPr>
        <w:tc>
          <w:tcPr>
            <w:tcW w:w="2972" w:type="dxa"/>
            <w:vMerge w:val="restart"/>
            <w:shd w:val="clear" w:color="auto" w:fill="auto"/>
            <w:tcMar>
              <w:top w:w="28" w:type="dxa"/>
              <w:bottom w:w="28" w:type="dxa"/>
            </w:tcMar>
            <w:vAlign w:val="center"/>
          </w:tcPr>
          <w:p w14:paraId="127B3AF5" w14:textId="7D59B2EA" w:rsidR="00A70347" w:rsidRPr="00567D48" w:rsidRDefault="00A70347" w:rsidP="00A70347">
            <w:pPr>
              <w:keepLines/>
              <w:spacing w:after="120"/>
              <w:rPr>
                <w:rFonts w:asciiTheme="minorHAnsi" w:hAnsiTheme="minorHAnsi" w:cs="Arial"/>
                <w:color w:val="000000"/>
                <w:sz w:val="18"/>
                <w:szCs w:val="18"/>
              </w:rPr>
            </w:pPr>
            <w:r w:rsidRPr="00567D48">
              <w:rPr>
                <w:rFonts w:asciiTheme="minorHAnsi" w:hAnsiTheme="minorHAnsi" w:cs="Arial"/>
                <w:color w:val="000000"/>
                <w:sz w:val="18"/>
                <w:szCs w:val="18"/>
              </w:rPr>
              <w:t xml:space="preserve">TRIENTINE </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r w:rsidR="001E59E8" w:rsidRPr="00EE37F4">
              <w:rPr>
                <w:rFonts w:asciiTheme="minorHAnsi" w:hAnsiTheme="minorHAnsi" w:cstheme="minorHAnsi"/>
                <w:color w:val="000000"/>
                <w:sz w:val="18"/>
                <w:szCs w:val="18"/>
              </w:rPr>
              <w:t xml:space="preserve">Capsule containing </w:t>
            </w:r>
            <w:proofErr w:type="spellStart"/>
            <w:r w:rsidR="001E59E8" w:rsidRPr="00EE37F4">
              <w:rPr>
                <w:rFonts w:asciiTheme="minorHAnsi" w:hAnsiTheme="minorHAnsi" w:cstheme="minorHAnsi"/>
                <w:color w:val="000000"/>
                <w:sz w:val="18"/>
                <w:szCs w:val="18"/>
              </w:rPr>
              <w:t>trientine</w:t>
            </w:r>
            <w:proofErr w:type="spellEnd"/>
            <w:r w:rsidR="001E59E8" w:rsidRPr="00EE37F4">
              <w:rPr>
                <w:rFonts w:asciiTheme="minorHAnsi" w:hAnsiTheme="minorHAnsi" w:cstheme="minorHAnsi"/>
                <w:color w:val="000000"/>
                <w:sz w:val="18"/>
                <w:szCs w:val="18"/>
              </w:rPr>
              <w:t xml:space="preserve"> dihydrochloride 250 mg (equivalent to 166.7 mg </w:t>
            </w:r>
            <w:proofErr w:type="spellStart"/>
            <w:r w:rsidR="001E59E8" w:rsidRPr="00EE37F4">
              <w:rPr>
                <w:rFonts w:asciiTheme="minorHAnsi" w:hAnsiTheme="minorHAnsi" w:cstheme="minorHAnsi"/>
                <w:color w:val="000000"/>
                <w:sz w:val="18"/>
                <w:szCs w:val="18"/>
              </w:rPr>
              <w:t>trientine</w:t>
            </w:r>
            <w:proofErr w:type="spellEnd"/>
            <w:r w:rsidR="001E59E8" w:rsidRPr="00EE37F4">
              <w:rPr>
                <w:rFonts w:asciiTheme="minorHAnsi" w:hAnsiTheme="minorHAnsi" w:cstheme="minorHAnsi"/>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Waymade</w:t>
            </w:r>
            <w:proofErr w:type="spellEnd"/>
            <w:r w:rsidRPr="00567D48">
              <w:rPr>
                <w:rFonts w:asciiTheme="minorHAnsi" w:hAnsiTheme="minorHAnsi" w:cs="Arial"/>
                <w:color w:val="000000"/>
                <w:sz w:val="18"/>
                <w:szCs w:val="18"/>
              </w:rPr>
              <w:t>®</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r>
            <w:proofErr w:type="spellStart"/>
            <w:r w:rsidRPr="00567D48">
              <w:rPr>
                <w:rFonts w:asciiTheme="minorHAnsi" w:hAnsiTheme="minorHAnsi" w:cs="Arial"/>
                <w:color w:val="000000"/>
                <w:sz w:val="18"/>
                <w:szCs w:val="18"/>
              </w:rPr>
              <w:t>Clinect</w:t>
            </w:r>
            <w:proofErr w:type="spellEnd"/>
            <w:r w:rsidRPr="00567D48">
              <w:rPr>
                <w:rFonts w:asciiTheme="minorHAnsi" w:hAnsiTheme="minorHAnsi" w:cs="Arial"/>
                <w:color w:val="000000"/>
                <w:sz w:val="18"/>
                <w:szCs w:val="18"/>
              </w:rPr>
              <w:t xml:space="preserve"> Pty Ltd</w:t>
            </w:r>
            <w:r w:rsidRPr="00567D48">
              <w:rPr>
                <w:rFonts w:asciiTheme="minorHAnsi" w:hAnsiTheme="minorHAnsi" w:cs="Arial"/>
                <w:color w:val="000000"/>
                <w:sz w:val="18"/>
                <w:szCs w:val="18"/>
              </w:rPr>
              <w:br/>
            </w:r>
            <w:r w:rsidRPr="00567D48">
              <w:rPr>
                <w:rFonts w:asciiTheme="minorHAnsi" w:hAnsiTheme="minorHAnsi" w:cs="Arial"/>
                <w:color w:val="000000"/>
                <w:sz w:val="18"/>
                <w:szCs w:val="18"/>
              </w:rPr>
              <w:br/>
              <w:t>Category 1 submission</w:t>
            </w:r>
            <w:r w:rsidRPr="00567D48">
              <w:rPr>
                <w:rFonts w:asciiTheme="minorHAnsi" w:hAnsiTheme="minorHAnsi" w:cs="Arial"/>
                <w:color w:val="000000"/>
                <w:sz w:val="18"/>
                <w:szCs w:val="18"/>
              </w:rPr>
              <w:br/>
              <w:t>(New PBS listing)</w:t>
            </w:r>
          </w:p>
        </w:tc>
        <w:tc>
          <w:tcPr>
            <w:tcW w:w="2491" w:type="dxa"/>
            <w:vMerge w:val="restart"/>
            <w:shd w:val="clear" w:color="auto" w:fill="auto"/>
            <w:vAlign w:val="center"/>
          </w:tcPr>
          <w:p w14:paraId="1C919476" w14:textId="4A158687" w:rsidR="00A70347" w:rsidRPr="00567D48" w:rsidRDefault="00A70347" w:rsidP="00A70347">
            <w:pPr>
              <w:keepLines/>
              <w:widowControl w:val="0"/>
              <w:spacing w:after="120"/>
              <w:rPr>
                <w:rFonts w:asciiTheme="minorHAnsi" w:hAnsiTheme="minorHAnsi" w:cs="Arial"/>
                <w:color w:val="000000"/>
                <w:sz w:val="18"/>
                <w:szCs w:val="18"/>
              </w:rPr>
            </w:pPr>
            <w:r w:rsidRPr="00567D48">
              <w:rPr>
                <w:rFonts w:asciiTheme="minorHAnsi" w:hAnsiTheme="minorHAnsi" w:cs="Arial"/>
                <w:color w:val="000000"/>
                <w:sz w:val="18"/>
                <w:szCs w:val="18"/>
              </w:rPr>
              <w:t>Wilson disease</w:t>
            </w:r>
          </w:p>
        </w:tc>
        <w:tc>
          <w:tcPr>
            <w:tcW w:w="0" w:type="auto"/>
            <w:vMerge w:val="restart"/>
            <w:shd w:val="clear" w:color="auto" w:fill="auto"/>
            <w:tcMar>
              <w:top w:w="28" w:type="dxa"/>
              <w:bottom w:w="28" w:type="dxa"/>
            </w:tcMar>
            <w:vAlign w:val="center"/>
          </w:tcPr>
          <w:p w14:paraId="17F922F9" w14:textId="36D6CD73" w:rsidR="00A70347" w:rsidRPr="00567D48" w:rsidRDefault="00A70347" w:rsidP="00A70347">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To seek a General Schedule Authority Required listing for the treatment of patients with Wilson disease who are intolerant to penicillamine.</w:t>
            </w:r>
          </w:p>
        </w:tc>
        <w:tc>
          <w:tcPr>
            <w:tcW w:w="0" w:type="auto"/>
            <w:vMerge w:val="restart"/>
            <w:shd w:val="clear" w:color="auto" w:fill="auto"/>
            <w:vAlign w:val="center"/>
          </w:tcPr>
          <w:p w14:paraId="4BBF7576" w14:textId="69947789" w:rsidR="00A70347" w:rsidRPr="00567D48" w:rsidRDefault="00A70347" w:rsidP="00A70347">
            <w:pPr>
              <w:pStyle w:val="ListParagraph"/>
              <w:keepLines/>
              <w:spacing w:after="120"/>
              <w:ind w:left="0"/>
              <w:rPr>
                <w:rFonts w:asciiTheme="minorHAnsi" w:hAnsiTheme="minorHAnsi" w:cs="Arial"/>
                <w:color w:val="000000"/>
                <w:sz w:val="18"/>
                <w:szCs w:val="18"/>
              </w:rPr>
            </w:pPr>
            <w:r w:rsidRPr="00567D48">
              <w:rPr>
                <w:rFonts w:asciiTheme="minorHAnsi" w:hAnsiTheme="minorHAnsi" w:cs="Arial"/>
                <w:color w:val="000000"/>
                <w:sz w:val="18"/>
                <w:szCs w:val="18"/>
              </w:rPr>
              <w:t>Not Recommended</w:t>
            </w:r>
          </w:p>
        </w:tc>
        <w:tc>
          <w:tcPr>
            <w:tcW w:w="0" w:type="auto"/>
            <w:shd w:val="clear" w:color="auto" w:fill="auto"/>
            <w:vAlign w:val="bottom"/>
          </w:tcPr>
          <w:p w14:paraId="669D562E" w14:textId="177C527A" w:rsidR="00A70347" w:rsidRPr="00567D48" w:rsidRDefault="00A70347" w:rsidP="00A70347">
            <w:pPr>
              <w:rPr>
                <w:rFonts w:asciiTheme="minorHAnsi" w:hAnsiTheme="minorHAnsi" w:cs="Arial"/>
                <w:color w:val="000000"/>
                <w:sz w:val="18"/>
                <w:szCs w:val="18"/>
              </w:rPr>
            </w:pPr>
            <w:r w:rsidRPr="00567D48">
              <w:rPr>
                <w:rFonts w:asciiTheme="minorHAnsi" w:hAnsiTheme="minorHAnsi" w:cs="Arial"/>
                <w:color w:val="000000"/>
                <w:sz w:val="18"/>
                <w:szCs w:val="18"/>
              </w:rPr>
              <w:t xml:space="preserve">The PBAC did not recommend </w:t>
            </w:r>
            <w:proofErr w:type="spellStart"/>
            <w:r w:rsidRPr="00567D48">
              <w:rPr>
                <w:rFonts w:asciiTheme="minorHAnsi" w:hAnsiTheme="minorHAnsi" w:cs="Arial"/>
                <w:color w:val="000000"/>
                <w:sz w:val="18"/>
                <w:szCs w:val="18"/>
              </w:rPr>
              <w:t>trientine</w:t>
            </w:r>
            <w:proofErr w:type="spellEnd"/>
            <w:r w:rsidRPr="00567D48">
              <w:rPr>
                <w:rFonts w:asciiTheme="minorHAnsi" w:hAnsiTheme="minorHAnsi" w:cs="Arial"/>
                <w:color w:val="000000"/>
                <w:sz w:val="18"/>
                <w:szCs w:val="18"/>
              </w:rPr>
              <w:t xml:space="preserve"> dihydrochloride (2HCl) for the treatment of patients with Wilson Disease (WD) intolerant to penicillamine/D-penicillamine (DPA) therapy. Although the PBAC accepted that chelation therapy prevents the progression of WD, the PBAC considered that the proposed place in therapy for </w:t>
            </w:r>
            <w:proofErr w:type="spellStart"/>
            <w:r w:rsidRPr="00567D48">
              <w:rPr>
                <w:rFonts w:asciiTheme="minorHAnsi" w:hAnsiTheme="minorHAnsi" w:cs="Arial"/>
                <w:color w:val="000000"/>
                <w:sz w:val="18"/>
                <w:szCs w:val="18"/>
              </w:rPr>
              <w:t>trientine</w:t>
            </w:r>
            <w:proofErr w:type="spellEnd"/>
            <w:r w:rsidRPr="00567D48">
              <w:rPr>
                <w:rFonts w:asciiTheme="minorHAnsi" w:hAnsiTheme="minorHAnsi" w:cs="Arial"/>
                <w:color w:val="000000"/>
                <w:sz w:val="18"/>
                <w:szCs w:val="18"/>
              </w:rPr>
              <w:t xml:space="preserve"> 2HCl and the nomination of no active treatment as the comparator were unacceptable as they were inconsistent with current clinical practice and the available treatment guidelines. The PBAC therefore considered that the economic evaluation that compared </w:t>
            </w:r>
            <w:proofErr w:type="spellStart"/>
            <w:r w:rsidRPr="00567D48">
              <w:rPr>
                <w:rFonts w:asciiTheme="minorHAnsi" w:hAnsiTheme="minorHAnsi" w:cs="Arial"/>
                <w:color w:val="000000"/>
                <w:sz w:val="18"/>
                <w:szCs w:val="18"/>
              </w:rPr>
              <w:t>trientine</w:t>
            </w:r>
            <w:proofErr w:type="spellEnd"/>
            <w:r w:rsidRPr="00567D48">
              <w:rPr>
                <w:rFonts w:asciiTheme="minorHAnsi" w:hAnsiTheme="minorHAnsi" w:cs="Arial"/>
                <w:color w:val="000000"/>
                <w:sz w:val="18"/>
                <w:szCs w:val="18"/>
              </w:rPr>
              <w:t xml:space="preserve"> 2HCl with no active treatment was uninformative. In addition, the PBAC considered that the financial estimates were high, particularly at the proposed price. The PBAC considered that a </w:t>
            </w:r>
            <w:r w:rsidRPr="00567D48">
              <w:rPr>
                <w:rFonts w:asciiTheme="minorHAnsi" w:hAnsiTheme="minorHAnsi" w:cs="Arial"/>
                <w:color w:val="000000"/>
                <w:sz w:val="18"/>
                <w:szCs w:val="18"/>
              </w:rPr>
              <w:br/>
              <w:t xml:space="preserve">cost-minimisation approach versus DPA would be more appropriate. </w:t>
            </w:r>
          </w:p>
          <w:p w14:paraId="1115BA46" w14:textId="77777777" w:rsidR="00A70347" w:rsidRPr="00567D48" w:rsidRDefault="00A70347" w:rsidP="00A70347">
            <w:pPr>
              <w:rPr>
                <w:rFonts w:asciiTheme="minorHAnsi" w:hAnsiTheme="minorHAnsi" w:cs="Arial"/>
                <w:color w:val="000000"/>
                <w:sz w:val="18"/>
                <w:szCs w:val="18"/>
              </w:rPr>
            </w:pPr>
          </w:p>
          <w:p w14:paraId="0B0A02E4" w14:textId="6BCDA68F" w:rsidR="00A70347" w:rsidRPr="00567D48" w:rsidRDefault="00A70347" w:rsidP="00A70347">
            <w:pPr>
              <w:rPr>
                <w:rFonts w:asciiTheme="minorHAnsi" w:hAnsiTheme="minorHAnsi" w:cs="Arial"/>
                <w:snapToGrid w:val="0"/>
                <w:sz w:val="18"/>
                <w:szCs w:val="18"/>
                <w:lang w:eastAsia="en-US"/>
              </w:rPr>
            </w:pPr>
            <w:r w:rsidRPr="00567D48">
              <w:rPr>
                <w:rFonts w:asciiTheme="minorHAnsi" w:hAnsiTheme="minorHAnsi" w:cs="Arial"/>
                <w:color w:val="000000"/>
                <w:sz w:val="18"/>
                <w:szCs w:val="18"/>
              </w:rPr>
              <w:t>The PBAC nominated the Early Re-entry re-submission pathway for this item.</w:t>
            </w:r>
          </w:p>
        </w:tc>
      </w:tr>
      <w:tr w:rsidR="00A70347" w:rsidRPr="00567D48" w14:paraId="715587A7" w14:textId="77777777" w:rsidTr="00F00B7A">
        <w:trPr>
          <w:cantSplit/>
          <w:trHeight w:val="620"/>
        </w:trPr>
        <w:tc>
          <w:tcPr>
            <w:tcW w:w="2972" w:type="dxa"/>
            <w:vMerge/>
            <w:shd w:val="clear" w:color="auto" w:fill="auto"/>
            <w:tcMar>
              <w:top w:w="28" w:type="dxa"/>
              <w:bottom w:w="28" w:type="dxa"/>
            </w:tcMar>
            <w:vAlign w:val="center"/>
          </w:tcPr>
          <w:p w14:paraId="6A4AC4B5" w14:textId="77777777" w:rsidR="00A70347" w:rsidRPr="00567D48" w:rsidRDefault="00A70347" w:rsidP="00A70347">
            <w:pPr>
              <w:keepLines/>
              <w:spacing w:after="120"/>
              <w:rPr>
                <w:rFonts w:asciiTheme="minorHAnsi" w:hAnsiTheme="minorHAnsi" w:cs="Arial"/>
                <w:color w:val="000000"/>
                <w:sz w:val="18"/>
                <w:szCs w:val="18"/>
              </w:rPr>
            </w:pPr>
          </w:p>
        </w:tc>
        <w:tc>
          <w:tcPr>
            <w:tcW w:w="2491" w:type="dxa"/>
            <w:vMerge/>
            <w:shd w:val="clear" w:color="auto" w:fill="auto"/>
            <w:vAlign w:val="center"/>
          </w:tcPr>
          <w:p w14:paraId="5169371C" w14:textId="77777777" w:rsidR="00A70347" w:rsidRPr="00567D48" w:rsidRDefault="00A70347" w:rsidP="00A70347">
            <w:pPr>
              <w:keepLines/>
              <w:widowControl w:val="0"/>
              <w:spacing w:after="120"/>
              <w:rPr>
                <w:rFonts w:asciiTheme="minorHAnsi" w:hAnsiTheme="minorHAnsi" w:cs="Arial"/>
                <w:color w:val="000000"/>
                <w:sz w:val="18"/>
                <w:szCs w:val="18"/>
              </w:rPr>
            </w:pPr>
          </w:p>
        </w:tc>
        <w:tc>
          <w:tcPr>
            <w:tcW w:w="0" w:type="auto"/>
            <w:vMerge/>
            <w:shd w:val="clear" w:color="auto" w:fill="auto"/>
            <w:tcMar>
              <w:top w:w="28" w:type="dxa"/>
              <w:bottom w:w="28" w:type="dxa"/>
            </w:tcMar>
            <w:vAlign w:val="center"/>
          </w:tcPr>
          <w:p w14:paraId="4C740177" w14:textId="77777777" w:rsidR="00A70347" w:rsidRPr="00567D48" w:rsidRDefault="00A70347" w:rsidP="00A70347">
            <w:pPr>
              <w:pStyle w:val="ListParagraph"/>
              <w:keepLines/>
              <w:spacing w:after="120"/>
              <w:ind w:left="0"/>
              <w:rPr>
                <w:rFonts w:asciiTheme="minorHAnsi" w:hAnsiTheme="minorHAnsi" w:cs="Arial"/>
                <w:color w:val="000000"/>
                <w:sz w:val="18"/>
                <w:szCs w:val="18"/>
              </w:rPr>
            </w:pPr>
          </w:p>
        </w:tc>
        <w:tc>
          <w:tcPr>
            <w:tcW w:w="0" w:type="auto"/>
            <w:vMerge/>
            <w:shd w:val="clear" w:color="auto" w:fill="auto"/>
            <w:vAlign w:val="center"/>
          </w:tcPr>
          <w:p w14:paraId="19691956" w14:textId="77777777" w:rsidR="00A70347" w:rsidRPr="00567D48" w:rsidRDefault="00A70347" w:rsidP="00A70347">
            <w:pPr>
              <w:pStyle w:val="ListParagraph"/>
              <w:keepLines/>
              <w:spacing w:after="120"/>
              <w:ind w:left="0"/>
              <w:rPr>
                <w:rFonts w:asciiTheme="minorHAnsi" w:hAnsiTheme="minorHAnsi" w:cs="Arial"/>
                <w:color w:val="000000"/>
                <w:sz w:val="18"/>
                <w:szCs w:val="18"/>
              </w:rPr>
            </w:pPr>
          </w:p>
        </w:tc>
        <w:tc>
          <w:tcPr>
            <w:tcW w:w="0" w:type="auto"/>
            <w:shd w:val="clear" w:color="auto" w:fill="auto"/>
          </w:tcPr>
          <w:p w14:paraId="6FFDA951" w14:textId="4CF500E3" w:rsidR="00A70347" w:rsidRPr="00567D48" w:rsidRDefault="00A70347" w:rsidP="00A70347">
            <w:pPr>
              <w:rPr>
                <w:rFonts w:asciiTheme="minorHAnsi" w:hAnsiTheme="minorHAnsi" w:cs="Arial"/>
                <w:color w:val="000000"/>
                <w:sz w:val="18"/>
                <w:szCs w:val="18"/>
              </w:rPr>
            </w:pPr>
            <w:r w:rsidRPr="00567D48">
              <w:rPr>
                <w:rFonts w:asciiTheme="minorHAnsi" w:hAnsiTheme="minorHAnsi" w:cs="Arial"/>
                <w:color w:val="000000"/>
                <w:sz w:val="18"/>
                <w:szCs w:val="18"/>
                <w:u w:val="single"/>
              </w:rPr>
              <w:t>Sponsor’s comment</w:t>
            </w:r>
            <w:r w:rsidRPr="00567D48">
              <w:rPr>
                <w:rFonts w:asciiTheme="minorHAnsi" w:hAnsiTheme="minorHAnsi" w:cs="Arial"/>
                <w:color w:val="000000"/>
                <w:sz w:val="18"/>
                <w:szCs w:val="18"/>
              </w:rPr>
              <w:t xml:space="preserve">: The sponsor had no comment. </w:t>
            </w:r>
          </w:p>
        </w:tc>
      </w:tr>
    </w:tbl>
    <w:p w14:paraId="36A477BC" w14:textId="15A31897" w:rsidR="00FB3935" w:rsidRDefault="00FB3935" w:rsidP="00EF3B9C">
      <w:pPr>
        <w:rPr>
          <w:rFonts w:ascii="Arial" w:hAnsi="Arial" w:cs="Arial"/>
          <w:b/>
          <w:sz w:val="18"/>
          <w:szCs w:val="18"/>
          <w:lang w:val="en-US"/>
        </w:rPr>
      </w:pPr>
    </w:p>
    <w:p w14:paraId="2CF311E1" w14:textId="0412D7E4" w:rsidR="00FB3935" w:rsidRDefault="00FB3935">
      <w:pPr>
        <w:rPr>
          <w:rFonts w:ascii="Arial" w:hAnsi="Arial" w:cs="Arial"/>
          <w:b/>
          <w:sz w:val="18"/>
          <w:szCs w:val="18"/>
          <w:lang w:val="en-US"/>
        </w:rPr>
      </w:pPr>
    </w:p>
    <w:p w14:paraId="3BCF2AA0" w14:textId="77777777" w:rsidR="000F6F0D" w:rsidRPr="00CC0C66" w:rsidRDefault="000F6F0D" w:rsidP="00EF3B9C">
      <w:pPr>
        <w:rPr>
          <w:rFonts w:ascii="Arial" w:hAnsi="Arial" w:cs="Arial"/>
          <w:b/>
          <w:sz w:val="18"/>
          <w:szCs w:val="18"/>
          <w:lang w:val="en-US"/>
        </w:rPr>
      </w:pPr>
    </w:p>
    <w:tbl>
      <w:tblPr>
        <w:tblW w:w="5002" w:type="pct"/>
        <w:tblLayout w:type="fixed"/>
        <w:tblLook w:val="04A0" w:firstRow="1" w:lastRow="0" w:firstColumn="1" w:lastColumn="0" w:noHBand="0" w:noVBand="1"/>
      </w:tblPr>
      <w:tblGrid>
        <w:gridCol w:w="3824"/>
        <w:gridCol w:w="3827"/>
        <w:gridCol w:w="3685"/>
        <w:gridCol w:w="4058"/>
      </w:tblGrid>
      <w:tr w:rsidR="00155809" w:rsidRPr="00567D48" w14:paraId="5471EC42" w14:textId="77777777" w:rsidTr="00A159CA">
        <w:trPr>
          <w:cantSplit/>
          <w:trHeight w:val="699"/>
          <w:tblHeader/>
        </w:trPr>
        <w:tc>
          <w:tcPr>
            <w:tcW w:w="12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204F48" w14:textId="6C24D4BD" w:rsidR="00155809" w:rsidRPr="00567D48" w:rsidRDefault="00FB3935" w:rsidP="00C5261F">
            <w:pPr>
              <w:widowControl w:val="0"/>
              <w:spacing w:after="120"/>
              <w:jc w:val="center"/>
              <w:rPr>
                <w:rFonts w:asciiTheme="minorHAnsi" w:hAnsiTheme="minorHAnsi" w:cs="Arial"/>
                <w:b/>
                <w:bCs/>
                <w:snapToGrid w:val="0"/>
                <w:color w:val="000000"/>
              </w:rPr>
            </w:pPr>
            <w:r w:rsidRPr="00567D48">
              <w:rPr>
                <w:rFonts w:asciiTheme="minorHAnsi" w:hAnsiTheme="minorHAnsi" w:cs="Arial"/>
                <w:b/>
                <w:bCs/>
                <w:snapToGrid w:val="0"/>
                <w:color w:val="000000"/>
              </w:rPr>
              <w:t>DRUG NAME, FORM(S), STRENGTH(S) AND SPONSOR</w:t>
            </w:r>
          </w:p>
        </w:tc>
        <w:tc>
          <w:tcPr>
            <w:tcW w:w="1243" w:type="pct"/>
            <w:tcBorders>
              <w:top w:val="single" w:sz="4" w:space="0" w:color="auto"/>
              <w:left w:val="nil"/>
              <w:bottom w:val="single" w:sz="4" w:space="0" w:color="auto"/>
              <w:right w:val="single" w:sz="4" w:space="0" w:color="auto"/>
            </w:tcBorders>
            <w:shd w:val="clear" w:color="auto" w:fill="auto"/>
            <w:vAlign w:val="center"/>
            <w:hideMark/>
          </w:tcPr>
          <w:p w14:paraId="278E5918" w14:textId="60B70EDC" w:rsidR="00155809" w:rsidRPr="00567D48" w:rsidRDefault="00FB3935" w:rsidP="00C5261F">
            <w:pPr>
              <w:widowControl w:val="0"/>
              <w:spacing w:after="120"/>
              <w:jc w:val="center"/>
              <w:rPr>
                <w:rFonts w:asciiTheme="minorHAnsi" w:hAnsiTheme="minorHAnsi" w:cs="Arial"/>
                <w:b/>
                <w:bCs/>
                <w:snapToGrid w:val="0"/>
                <w:color w:val="000000"/>
              </w:rPr>
            </w:pPr>
            <w:r w:rsidRPr="00567D48">
              <w:rPr>
                <w:rFonts w:asciiTheme="minorHAnsi" w:hAnsiTheme="minorHAnsi" w:cs="Arial"/>
                <w:b/>
                <w:bCs/>
                <w:snapToGrid w:val="0"/>
                <w:color w:val="000000"/>
              </w:rPr>
              <w:t>DRUG TYPE AND USE</w:t>
            </w:r>
          </w:p>
        </w:tc>
        <w:tc>
          <w:tcPr>
            <w:tcW w:w="1197" w:type="pct"/>
            <w:tcBorders>
              <w:top w:val="single" w:sz="4" w:space="0" w:color="auto"/>
              <w:left w:val="nil"/>
              <w:bottom w:val="single" w:sz="4" w:space="0" w:color="auto"/>
              <w:right w:val="single" w:sz="4" w:space="0" w:color="auto"/>
            </w:tcBorders>
            <w:shd w:val="clear" w:color="auto" w:fill="auto"/>
            <w:vAlign w:val="center"/>
            <w:hideMark/>
          </w:tcPr>
          <w:p w14:paraId="1AFCC2B1" w14:textId="5326647F" w:rsidR="00155809" w:rsidRPr="00567D48" w:rsidRDefault="00FB3935" w:rsidP="00C5261F">
            <w:pPr>
              <w:widowControl w:val="0"/>
              <w:spacing w:after="120"/>
              <w:jc w:val="center"/>
              <w:rPr>
                <w:rFonts w:asciiTheme="minorHAnsi" w:hAnsiTheme="minorHAnsi" w:cs="Arial"/>
                <w:b/>
                <w:bCs/>
                <w:snapToGrid w:val="0"/>
                <w:color w:val="000000"/>
              </w:rPr>
            </w:pPr>
            <w:r w:rsidRPr="00567D48">
              <w:rPr>
                <w:rFonts w:asciiTheme="minorHAnsi" w:hAnsiTheme="minorHAnsi" w:cs="Arial"/>
                <w:b/>
                <w:bCs/>
                <w:snapToGrid w:val="0"/>
                <w:color w:val="000000"/>
              </w:rPr>
              <w:t>LISTING REQUESTED BY SPONSOR / PURPOSE OF SUBMISSION</w:t>
            </w:r>
          </w:p>
        </w:tc>
        <w:tc>
          <w:tcPr>
            <w:tcW w:w="1318" w:type="pct"/>
            <w:tcBorders>
              <w:top w:val="single" w:sz="4" w:space="0" w:color="auto"/>
              <w:left w:val="nil"/>
              <w:bottom w:val="single" w:sz="4" w:space="0" w:color="auto"/>
              <w:right w:val="single" w:sz="4" w:space="0" w:color="auto"/>
            </w:tcBorders>
            <w:vAlign w:val="center"/>
          </w:tcPr>
          <w:p w14:paraId="6DC5B306" w14:textId="22A89F99" w:rsidR="00155809" w:rsidRPr="00567D48" w:rsidRDefault="00FB3935" w:rsidP="00C5261F">
            <w:pPr>
              <w:widowControl w:val="0"/>
              <w:spacing w:after="120"/>
              <w:jc w:val="center"/>
              <w:rPr>
                <w:rFonts w:asciiTheme="minorHAnsi" w:hAnsiTheme="minorHAnsi" w:cs="Arial"/>
                <w:b/>
                <w:bCs/>
                <w:snapToGrid w:val="0"/>
                <w:color w:val="000000"/>
              </w:rPr>
            </w:pPr>
            <w:r w:rsidRPr="00567D48">
              <w:rPr>
                <w:rFonts w:asciiTheme="minorHAnsi" w:hAnsiTheme="minorHAnsi" w:cs="Arial"/>
                <w:b/>
                <w:bCs/>
                <w:snapToGrid w:val="0"/>
                <w:color w:val="000000"/>
              </w:rPr>
              <w:t>PBAC OUTCOME</w:t>
            </w:r>
          </w:p>
        </w:tc>
      </w:tr>
      <w:tr w:rsidR="00553D3C" w:rsidRPr="00567D48" w14:paraId="408FF98A" w14:textId="77777777" w:rsidTr="00CE5CA9">
        <w:trPr>
          <w:cantSplit/>
          <w:trHeight w:val="1281"/>
        </w:trPr>
        <w:tc>
          <w:tcPr>
            <w:tcW w:w="1242" w:type="pct"/>
            <w:tcBorders>
              <w:top w:val="single" w:sz="4" w:space="0" w:color="auto"/>
              <w:left w:val="single" w:sz="4" w:space="0" w:color="auto"/>
              <w:bottom w:val="single" w:sz="4" w:space="0" w:color="auto"/>
              <w:right w:val="single" w:sz="4" w:space="0" w:color="auto"/>
            </w:tcBorders>
            <w:shd w:val="clear" w:color="auto" w:fill="auto"/>
            <w:vAlign w:val="center"/>
          </w:tcPr>
          <w:p w14:paraId="16D84166"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ADRENALINE</w:t>
            </w:r>
          </w:p>
          <w:p w14:paraId="0151B170"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I.M. injection 150 mcg in 0.3 mL single dose syringe auto-injector</w:t>
            </w:r>
          </w:p>
          <w:p w14:paraId="3610BED3"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I.M. injection 300 mg in 0.3 mL single dose syringe auto-injector</w:t>
            </w:r>
          </w:p>
          <w:p w14:paraId="3B7573C7"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 xml:space="preserve">Adrenaline Auto Inject Sun-JV® </w:t>
            </w:r>
            <w:proofErr w:type="spellStart"/>
            <w:r w:rsidRPr="00567D48">
              <w:rPr>
                <w:rFonts w:asciiTheme="minorHAnsi" w:hAnsiTheme="minorHAnsi" w:cs="Arial"/>
                <w:color w:val="000000"/>
              </w:rPr>
              <w:t>AdrenaJect</w:t>
            </w:r>
            <w:proofErr w:type="spellEnd"/>
            <w:r w:rsidRPr="00567D48">
              <w:rPr>
                <w:rFonts w:asciiTheme="minorHAnsi" w:hAnsiTheme="minorHAnsi" w:cs="Arial"/>
                <w:color w:val="000000"/>
              </w:rPr>
              <w:t>®</w:t>
            </w:r>
          </w:p>
          <w:p w14:paraId="6C9EC299" w14:textId="23E77768" w:rsidR="00553D3C" w:rsidRPr="00567D48" w:rsidRDefault="00553D3C" w:rsidP="00553D3C">
            <w:pPr>
              <w:widowControl w:val="0"/>
              <w:spacing w:after="120"/>
              <w:jc w:val="center"/>
              <w:rPr>
                <w:rFonts w:asciiTheme="minorHAnsi" w:hAnsiTheme="minorHAnsi" w:cs="Arial"/>
                <w:snapToGrid w:val="0"/>
              </w:rPr>
            </w:pPr>
            <w:r w:rsidRPr="00567D48">
              <w:rPr>
                <w:rFonts w:asciiTheme="minorHAnsi" w:hAnsiTheme="minorHAnsi" w:cs="Arial"/>
                <w:color w:val="000000"/>
              </w:rPr>
              <w:t>Sun Pharma</w:t>
            </w:r>
          </w:p>
        </w:tc>
        <w:tc>
          <w:tcPr>
            <w:tcW w:w="1243" w:type="pct"/>
            <w:tcBorders>
              <w:top w:val="single" w:sz="4" w:space="0" w:color="auto"/>
              <w:left w:val="nil"/>
              <w:bottom w:val="single" w:sz="4" w:space="0" w:color="auto"/>
              <w:right w:val="single" w:sz="4" w:space="0" w:color="auto"/>
            </w:tcBorders>
            <w:shd w:val="clear" w:color="auto" w:fill="auto"/>
            <w:vAlign w:val="center"/>
          </w:tcPr>
          <w:p w14:paraId="03867266" w14:textId="01DC89A8" w:rsidR="00553D3C" w:rsidRPr="00567D48" w:rsidRDefault="00553D3C" w:rsidP="00553D3C">
            <w:pPr>
              <w:widowControl w:val="0"/>
              <w:spacing w:after="120"/>
              <w:jc w:val="center"/>
              <w:rPr>
                <w:rFonts w:asciiTheme="minorHAnsi" w:hAnsiTheme="minorHAnsi" w:cs="Arial"/>
                <w:snapToGrid w:val="0"/>
              </w:rPr>
            </w:pPr>
            <w:r w:rsidRPr="00567D48">
              <w:rPr>
                <w:rFonts w:asciiTheme="minorHAnsi" w:hAnsiTheme="minorHAnsi" w:cs="Arial"/>
              </w:rPr>
              <w:t>Anaphylaxis</w:t>
            </w:r>
          </w:p>
        </w:tc>
        <w:tc>
          <w:tcPr>
            <w:tcW w:w="1197" w:type="pct"/>
            <w:tcBorders>
              <w:top w:val="single" w:sz="4" w:space="0" w:color="auto"/>
              <w:left w:val="nil"/>
              <w:bottom w:val="single" w:sz="4" w:space="0" w:color="auto"/>
              <w:right w:val="single" w:sz="4" w:space="0" w:color="auto"/>
            </w:tcBorders>
            <w:shd w:val="clear" w:color="auto" w:fill="auto"/>
            <w:vAlign w:val="center"/>
          </w:tcPr>
          <w:p w14:paraId="32E2C4C2" w14:textId="0499A057" w:rsidR="00553D3C" w:rsidRPr="00567D48" w:rsidRDefault="00553D3C" w:rsidP="00553D3C">
            <w:pPr>
              <w:widowControl w:val="0"/>
              <w:spacing w:after="120"/>
              <w:jc w:val="center"/>
              <w:rPr>
                <w:rFonts w:asciiTheme="minorHAnsi" w:hAnsiTheme="minorHAnsi" w:cs="Arial"/>
                <w:bCs/>
                <w:snapToGrid w:val="0"/>
                <w:color w:val="000000"/>
              </w:rPr>
            </w:pPr>
            <w:r w:rsidRPr="00567D48">
              <w:rPr>
                <w:rFonts w:asciiTheme="minorHAnsi" w:hAnsiTheme="minorHAnsi" w:cs="Arial"/>
                <w:bCs/>
                <w:color w:val="000000"/>
              </w:rPr>
              <w:t>Review of positive PBAC recommendations not accepted by applicants</w:t>
            </w:r>
          </w:p>
        </w:tc>
        <w:tc>
          <w:tcPr>
            <w:tcW w:w="1318" w:type="pct"/>
            <w:tcBorders>
              <w:top w:val="single" w:sz="4" w:space="0" w:color="auto"/>
              <w:left w:val="nil"/>
              <w:bottom w:val="single" w:sz="4" w:space="0" w:color="auto"/>
              <w:right w:val="single" w:sz="4" w:space="0" w:color="auto"/>
            </w:tcBorders>
            <w:vAlign w:val="center"/>
          </w:tcPr>
          <w:p w14:paraId="4A0518A9" w14:textId="14A8E6D4" w:rsidR="00553D3C" w:rsidRPr="00567D48" w:rsidRDefault="00553D3C" w:rsidP="00553D3C">
            <w:pPr>
              <w:widowControl w:val="0"/>
              <w:spacing w:after="120"/>
              <w:jc w:val="center"/>
              <w:rPr>
                <w:rFonts w:asciiTheme="minorHAnsi" w:hAnsiTheme="minorHAnsi" w:cs="Arial"/>
                <w:bCs/>
                <w:snapToGrid w:val="0"/>
              </w:rPr>
            </w:pPr>
            <w:r w:rsidRPr="00567D48">
              <w:rPr>
                <w:rFonts w:asciiTheme="minorHAnsi" w:hAnsiTheme="minorHAnsi" w:cs="Arial"/>
              </w:rPr>
              <w:t>Recommendation was rescinded by the PBAC with support from the sponsor.</w:t>
            </w:r>
          </w:p>
        </w:tc>
      </w:tr>
      <w:tr w:rsidR="00553D3C" w:rsidRPr="00567D48" w14:paraId="6B5DB651" w14:textId="77777777" w:rsidTr="00CE5CA9">
        <w:trPr>
          <w:cantSplit/>
          <w:trHeight w:val="1281"/>
        </w:trPr>
        <w:tc>
          <w:tcPr>
            <w:tcW w:w="1242" w:type="pct"/>
            <w:tcBorders>
              <w:top w:val="single" w:sz="4" w:space="0" w:color="auto"/>
              <w:left w:val="single" w:sz="4" w:space="0" w:color="auto"/>
              <w:bottom w:val="single" w:sz="4" w:space="0" w:color="auto"/>
              <w:right w:val="single" w:sz="4" w:space="0" w:color="auto"/>
            </w:tcBorders>
            <w:shd w:val="clear" w:color="auto" w:fill="auto"/>
            <w:vAlign w:val="center"/>
          </w:tcPr>
          <w:p w14:paraId="2EAC067C"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ALENDRONIC ACID</w:t>
            </w:r>
          </w:p>
          <w:p w14:paraId="18818579"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Tablet, effervescent 70 mg</w:t>
            </w:r>
          </w:p>
          <w:p w14:paraId="3BEA3A8D" w14:textId="77777777" w:rsidR="00553D3C" w:rsidRPr="00567D48" w:rsidRDefault="00553D3C" w:rsidP="00553D3C">
            <w:pPr>
              <w:jc w:val="center"/>
              <w:rPr>
                <w:rFonts w:asciiTheme="minorHAnsi" w:hAnsiTheme="minorHAnsi" w:cs="Arial"/>
                <w:color w:val="000000"/>
              </w:rPr>
            </w:pPr>
            <w:proofErr w:type="spellStart"/>
            <w:r w:rsidRPr="00567D48">
              <w:rPr>
                <w:rFonts w:asciiTheme="minorHAnsi" w:hAnsiTheme="minorHAnsi" w:cs="Arial"/>
                <w:color w:val="000000"/>
              </w:rPr>
              <w:t>Binosto</w:t>
            </w:r>
            <w:proofErr w:type="spellEnd"/>
            <w:r w:rsidRPr="00567D48">
              <w:rPr>
                <w:rFonts w:asciiTheme="minorHAnsi" w:hAnsiTheme="minorHAnsi" w:cs="Arial"/>
                <w:color w:val="000000"/>
              </w:rPr>
              <w:t>®</w:t>
            </w:r>
          </w:p>
          <w:p w14:paraId="3D138D7D" w14:textId="23D50F46" w:rsidR="00553D3C" w:rsidRPr="00567D48" w:rsidRDefault="00553D3C" w:rsidP="00553D3C">
            <w:pPr>
              <w:widowControl w:val="0"/>
              <w:spacing w:after="120"/>
              <w:jc w:val="center"/>
              <w:rPr>
                <w:rFonts w:asciiTheme="minorHAnsi" w:hAnsiTheme="minorHAnsi" w:cs="Arial"/>
                <w:snapToGrid w:val="0"/>
                <w:color w:val="FF0000"/>
              </w:rPr>
            </w:pPr>
            <w:proofErr w:type="spellStart"/>
            <w:r w:rsidRPr="00567D48">
              <w:rPr>
                <w:rFonts w:asciiTheme="minorHAnsi" w:hAnsiTheme="minorHAnsi" w:cs="Arial"/>
                <w:color w:val="000000"/>
              </w:rPr>
              <w:t>Pharmbio</w:t>
            </w:r>
            <w:proofErr w:type="spellEnd"/>
            <w:r w:rsidRPr="00567D48">
              <w:rPr>
                <w:rFonts w:asciiTheme="minorHAnsi" w:hAnsiTheme="minorHAnsi" w:cs="Arial"/>
                <w:color w:val="000000"/>
              </w:rPr>
              <w:t xml:space="preserve"> Pty Ltd</w:t>
            </w:r>
          </w:p>
        </w:tc>
        <w:tc>
          <w:tcPr>
            <w:tcW w:w="1243" w:type="pct"/>
            <w:tcBorders>
              <w:top w:val="single" w:sz="4" w:space="0" w:color="auto"/>
              <w:left w:val="nil"/>
              <w:bottom w:val="single" w:sz="4" w:space="0" w:color="auto"/>
              <w:right w:val="single" w:sz="4" w:space="0" w:color="auto"/>
            </w:tcBorders>
            <w:shd w:val="clear" w:color="auto" w:fill="auto"/>
            <w:vAlign w:val="center"/>
          </w:tcPr>
          <w:p w14:paraId="3227D25F" w14:textId="6834950F" w:rsidR="00553D3C" w:rsidRPr="00567D48" w:rsidRDefault="00553D3C" w:rsidP="00553D3C">
            <w:pPr>
              <w:widowControl w:val="0"/>
              <w:spacing w:after="120"/>
              <w:jc w:val="center"/>
              <w:rPr>
                <w:rFonts w:asciiTheme="minorHAnsi" w:hAnsiTheme="minorHAnsi" w:cs="Arial"/>
                <w:snapToGrid w:val="0"/>
                <w:color w:val="FF0000"/>
              </w:rPr>
            </w:pPr>
            <w:r w:rsidRPr="00567D48">
              <w:rPr>
                <w:rFonts w:asciiTheme="minorHAnsi" w:hAnsiTheme="minorHAnsi" w:cs="Arial"/>
              </w:rPr>
              <w:t>Osteoporosis</w:t>
            </w:r>
          </w:p>
        </w:tc>
        <w:tc>
          <w:tcPr>
            <w:tcW w:w="1197" w:type="pct"/>
            <w:tcBorders>
              <w:top w:val="single" w:sz="4" w:space="0" w:color="auto"/>
              <w:left w:val="nil"/>
              <w:bottom w:val="single" w:sz="4" w:space="0" w:color="auto"/>
              <w:right w:val="single" w:sz="4" w:space="0" w:color="auto"/>
            </w:tcBorders>
            <w:shd w:val="clear" w:color="auto" w:fill="auto"/>
            <w:vAlign w:val="center"/>
          </w:tcPr>
          <w:p w14:paraId="6D3B7D1C" w14:textId="06CF4226" w:rsidR="00553D3C" w:rsidRPr="00567D48" w:rsidRDefault="00553D3C" w:rsidP="00553D3C">
            <w:pPr>
              <w:widowControl w:val="0"/>
              <w:spacing w:after="120"/>
              <w:jc w:val="center"/>
              <w:rPr>
                <w:rFonts w:asciiTheme="minorHAnsi" w:hAnsiTheme="minorHAnsi" w:cs="Arial"/>
                <w:bCs/>
                <w:snapToGrid w:val="0"/>
                <w:color w:val="000000"/>
              </w:rPr>
            </w:pPr>
            <w:r w:rsidRPr="00567D48">
              <w:rPr>
                <w:rFonts w:asciiTheme="minorHAnsi" w:hAnsiTheme="minorHAnsi" w:cs="Arial"/>
                <w:bCs/>
                <w:color w:val="000000"/>
              </w:rPr>
              <w:t>Review of positive PBAC recommendations not accepted by applicants</w:t>
            </w:r>
          </w:p>
        </w:tc>
        <w:tc>
          <w:tcPr>
            <w:tcW w:w="1318" w:type="pct"/>
            <w:tcBorders>
              <w:top w:val="single" w:sz="4" w:space="0" w:color="auto"/>
              <w:left w:val="nil"/>
              <w:bottom w:val="single" w:sz="4" w:space="0" w:color="auto"/>
              <w:right w:val="single" w:sz="4" w:space="0" w:color="auto"/>
            </w:tcBorders>
            <w:vAlign w:val="center"/>
          </w:tcPr>
          <w:p w14:paraId="1E3B7E01" w14:textId="58296FD7" w:rsidR="00553D3C" w:rsidRPr="00567D48" w:rsidRDefault="00553D3C" w:rsidP="00553D3C">
            <w:pPr>
              <w:widowControl w:val="0"/>
              <w:spacing w:after="120"/>
              <w:jc w:val="center"/>
              <w:rPr>
                <w:rFonts w:asciiTheme="minorHAnsi" w:hAnsiTheme="minorHAnsi" w:cs="Arial"/>
                <w:bCs/>
                <w:snapToGrid w:val="0"/>
              </w:rPr>
            </w:pPr>
            <w:r w:rsidRPr="00567D48">
              <w:rPr>
                <w:rFonts w:asciiTheme="minorHAnsi" w:hAnsiTheme="minorHAnsi" w:cs="Arial"/>
              </w:rPr>
              <w:t>Recommendation was rescinded by the PBAC.</w:t>
            </w:r>
          </w:p>
        </w:tc>
      </w:tr>
      <w:tr w:rsidR="00553D3C" w:rsidRPr="00567D48" w14:paraId="6685741E" w14:textId="77777777" w:rsidTr="00CE5CA9">
        <w:trPr>
          <w:cantSplit/>
          <w:trHeight w:val="1281"/>
        </w:trPr>
        <w:tc>
          <w:tcPr>
            <w:tcW w:w="1242" w:type="pct"/>
            <w:tcBorders>
              <w:top w:val="single" w:sz="4" w:space="0" w:color="auto"/>
              <w:left w:val="single" w:sz="4" w:space="0" w:color="auto"/>
              <w:bottom w:val="single" w:sz="4" w:space="0" w:color="auto"/>
              <w:right w:val="single" w:sz="4" w:space="0" w:color="auto"/>
            </w:tcBorders>
            <w:shd w:val="clear" w:color="auto" w:fill="auto"/>
            <w:vAlign w:val="center"/>
          </w:tcPr>
          <w:p w14:paraId="48B4623F"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AMINO ACID FORMULA WITH VITAMINS AND MINERALS WITHOUT VALINE, LEUCINE AND ISOLEUCINE</w:t>
            </w:r>
          </w:p>
          <w:p w14:paraId="4B29EE3E"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Sachets containing oral powder 12.5 g, 30</w:t>
            </w:r>
          </w:p>
          <w:p w14:paraId="22A594D2"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MSUD Explore 5</w:t>
            </w:r>
          </w:p>
          <w:p w14:paraId="1DD12D09" w14:textId="454AFD07" w:rsidR="00553D3C" w:rsidRPr="00567D48" w:rsidRDefault="00553D3C" w:rsidP="00553D3C">
            <w:pPr>
              <w:widowControl w:val="0"/>
              <w:spacing w:after="120"/>
              <w:jc w:val="center"/>
              <w:rPr>
                <w:rFonts w:asciiTheme="minorHAnsi" w:hAnsiTheme="minorHAnsi" w:cs="Arial"/>
                <w:snapToGrid w:val="0"/>
                <w:color w:val="FF0000"/>
              </w:rPr>
            </w:pPr>
            <w:proofErr w:type="spellStart"/>
            <w:r w:rsidRPr="00567D48">
              <w:rPr>
                <w:rFonts w:asciiTheme="minorHAnsi" w:hAnsiTheme="minorHAnsi" w:cs="Arial"/>
                <w:color w:val="000000"/>
              </w:rPr>
              <w:t>Vitaflo</w:t>
            </w:r>
            <w:proofErr w:type="spellEnd"/>
            <w:r w:rsidRPr="00567D48">
              <w:rPr>
                <w:rFonts w:asciiTheme="minorHAnsi" w:hAnsiTheme="minorHAnsi" w:cs="Arial"/>
                <w:color w:val="000000"/>
              </w:rPr>
              <w:t xml:space="preserve"> Australia Pty Limited</w:t>
            </w:r>
          </w:p>
        </w:tc>
        <w:tc>
          <w:tcPr>
            <w:tcW w:w="1243" w:type="pct"/>
            <w:tcBorders>
              <w:top w:val="single" w:sz="4" w:space="0" w:color="auto"/>
              <w:left w:val="nil"/>
              <w:bottom w:val="single" w:sz="4" w:space="0" w:color="auto"/>
              <w:right w:val="single" w:sz="4" w:space="0" w:color="auto"/>
            </w:tcBorders>
            <w:shd w:val="clear" w:color="auto" w:fill="auto"/>
            <w:vAlign w:val="center"/>
          </w:tcPr>
          <w:p w14:paraId="7CB98703" w14:textId="68D9CCFB" w:rsidR="00553D3C" w:rsidRPr="00567D48" w:rsidRDefault="00553D3C" w:rsidP="00553D3C">
            <w:pPr>
              <w:widowControl w:val="0"/>
              <w:spacing w:after="120"/>
              <w:jc w:val="center"/>
              <w:rPr>
                <w:rFonts w:asciiTheme="minorHAnsi" w:hAnsiTheme="minorHAnsi" w:cs="Arial"/>
                <w:snapToGrid w:val="0"/>
                <w:color w:val="FF0000"/>
              </w:rPr>
            </w:pPr>
            <w:r w:rsidRPr="00567D48">
              <w:rPr>
                <w:rFonts w:asciiTheme="minorHAnsi" w:hAnsiTheme="minorHAnsi"/>
              </w:rPr>
              <w:t>Maple syrup urine disease (MSUD)</w:t>
            </w:r>
          </w:p>
        </w:tc>
        <w:tc>
          <w:tcPr>
            <w:tcW w:w="1197" w:type="pct"/>
            <w:tcBorders>
              <w:top w:val="single" w:sz="4" w:space="0" w:color="auto"/>
              <w:left w:val="nil"/>
              <w:bottom w:val="single" w:sz="4" w:space="0" w:color="auto"/>
              <w:right w:val="single" w:sz="4" w:space="0" w:color="auto"/>
            </w:tcBorders>
            <w:shd w:val="clear" w:color="auto" w:fill="auto"/>
            <w:vAlign w:val="center"/>
          </w:tcPr>
          <w:p w14:paraId="0A241A72" w14:textId="0699B86A" w:rsidR="00553D3C" w:rsidRPr="00567D48" w:rsidRDefault="00553D3C" w:rsidP="00553D3C">
            <w:pPr>
              <w:widowControl w:val="0"/>
              <w:spacing w:after="120"/>
              <w:jc w:val="center"/>
              <w:rPr>
                <w:rFonts w:asciiTheme="minorHAnsi" w:hAnsiTheme="minorHAnsi" w:cs="Arial"/>
                <w:snapToGrid w:val="0"/>
              </w:rPr>
            </w:pPr>
            <w:r w:rsidRPr="00567D48">
              <w:rPr>
                <w:rFonts w:asciiTheme="minorHAnsi" w:hAnsiTheme="minorHAnsi" w:cs="Arial"/>
                <w:bCs/>
                <w:color w:val="000000"/>
              </w:rPr>
              <w:t>Review of positive PBAC recommendations not accepted by applicants</w:t>
            </w:r>
          </w:p>
        </w:tc>
        <w:tc>
          <w:tcPr>
            <w:tcW w:w="1318" w:type="pct"/>
            <w:tcBorders>
              <w:top w:val="single" w:sz="4" w:space="0" w:color="auto"/>
              <w:left w:val="nil"/>
              <w:bottom w:val="single" w:sz="4" w:space="0" w:color="auto"/>
              <w:right w:val="single" w:sz="4" w:space="0" w:color="auto"/>
            </w:tcBorders>
            <w:vAlign w:val="center"/>
          </w:tcPr>
          <w:p w14:paraId="26174A2D" w14:textId="52447E51" w:rsidR="00553D3C" w:rsidRPr="00567D48" w:rsidRDefault="00553D3C" w:rsidP="00553D3C">
            <w:pPr>
              <w:widowControl w:val="0"/>
              <w:spacing w:after="120"/>
              <w:jc w:val="center"/>
              <w:rPr>
                <w:rFonts w:asciiTheme="minorHAnsi" w:hAnsiTheme="minorHAnsi" w:cs="Arial"/>
                <w:bCs/>
                <w:snapToGrid w:val="0"/>
              </w:rPr>
            </w:pPr>
            <w:r w:rsidRPr="00567D48">
              <w:rPr>
                <w:rFonts w:asciiTheme="minorHAnsi" w:hAnsiTheme="minorHAnsi" w:cs="Arial"/>
              </w:rPr>
              <w:t>Recommendation was rescinded by the PBAC, noting that alternative products were available.</w:t>
            </w:r>
          </w:p>
        </w:tc>
      </w:tr>
      <w:tr w:rsidR="00553D3C" w:rsidRPr="00567D48" w14:paraId="0D91CB60" w14:textId="77777777" w:rsidTr="00CE5CA9">
        <w:trPr>
          <w:cantSplit/>
          <w:trHeight w:val="1281"/>
        </w:trPr>
        <w:tc>
          <w:tcPr>
            <w:tcW w:w="1242" w:type="pct"/>
            <w:tcBorders>
              <w:top w:val="single" w:sz="4" w:space="0" w:color="auto"/>
              <w:left w:val="single" w:sz="4" w:space="0" w:color="auto"/>
              <w:bottom w:val="single" w:sz="4" w:space="0" w:color="auto"/>
              <w:right w:val="single" w:sz="4" w:space="0" w:color="auto"/>
            </w:tcBorders>
            <w:shd w:val="clear" w:color="auto" w:fill="auto"/>
            <w:vAlign w:val="center"/>
          </w:tcPr>
          <w:p w14:paraId="28AED207"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ARIPIPRAZOLE</w:t>
            </w:r>
          </w:p>
          <w:p w14:paraId="55BC1FE6"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Powder for injection 400 mg (as monohydrate) with diluent pre-filled dual chamber syringe</w:t>
            </w:r>
          </w:p>
          <w:p w14:paraId="2D208DBA"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 xml:space="preserve">Abilify </w:t>
            </w:r>
            <w:proofErr w:type="spellStart"/>
            <w:r w:rsidRPr="00567D48">
              <w:rPr>
                <w:rFonts w:asciiTheme="minorHAnsi" w:hAnsiTheme="minorHAnsi" w:cs="Arial"/>
                <w:color w:val="000000"/>
              </w:rPr>
              <w:t>Maintena</w:t>
            </w:r>
            <w:proofErr w:type="spellEnd"/>
            <w:r w:rsidRPr="00567D48">
              <w:rPr>
                <w:rFonts w:asciiTheme="minorHAnsi" w:hAnsiTheme="minorHAnsi" w:cs="Arial"/>
                <w:color w:val="000000"/>
              </w:rPr>
              <w:t>®</w:t>
            </w:r>
          </w:p>
          <w:p w14:paraId="7BA24C92" w14:textId="54E9E3DF" w:rsidR="00553D3C" w:rsidRPr="00567D48" w:rsidRDefault="00553D3C" w:rsidP="00553D3C">
            <w:pPr>
              <w:widowControl w:val="0"/>
              <w:spacing w:after="120"/>
              <w:jc w:val="center"/>
              <w:rPr>
                <w:rFonts w:asciiTheme="minorHAnsi" w:hAnsiTheme="minorHAnsi" w:cs="Arial"/>
                <w:snapToGrid w:val="0"/>
              </w:rPr>
            </w:pPr>
            <w:r w:rsidRPr="00567D48">
              <w:rPr>
                <w:rFonts w:asciiTheme="minorHAnsi" w:hAnsiTheme="minorHAnsi" w:cs="Arial"/>
                <w:color w:val="000000"/>
              </w:rPr>
              <w:t>Lundbeck Australia Pty Ltd</w:t>
            </w:r>
          </w:p>
        </w:tc>
        <w:tc>
          <w:tcPr>
            <w:tcW w:w="1243" w:type="pct"/>
            <w:tcBorders>
              <w:top w:val="single" w:sz="4" w:space="0" w:color="auto"/>
              <w:left w:val="nil"/>
              <w:bottom w:val="single" w:sz="4" w:space="0" w:color="auto"/>
              <w:right w:val="single" w:sz="4" w:space="0" w:color="auto"/>
            </w:tcBorders>
            <w:shd w:val="clear" w:color="auto" w:fill="auto"/>
            <w:vAlign w:val="center"/>
          </w:tcPr>
          <w:p w14:paraId="1C606711" w14:textId="2BD7D0E8" w:rsidR="00553D3C" w:rsidRPr="00567D48" w:rsidRDefault="00553D3C" w:rsidP="00553D3C">
            <w:pPr>
              <w:widowControl w:val="0"/>
              <w:spacing w:after="120"/>
              <w:jc w:val="center"/>
              <w:rPr>
                <w:rFonts w:asciiTheme="minorHAnsi" w:hAnsiTheme="minorHAnsi" w:cs="Arial"/>
                <w:snapToGrid w:val="0"/>
              </w:rPr>
            </w:pPr>
            <w:r w:rsidRPr="00567D48">
              <w:rPr>
                <w:rFonts w:asciiTheme="minorHAnsi" w:hAnsiTheme="minorHAnsi"/>
              </w:rPr>
              <w:t>Schizophrenia</w:t>
            </w:r>
          </w:p>
        </w:tc>
        <w:tc>
          <w:tcPr>
            <w:tcW w:w="1197" w:type="pct"/>
            <w:tcBorders>
              <w:top w:val="single" w:sz="4" w:space="0" w:color="auto"/>
              <w:left w:val="nil"/>
              <w:bottom w:val="single" w:sz="4" w:space="0" w:color="auto"/>
              <w:right w:val="single" w:sz="4" w:space="0" w:color="auto"/>
            </w:tcBorders>
            <w:shd w:val="clear" w:color="auto" w:fill="auto"/>
            <w:vAlign w:val="center"/>
          </w:tcPr>
          <w:p w14:paraId="7FE818C9" w14:textId="11762788" w:rsidR="00553D3C" w:rsidRPr="00567D48" w:rsidRDefault="00553D3C" w:rsidP="00553D3C">
            <w:pPr>
              <w:widowControl w:val="0"/>
              <w:spacing w:after="120"/>
              <w:jc w:val="center"/>
              <w:rPr>
                <w:rFonts w:asciiTheme="minorHAnsi" w:hAnsiTheme="minorHAnsi" w:cs="Arial"/>
                <w:bCs/>
                <w:snapToGrid w:val="0"/>
                <w:color w:val="000000"/>
              </w:rPr>
            </w:pPr>
            <w:r w:rsidRPr="00567D48">
              <w:rPr>
                <w:rFonts w:asciiTheme="minorHAnsi" w:hAnsiTheme="minorHAnsi" w:cs="Arial"/>
                <w:bCs/>
                <w:color w:val="000000"/>
              </w:rPr>
              <w:t>Review of positive PBAC recommendations not accepted by applicants</w:t>
            </w:r>
          </w:p>
        </w:tc>
        <w:tc>
          <w:tcPr>
            <w:tcW w:w="1318" w:type="pct"/>
            <w:tcBorders>
              <w:top w:val="single" w:sz="4" w:space="0" w:color="auto"/>
              <w:left w:val="nil"/>
              <w:bottom w:val="single" w:sz="4" w:space="0" w:color="auto"/>
              <w:right w:val="single" w:sz="4" w:space="0" w:color="auto"/>
            </w:tcBorders>
            <w:vAlign w:val="center"/>
          </w:tcPr>
          <w:p w14:paraId="060BCBB0" w14:textId="7CD73850" w:rsidR="00553D3C" w:rsidRPr="00567D48" w:rsidRDefault="00553D3C" w:rsidP="00553D3C">
            <w:pPr>
              <w:widowControl w:val="0"/>
              <w:spacing w:after="120"/>
              <w:jc w:val="center"/>
              <w:rPr>
                <w:rFonts w:asciiTheme="minorHAnsi" w:hAnsiTheme="minorHAnsi" w:cs="Arial"/>
                <w:bCs/>
                <w:snapToGrid w:val="0"/>
              </w:rPr>
            </w:pPr>
            <w:r w:rsidRPr="00567D48">
              <w:rPr>
                <w:rFonts w:asciiTheme="minorHAnsi" w:hAnsiTheme="minorHAnsi" w:cs="Arial"/>
              </w:rPr>
              <w:t>Recommendation extended for 12 months.</w:t>
            </w:r>
          </w:p>
        </w:tc>
      </w:tr>
      <w:tr w:rsidR="00553D3C" w:rsidRPr="00567D48" w14:paraId="04D245B9" w14:textId="77777777" w:rsidTr="00CE5CA9">
        <w:trPr>
          <w:cantSplit/>
          <w:trHeight w:val="1281"/>
        </w:trPr>
        <w:tc>
          <w:tcPr>
            <w:tcW w:w="1242" w:type="pct"/>
            <w:tcBorders>
              <w:top w:val="single" w:sz="4" w:space="0" w:color="auto"/>
              <w:left w:val="single" w:sz="4" w:space="0" w:color="auto"/>
              <w:bottom w:val="single" w:sz="4" w:space="0" w:color="auto"/>
              <w:right w:val="single" w:sz="4" w:space="0" w:color="auto"/>
            </w:tcBorders>
            <w:shd w:val="clear" w:color="auto" w:fill="auto"/>
            <w:vAlign w:val="center"/>
          </w:tcPr>
          <w:p w14:paraId="67983FD5"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BUDESONIDE</w:t>
            </w:r>
          </w:p>
          <w:p w14:paraId="56D5C870"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Capsule (modified release) 3 mg</w:t>
            </w:r>
          </w:p>
          <w:p w14:paraId="62774667" w14:textId="77777777" w:rsidR="00553D3C" w:rsidRPr="00567D48" w:rsidRDefault="00553D3C" w:rsidP="00553D3C">
            <w:pPr>
              <w:jc w:val="center"/>
              <w:rPr>
                <w:rFonts w:asciiTheme="minorHAnsi" w:hAnsiTheme="minorHAnsi" w:cs="Arial"/>
                <w:color w:val="000000"/>
              </w:rPr>
            </w:pPr>
            <w:proofErr w:type="spellStart"/>
            <w:r w:rsidRPr="00567D48">
              <w:rPr>
                <w:rFonts w:asciiTheme="minorHAnsi" w:hAnsiTheme="minorHAnsi" w:cs="Arial"/>
                <w:color w:val="000000"/>
              </w:rPr>
              <w:t>Budenofalk</w:t>
            </w:r>
            <w:proofErr w:type="spellEnd"/>
            <w:r w:rsidRPr="00567D48">
              <w:rPr>
                <w:rFonts w:asciiTheme="minorHAnsi" w:hAnsiTheme="minorHAnsi" w:cs="Arial"/>
                <w:color w:val="000000"/>
              </w:rPr>
              <w:t>®</w:t>
            </w:r>
          </w:p>
          <w:p w14:paraId="1613A755" w14:textId="14D4D5D5" w:rsidR="00553D3C" w:rsidRPr="00567D48" w:rsidRDefault="00553D3C" w:rsidP="00553D3C">
            <w:pPr>
              <w:widowControl w:val="0"/>
              <w:spacing w:after="120"/>
              <w:jc w:val="center"/>
              <w:rPr>
                <w:rFonts w:asciiTheme="minorHAnsi" w:hAnsiTheme="minorHAnsi" w:cs="Arial"/>
                <w:snapToGrid w:val="0"/>
              </w:rPr>
            </w:pPr>
            <w:r w:rsidRPr="00567D48">
              <w:rPr>
                <w:rFonts w:asciiTheme="minorHAnsi" w:hAnsiTheme="minorHAnsi" w:cs="Arial"/>
                <w:color w:val="000000"/>
              </w:rPr>
              <w:t>Dr Falk Pharma Australia Pty Ltd</w:t>
            </w:r>
          </w:p>
        </w:tc>
        <w:tc>
          <w:tcPr>
            <w:tcW w:w="1243" w:type="pct"/>
            <w:tcBorders>
              <w:top w:val="single" w:sz="4" w:space="0" w:color="auto"/>
              <w:left w:val="nil"/>
              <w:bottom w:val="single" w:sz="4" w:space="0" w:color="auto"/>
              <w:right w:val="single" w:sz="4" w:space="0" w:color="auto"/>
            </w:tcBorders>
            <w:shd w:val="clear" w:color="auto" w:fill="auto"/>
            <w:vAlign w:val="center"/>
          </w:tcPr>
          <w:p w14:paraId="0B072819" w14:textId="441BFBE2" w:rsidR="00553D3C" w:rsidRPr="00567D48" w:rsidRDefault="00553D3C" w:rsidP="00553D3C">
            <w:pPr>
              <w:widowControl w:val="0"/>
              <w:spacing w:after="120"/>
              <w:jc w:val="center"/>
              <w:rPr>
                <w:rFonts w:asciiTheme="minorHAnsi" w:hAnsiTheme="minorHAnsi" w:cs="Arial"/>
                <w:snapToGrid w:val="0"/>
              </w:rPr>
            </w:pPr>
            <w:r w:rsidRPr="00567D48">
              <w:rPr>
                <w:rFonts w:asciiTheme="minorHAnsi" w:hAnsiTheme="minorHAnsi"/>
              </w:rPr>
              <w:t>Mild to moderate Crohn disease</w:t>
            </w:r>
          </w:p>
        </w:tc>
        <w:tc>
          <w:tcPr>
            <w:tcW w:w="1197" w:type="pct"/>
            <w:tcBorders>
              <w:top w:val="single" w:sz="4" w:space="0" w:color="auto"/>
              <w:left w:val="nil"/>
              <w:bottom w:val="single" w:sz="4" w:space="0" w:color="auto"/>
              <w:right w:val="single" w:sz="4" w:space="0" w:color="auto"/>
            </w:tcBorders>
            <w:shd w:val="clear" w:color="auto" w:fill="auto"/>
            <w:vAlign w:val="center"/>
          </w:tcPr>
          <w:p w14:paraId="284287BD" w14:textId="009AED17" w:rsidR="00553D3C" w:rsidRPr="00567D48" w:rsidRDefault="00553D3C" w:rsidP="00553D3C">
            <w:pPr>
              <w:widowControl w:val="0"/>
              <w:spacing w:after="120"/>
              <w:jc w:val="center"/>
              <w:rPr>
                <w:rFonts w:asciiTheme="minorHAnsi" w:hAnsiTheme="minorHAnsi" w:cs="Arial"/>
                <w:bCs/>
                <w:snapToGrid w:val="0"/>
                <w:color w:val="000000"/>
              </w:rPr>
            </w:pPr>
            <w:r w:rsidRPr="00567D48">
              <w:rPr>
                <w:rFonts w:asciiTheme="minorHAnsi" w:hAnsiTheme="minorHAnsi" w:cs="Arial"/>
                <w:bCs/>
                <w:color w:val="000000"/>
              </w:rPr>
              <w:t>Review of positive PBAC recommendations not accepted by applicants</w:t>
            </w:r>
          </w:p>
        </w:tc>
        <w:tc>
          <w:tcPr>
            <w:tcW w:w="1318" w:type="pct"/>
            <w:tcBorders>
              <w:top w:val="single" w:sz="4" w:space="0" w:color="auto"/>
              <w:left w:val="nil"/>
              <w:bottom w:val="single" w:sz="4" w:space="0" w:color="auto"/>
              <w:right w:val="single" w:sz="4" w:space="0" w:color="auto"/>
            </w:tcBorders>
            <w:vAlign w:val="center"/>
          </w:tcPr>
          <w:p w14:paraId="1B5E1EDA" w14:textId="5286329E" w:rsidR="00553D3C" w:rsidRPr="00567D48" w:rsidRDefault="00553D3C" w:rsidP="00553D3C">
            <w:pPr>
              <w:widowControl w:val="0"/>
              <w:spacing w:after="120"/>
              <w:jc w:val="center"/>
              <w:rPr>
                <w:rFonts w:asciiTheme="minorHAnsi" w:hAnsiTheme="minorHAnsi" w:cs="Arial"/>
                <w:bCs/>
                <w:snapToGrid w:val="0"/>
              </w:rPr>
            </w:pPr>
            <w:r w:rsidRPr="00567D48">
              <w:rPr>
                <w:rFonts w:asciiTheme="minorHAnsi" w:hAnsiTheme="minorHAnsi" w:cs="Arial"/>
              </w:rPr>
              <w:t>Recommendation was rescinded by the PBAC with the support of the sponsor.</w:t>
            </w:r>
          </w:p>
        </w:tc>
      </w:tr>
      <w:tr w:rsidR="00553D3C" w:rsidRPr="00567D48" w14:paraId="12D4C75A" w14:textId="77777777" w:rsidTr="00CE5CA9">
        <w:trPr>
          <w:cantSplit/>
          <w:trHeight w:val="1281"/>
        </w:trPr>
        <w:tc>
          <w:tcPr>
            <w:tcW w:w="1242" w:type="pct"/>
            <w:tcBorders>
              <w:top w:val="single" w:sz="4" w:space="0" w:color="auto"/>
              <w:left w:val="single" w:sz="4" w:space="0" w:color="auto"/>
              <w:bottom w:val="single" w:sz="4" w:space="0" w:color="auto"/>
              <w:right w:val="single" w:sz="4" w:space="0" w:color="auto"/>
            </w:tcBorders>
            <w:shd w:val="clear" w:color="auto" w:fill="auto"/>
            <w:vAlign w:val="center"/>
          </w:tcPr>
          <w:p w14:paraId="0150B823"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lastRenderedPageBreak/>
              <w:t>CANAKINUMAB</w:t>
            </w:r>
          </w:p>
          <w:p w14:paraId="10B4C267"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Solution for injection 150 mg in 1 mL</w:t>
            </w:r>
          </w:p>
          <w:p w14:paraId="019298EE" w14:textId="77777777" w:rsidR="00553D3C" w:rsidRPr="00567D48" w:rsidRDefault="00553D3C" w:rsidP="00553D3C">
            <w:pPr>
              <w:jc w:val="center"/>
              <w:rPr>
                <w:rFonts w:asciiTheme="minorHAnsi" w:hAnsiTheme="minorHAnsi" w:cs="Arial"/>
                <w:color w:val="000000"/>
              </w:rPr>
            </w:pPr>
            <w:proofErr w:type="spellStart"/>
            <w:r w:rsidRPr="00567D48">
              <w:rPr>
                <w:rFonts w:asciiTheme="minorHAnsi" w:hAnsiTheme="minorHAnsi" w:cs="Arial"/>
                <w:color w:val="000000"/>
              </w:rPr>
              <w:t>Ilaris</w:t>
            </w:r>
            <w:proofErr w:type="spellEnd"/>
            <w:r w:rsidRPr="00567D48">
              <w:rPr>
                <w:rFonts w:asciiTheme="minorHAnsi" w:hAnsiTheme="minorHAnsi" w:cs="Arial"/>
                <w:color w:val="000000"/>
              </w:rPr>
              <w:t>®</w:t>
            </w:r>
          </w:p>
          <w:p w14:paraId="25D4F8D9" w14:textId="70018137" w:rsidR="00553D3C" w:rsidRPr="00567D48" w:rsidRDefault="00553D3C" w:rsidP="00553D3C">
            <w:pPr>
              <w:widowControl w:val="0"/>
              <w:spacing w:after="120"/>
              <w:jc w:val="center"/>
              <w:rPr>
                <w:rFonts w:asciiTheme="minorHAnsi" w:hAnsiTheme="minorHAnsi" w:cs="Arial"/>
                <w:snapToGrid w:val="0"/>
              </w:rPr>
            </w:pPr>
            <w:r w:rsidRPr="00567D48">
              <w:rPr>
                <w:rFonts w:asciiTheme="minorHAnsi" w:hAnsiTheme="minorHAnsi" w:cs="Arial"/>
                <w:color w:val="000000"/>
              </w:rPr>
              <w:t>Novartis Pharmaceuticals Australia</w:t>
            </w:r>
          </w:p>
        </w:tc>
        <w:tc>
          <w:tcPr>
            <w:tcW w:w="1243" w:type="pct"/>
            <w:tcBorders>
              <w:top w:val="single" w:sz="4" w:space="0" w:color="auto"/>
              <w:left w:val="nil"/>
              <w:bottom w:val="single" w:sz="4" w:space="0" w:color="auto"/>
              <w:right w:val="single" w:sz="4" w:space="0" w:color="auto"/>
            </w:tcBorders>
            <w:shd w:val="clear" w:color="auto" w:fill="auto"/>
            <w:vAlign w:val="center"/>
          </w:tcPr>
          <w:p w14:paraId="765B5480" w14:textId="04C71DA0" w:rsidR="00553D3C" w:rsidRPr="00567D48" w:rsidRDefault="00553D3C" w:rsidP="00553D3C">
            <w:pPr>
              <w:widowControl w:val="0"/>
              <w:spacing w:after="120"/>
              <w:jc w:val="center"/>
              <w:rPr>
                <w:rFonts w:asciiTheme="minorHAnsi" w:hAnsiTheme="minorHAnsi" w:cs="Arial"/>
                <w:snapToGrid w:val="0"/>
              </w:rPr>
            </w:pPr>
            <w:r w:rsidRPr="00567D48">
              <w:rPr>
                <w:rFonts w:asciiTheme="minorHAnsi" w:hAnsiTheme="minorHAnsi"/>
              </w:rPr>
              <w:t>Cryopyrin associated periodic syndromes (CAPS)</w:t>
            </w:r>
          </w:p>
        </w:tc>
        <w:tc>
          <w:tcPr>
            <w:tcW w:w="1197" w:type="pct"/>
            <w:tcBorders>
              <w:top w:val="single" w:sz="4" w:space="0" w:color="auto"/>
              <w:left w:val="nil"/>
              <w:bottom w:val="single" w:sz="4" w:space="0" w:color="auto"/>
              <w:right w:val="single" w:sz="4" w:space="0" w:color="auto"/>
            </w:tcBorders>
            <w:shd w:val="clear" w:color="auto" w:fill="auto"/>
            <w:vAlign w:val="center"/>
          </w:tcPr>
          <w:p w14:paraId="432917EE" w14:textId="65C8231E" w:rsidR="00553D3C" w:rsidRPr="00567D48" w:rsidRDefault="00553D3C" w:rsidP="00553D3C">
            <w:pPr>
              <w:widowControl w:val="0"/>
              <w:spacing w:after="120"/>
              <w:jc w:val="center"/>
              <w:rPr>
                <w:rFonts w:asciiTheme="minorHAnsi" w:hAnsiTheme="minorHAnsi" w:cs="Arial"/>
                <w:bCs/>
                <w:snapToGrid w:val="0"/>
                <w:color w:val="000000"/>
              </w:rPr>
            </w:pPr>
            <w:r w:rsidRPr="00567D48">
              <w:rPr>
                <w:rFonts w:asciiTheme="minorHAnsi" w:hAnsiTheme="minorHAnsi" w:cs="Arial"/>
                <w:bCs/>
                <w:color w:val="000000"/>
              </w:rPr>
              <w:t>Review of positive PBAC recommendations not accepted by applicants</w:t>
            </w:r>
          </w:p>
        </w:tc>
        <w:tc>
          <w:tcPr>
            <w:tcW w:w="1318" w:type="pct"/>
            <w:tcBorders>
              <w:top w:val="single" w:sz="4" w:space="0" w:color="auto"/>
              <w:left w:val="nil"/>
              <w:bottom w:val="single" w:sz="4" w:space="0" w:color="auto"/>
              <w:right w:val="single" w:sz="4" w:space="0" w:color="auto"/>
            </w:tcBorders>
            <w:vAlign w:val="center"/>
          </w:tcPr>
          <w:p w14:paraId="00889550" w14:textId="49F8253E" w:rsidR="00553D3C" w:rsidRPr="00567D48" w:rsidRDefault="00553D3C" w:rsidP="00553D3C">
            <w:pPr>
              <w:widowControl w:val="0"/>
              <w:spacing w:after="120"/>
              <w:jc w:val="center"/>
              <w:rPr>
                <w:rFonts w:asciiTheme="minorHAnsi" w:hAnsiTheme="minorHAnsi" w:cs="Arial"/>
                <w:bCs/>
                <w:snapToGrid w:val="0"/>
              </w:rPr>
            </w:pPr>
            <w:r w:rsidRPr="00567D48">
              <w:rPr>
                <w:rFonts w:asciiTheme="minorHAnsi" w:hAnsiTheme="minorHAnsi" w:cs="Arial"/>
              </w:rPr>
              <w:t>Recommendation was rescinded by the PBAC.</w:t>
            </w:r>
          </w:p>
        </w:tc>
      </w:tr>
      <w:tr w:rsidR="00553D3C" w:rsidRPr="00567D48" w14:paraId="711EAB2E" w14:textId="77777777" w:rsidTr="00CE5CA9">
        <w:trPr>
          <w:cantSplit/>
          <w:trHeight w:val="1281"/>
        </w:trPr>
        <w:tc>
          <w:tcPr>
            <w:tcW w:w="1242" w:type="pct"/>
            <w:tcBorders>
              <w:top w:val="single" w:sz="4" w:space="0" w:color="auto"/>
              <w:left w:val="single" w:sz="4" w:space="0" w:color="auto"/>
              <w:bottom w:val="single" w:sz="4" w:space="0" w:color="auto"/>
              <w:right w:val="single" w:sz="4" w:space="0" w:color="auto"/>
            </w:tcBorders>
            <w:shd w:val="clear" w:color="auto" w:fill="auto"/>
            <w:vAlign w:val="center"/>
          </w:tcPr>
          <w:p w14:paraId="4FB99237"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CERTOLIZUMAB PEGOL</w:t>
            </w:r>
          </w:p>
          <w:p w14:paraId="1D2B27E4"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Injection 200mg in 1 mL pre-syringe pen</w:t>
            </w:r>
          </w:p>
          <w:p w14:paraId="1BA61C7D"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Solution for injection 200 mg in 1 mL pre-filled pen</w:t>
            </w:r>
          </w:p>
          <w:p w14:paraId="4E9FA5E6"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Cimzia®</w:t>
            </w:r>
          </w:p>
          <w:p w14:paraId="02E64786" w14:textId="5DAC5520" w:rsidR="00553D3C" w:rsidRPr="00567D48" w:rsidRDefault="00553D3C" w:rsidP="00553D3C">
            <w:pPr>
              <w:widowControl w:val="0"/>
              <w:spacing w:after="120"/>
              <w:jc w:val="center"/>
              <w:rPr>
                <w:rFonts w:asciiTheme="minorHAnsi" w:hAnsiTheme="minorHAnsi" w:cs="Arial"/>
                <w:snapToGrid w:val="0"/>
                <w:color w:val="FF0000"/>
              </w:rPr>
            </w:pPr>
            <w:r w:rsidRPr="00567D48">
              <w:rPr>
                <w:rFonts w:asciiTheme="minorHAnsi" w:hAnsiTheme="minorHAnsi" w:cs="Arial"/>
                <w:color w:val="000000"/>
              </w:rPr>
              <w:t>UCB Australia Pty Ltd</w:t>
            </w:r>
          </w:p>
        </w:tc>
        <w:tc>
          <w:tcPr>
            <w:tcW w:w="1243" w:type="pct"/>
            <w:tcBorders>
              <w:top w:val="single" w:sz="4" w:space="0" w:color="auto"/>
              <w:left w:val="nil"/>
              <w:bottom w:val="single" w:sz="4" w:space="0" w:color="auto"/>
              <w:right w:val="single" w:sz="4" w:space="0" w:color="auto"/>
            </w:tcBorders>
            <w:shd w:val="clear" w:color="auto" w:fill="auto"/>
            <w:vAlign w:val="center"/>
          </w:tcPr>
          <w:p w14:paraId="57528FC8" w14:textId="374A8E08" w:rsidR="00553D3C" w:rsidRPr="00567D48" w:rsidRDefault="00553D3C" w:rsidP="00553D3C">
            <w:pPr>
              <w:widowControl w:val="0"/>
              <w:spacing w:after="120"/>
              <w:jc w:val="center"/>
              <w:rPr>
                <w:rFonts w:asciiTheme="minorHAnsi" w:hAnsiTheme="minorHAnsi" w:cs="Arial"/>
                <w:snapToGrid w:val="0"/>
                <w:color w:val="FF0000"/>
              </w:rPr>
            </w:pPr>
            <w:r w:rsidRPr="00567D48">
              <w:rPr>
                <w:rFonts w:asciiTheme="minorHAnsi" w:hAnsiTheme="minorHAnsi" w:cs="Arial"/>
                <w:color w:val="000000"/>
              </w:rPr>
              <w:t>Severe chronic plaque psoriasis</w:t>
            </w:r>
          </w:p>
        </w:tc>
        <w:tc>
          <w:tcPr>
            <w:tcW w:w="1197" w:type="pct"/>
            <w:tcBorders>
              <w:top w:val="single" w:sz="4" w:space="0" w:color="auto"/>
              <w:left w:val="nil"/>
              <w:bottom w:val="single" w:sz="4" w:space="0" w:color="auto"/>
              <w:right w:val="single" w:sz="4" w:space="0" w:color="auto"/>
            </w:tcBorders>
            <w:shd w:val="clear" w:color="auto" w:fill="auto"/>
            <w:vAlign w:val="center"/>
          </w:tcPr>
          <w:p w14:paraId="0CC61935" w14:textId="4237A7D7" w:rsidR="00553D3C" w:rsidRPr="00567D48" w:rsidRDefault="00553D3C" w:rsidP="00553D3C">
            <w:pPr>
              <w:widowControl w:val="0"/>
              <w:spacing w:after="120"/>
              <w:jc w:val="center"/>
              <w:rPr>
                <w:rFonts w:asciiTheme="minorHAnsi" w:hAnsiTheme="minorHAnsi" w:cs="Arial"/>
                <w:bCs/>
                <w:snapToGrid w:val="0"/>
                <w:color w:val="000000"/>
              </w:rPr>
            </w:pPr>
            <w:r w:rsidRPr="00567D48">
              <w:rPr>
                <w:rFonts w:asciiTheme="minorHAnsi" w:hAnsiTheme="minorHAnsi" w:cs="Arial"/>
                <w:bCs/>
                <w:color w:val="000000"/>
              </w:rPr>
              <w:t>Review of positive PBAC recommendations not accepted by applicants</w:t>
            </w:r>
          </w:p>
        </w:tc>
        <w:tc>
          <w:tcPr>
            <w:tcW w:w="1318" w:type="pct"/>
            <w:tcBorders>
              <w:top w:val="single" w:sz="4" w:space="0" w:color="auto"/>
              <w:left w:val="nil"/>
              <w:bottom w:val="single" w:sz="4" w:space="0" w:color="auto"/>
              <w:right w:val="single" w:sz="4" w:space="0" w:color="auto"/>
            </w:tcBorders>
            <w:vAlign w:val="center"/>
          </w:tcPr>
          <w:p w14:paraId="26C1BA8E" w14:textId="6C2EC243" w:rsidR="00553D3C" w:rsidRPr="00567D48" w:rsidRDefault="00553D3C" w:rsidP="00553D3C">
            <w:pPr>
              <w:widowControl w:val="0"/>
              <w:spacing w:after="120"/>
              <w:jc w:val="center"/>
              <w:rPr>
                <w:rFonts w:asciiTheme="minorHAnsi" w:hAnsiTheme="minorHAnsi" w:cs="Arial"/>
                <w:bCs/>
                <w:snapToGrid w:val="0"/>
              </w:rPr>
            </w:pPr>
            <w:r w:rsidRPr="00567D48">
              <w:rPr>
                <w:rFonts w:asciiTheme="minorHAnsi" w:hAnsiTheme="minorHAnsi" w:cs="Arial"/>
              </w:rPr>
              <w:t>Recommendation extended for 12 months.</w:t>
            </w:r>
          </w:p>
        </w:tc>
      </w:tr>
      <w:tr w:rsidR="00553D3C" w:rsidRPr="00567D48" w14:paraId="752B7BB4" w14:textId="77777777" w:rsidTr="00CE5CA9">
        <w:trPr>
          <w:cantSplit/>
          <w:trHeight w:val="1281"/>
        </w:trPr>
        <w:tc>
          <w:tcPr>
            <w:tcW w:w="1242" w:type="pct"/>
            <w:tcBorders>
              <w:top w:val="single" w:sz="4" w:space="0" w:color="auto"/>
              <w:left w:val="single" w:sz="4" w:space="0" w:color="auto"/>
              <w:bottom w:val="single" w:sz="4" w:space="0" w:color="auto"/>
              <w:right w:val="single" w:sz="4" w:space="0" w:color="auto"/>
            </w:tcBorders>
            <w:shd w:val="clear" w:color="auto" w:fill="auto"/>
            <w:vAlign w:val="center"/>
          </w:tcPr>
          <w:p w14:paraId="58DF7867"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CETUXIMAB</w:t>
            </w:r>
          </w:p>
          <w:p w14:paraId="101AEF32"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Solution for IV infusion 100 mg in 20 mL, 500 mg in 100 mL</w:t>
            </w:r>
          </w:p>
          <w:p w14:paraId="74571A97"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Erbitux®</w:t>
            </w:r>
          </w:p>
          <w:p w14:paraId="0C2FDB37" w14:textId="4CA4135B" w:rsidR="00553D3C" w:rsidRPr="00567D48" w:rsidRDefault="00553D3C" w:rsidP="00553D3C">
            <w:pPr>
              <w:widowControl w:val="0"/>
              <w:spacing w:after="120"/>
              <w:jc w:val="center"/>
              <w:rPr>
                <w:rFonts w:asciiTheme="minorHAnsi" w:hAnsiTheme="minorHAnsi" w:cs="Arial"/>
                <w:snapToGrid w:val="0"/>
              </w:rPr>
            </w:pPr>
            <w:r w:rsidRPr="00567D48">
              <w:rPr>
                <w:rFonts w:asciiTheme="minorHAnsi" w:hAnsiTheme="minorHAnsi" w:cs="Arial"/>
                <w:color w:val="000000"/>
              </w:rPr>
              <w:t>Merck Australia Pty Ltd</w:t>
            </w:r>
          </w:p>
        </w:tc>
        <w:tc>
          <w:tcPr>
            <w:tcW w:w="1243" w:type="pct"/>
            <w:tcBorders>
              <w:top w:val="single" w:sz="4" w:space="0" w:color="auto"/>
              <w:left w:val="nil"/>
              <w:bottom w:val="single" w:sz="4" w:space="0" w:color="auto"/>
              <w:right w:val="single" w:sz="4" w:space="0" w:color="auto"/>
            </w:tcBorders>
            <w:shd w:val="clear" w:color="auto" w:fill="auto"/>
            <w:vAlign w:val="center"/>
          </w:tcPr>
          <w:p w14:paraId="22F984F4" w14:textId="4D8777AE" w:rsidR="00553D3C" w:rsidRPr="00567D48" w:rsidRDefault="00553D3C" w:rsidP="00553D3C">
            <w:pPr>
              <w:widowControl w:val="0"/>
              <w:spacing w:after="120"/>
              <w:jc w:val="center"/>
              <w:rPr>
                <w:rFonts w:asciiTheme="minorHAnsi" w:hAnsiTheme="minorHAnsi" w:cs="Arial"/>
                <w:snapToGrid w:val="0"/>
              </w:rPr>
            </w:pPr>
            <w:r w:rsidRPr="00567D48">
              <w:rPr>
                <w:rFonts w:asciiTheme="minorHAnsi" w:hAnsiTheme="minorHAnsi"/>
              </w:rPr>
              <w:t>Recurrent or metastatic squamous cell carcinoma of the head and neck</w:t>
            </w:r>
          </w:p>
        </w:tc>
        <w:tc>
          <w:tcPr>
            <w:tcW w:w="1197" w:type="pct"/>
            <w:tcBorders>
              <w:top w:val="single" w:sz="4" w:space="0" w:color="auto"/>
              <w:left w:val="nil"/>
              <w:bottom w:val="single" w:sz="4" w:space="0" w:color="auto"/>
              <w:right w:val="single" w:sz="4" w:space="0" w:color="auto"/>
            </w:tcBorders>
            <w:shd w:val="clear" w:color="auto" w:fill="auto"/>
            <w:vAlign w:val="center"/>
          </w:tcPr>
          <w:p w14:paraId="785C9B2C" w14:textId="61071E15" w:rsidR="00553D3C" w:rsidRPr="00567D48" w:rsidRDefault="00553D3C" w:rsidP="00553D3C">
            <w:pPr>
              <w:widowControl w:val="0"/>
              <w:spacing w:after="120"/>
              <w:jc w:val="center"/>
              <w:rPr>
                <w:rFonts w:asciiTheme="minorHAnsi" w:hAnsiTheme="minorHAnsi" w:cs="Arial"/>
                <w:bCs/>
                <w:snapToGrid w:val="0"/>
                <w:color w:val="000000"/>
              </w:rPr>
            </w:pPr>
            <w:r w:rsidRPr="00567D48">
              <w:rPr>
                <w:rFonts w:asciiTheme="minorHAnsi" w:hAnsiTheme="minorHAnsi" w:cs="Arial"/>
                <w:bCs/>
                <w:color w:val="000000"/>
              </w:rPr>
              <w:t>Review of positive PBAC recommendations not accepted by applicants</w:t>
            </w:r>
          </w:p>
        </w:tc>
        <w:tc>
          <w:tcPr>
            <w:tcW w:w="1318" w:type="pct"/>
            <w:tcBorders>
              <w:top w:val="single" w:sz="4" w:space="0" w:color="auto"/>
              <w:left w:val="nil"/>
              <w:bottom w:val="single" w:sz="4" w:space="0" w:color="auto"/>
              <w:right w:val="single" w:sz="4" w:space="0" w:color="auto"/>
            </w:tcBorders>
            <w:vAlign w:val="center"/>
          </w:tcPr>
          <w:p w14:paraId="5F87BB5B" w14:textId="6919FD98" w:rsidR="00553D3C" w:rsidRPr="00567D48" w:rsidRDefault="00553D3C" w:rsidP="00553D3C">
            <w:pPr>
              <w:widowControl w:val="0"/>
              <w:spacing w:after="120"/>
              <w:jc w:val="center"/>
              <w:rPr>
                <w:rFonts w:asciiTheme="minorHAnsi" w:hAnsiTheme="minorHAnsi" w:cs="Arial"/>
                <w:bCs/>
                <w:snapToGrid w:val="0"/>
              </w:rPr>
            </w:pPr>
            <w:r w:rsidRPr="00567D48">
              <w:rPr>
                <w:rFonts w:asciiTheme="minorHAnsi" w:hAnsiTheme="minorHAnsi" w:cs="Arial"/>
              </w:rPr>
              <w:t>Recommendation was rescinded by the PBAC with the support from the sponsor.</w:t>
            </w:r>
          </w:p>
        </w:tc>
      </w:tr>
      <w:tr w:rsidR="00553D3C" w:rsidRPr="00567D48" w14:paraId="776C2AD3" w14:textId="77777777" w:rsidTr="00CE5CA9">
        <w:trPr>
          <w:cantSplit/>
          <w:trHeight w:val="1281"/>
        </w:trPr>
        <w:tc>
          <w:tcPr>
            <w:tcW w:w="1242" w:type="pct"/>
            <w:tcBorders>
              <w:top w:val="single" w:sz="4" w:space="0" w:color="auto"/>
              <w:left w:val="single" w:sz="4" w:space="0" w:color="auto"/>
              <w:bottom w:val="single" w:sz="4" w:space="0" w:color="auto"/>
              <w:right w:val="single" w:sz="4" w:space="0" w:color="auto"/>
            </w:tcBorders>
            <w:shd w:val="clear" w:color="auto" w:fill="auto"/>
            <w:vAlign w:val="center"/>
          </w:tcPr>
          <w:p w14:paraId="252294A0"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DENOSUMAB</w:t>
            </w:r>
          </w:p>
          <w:p w14:paraId="3AAC80E3"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Injection 120 mg in 1.7 mL</w:t>
            </w:r>
          </w:p>
          <w:p w14:paraId="06D9583D" w14:textId="77777777" w:rsidR="00553D3C" w:rsidRPr="00567D48" w:rsidRDefault="00553D3C" w:rsidP="00553D3C">
            <w:pPr>
              <w:jc w:val="center"/>
              <w:rPr>
                <w:rFonts w:asciiTheme="minorHAnsi" w:hAnsiTheme="minorHAnsi" w:cs="Arial"/>
                <w:color w:val="000000"/>
              </w:rPr>
            </w:pPr>
            <w:proofErr w:type="spellStart"/>
            <w:r w:rsidRPr="00567D48">
              <w:rPr>
                <w:rFonts w:asciiTheme="minorHAnsi" w:hAnsiTheme="minorHAnsi" w:cs="Arial"/>
                <w:color w:val="000000"/>
              </w:rPr>
              <w:t>Xgeva</w:t>
            </w:r>
            <w:proofErr w:type="spellEnd"/>
            <w:r w:rsidRPr="00567D48">
              <w:rPr>
                <w:rFonts w:asciiTheme="minorHAnsi" w:hAnsiTheme="minorHAnsi" w:cs="Arial"/>
                <w:color w:val="000000"/>
              </w:rPr>
              <w:t>®</w:t>
            </w:r>
          </w:p>
          <w:p w14:paraId="314C27C6" w14:textId="5B1AD27B" w:rsidR="00553D3C" w:rsidRPr="00567D48" w:rsidRDefault="00553D3C" w:rsidP="00553D3C">
            <w:pPr>
              <w:widowControl w:val="0"/>
              <w:spacing w:after="120"/>
              <w:jc w:val="center"/>
              <w:rPr>
                <w:rFonts w:asciiTheme="minorHAnsi" w:hAnsiTheme="minorHAnsi" w:cs="Arial"/>
                <w:snapToGrid w:val="0"/>
                <w:color w:val="FF0000"/>
              </w:rPr>
            </w:pPr>
            <w:r w:rsidRPr="00567D48">
              <w:rPr>
                <w:rFonts w:asciiTheme="minorHAnsi" w:hAnsiTheme="minorHAnsi" w:cs="Arial"/>
                <w:color w:val="000000"/>
              </w:rPr>
              <w:t>Amgen Australia Pty Ltd</w:t>
            </w:r>
          </w:p>
        </w:tc>
        <w:tc>
          <w:tcPr>
            <w:tcW w:w="1243" w:type="pct"/>
            <w:tcBorders>
              <w:top w:val="single" w:sz="4" w:space="0" w:color="auto"/>
              <w:left w:val="nil"/>
              <w:bottom w:val="single" w:sz="4" w:space="0" w:color="auto"/>
              <w:right w:val="single" w:sz="4" w:space="0" w:color="auto"/>
            </w:tcBorders>
            <w:shd w:val="clear" w:color="auto" w:fill="auto"/>
            <w:vAlign w:val="center"/>
          </w:tcPr>
          <w:p w14:paraId="519EA095" w14:textId="2F09ACF9" w:rsidR="00553D3C" w:rsidRPr="00567D48" w:rsidRDefault="00553D3C" w:rsidP="00553D3C">
            <w:pPr>
              <w:widowControl w:val="0"/>
              <w:spacing w:after="120"/>
              <w:jc w:val="center"/>
              <w:rPr>
                <w:rFonts w:asciiTheme="minorHAnsi" w:hAnsiTheme="minorHAnsi" w:cs="Arial"/>
                <w:snapToGrid w:val="0"/>
                <w:color w:val="FF0000"/>
              </w:rPr>
            </w:pPr>
            <w:r w:rsidRPr="00567D48">
              <w:rPr>
                <w:rFonts w:asciiTheme="minorHAnsi" w:hAnsiTheme="minorHAnsi"/>
              </w:rPr>
              <w:t>Bisphosphonate-refractory hypercalcaemia of malignancy (HCM)</w:t>
            </w:r>
          </w:p>
        </w:tc>
        <w:tc>
          <w:tcPr>
            <w:tcW w:w="1197" w:type="pct"/>
            <w:tcBorders>
              <w:top w:val="single" w:sz="4" w:space="0" w:color="auto"/>
              <w:left w:val="nil"/>
              <w:bottom w:val="single" w:sz="4" w:space="0" w:color="auto"/>
              <w:right w:val="single" w:sz="4" w:space="0" w:color="auto"/>
            </w:tcBorders>
            <w:shd w:val="clear" w:color="auto" w:fill="auto"/>
            <w:vAlign w:val="center"/>
          </w:tcPr>
          <w:p w14:paraId="4480702B" w14:textId="213DA2B4" w:rsidR="00553D3C" w:rsidRPr="00567D48" w:rsidRDefault="00553D3C" w:rsidP="00553D3C">
            <w:pPr>
              <w:widowControl w:val="0"/>
              <w:spacing w:after="120"/>
              <w:jc w:val="center"/>
              <w:rPr>
                <w:rFonts w:asciiTheme="minorHAnsi" w:hAnsiTheme="minorHAnsi" w:cs="Arial"/>
                <w:snapToGrid w:val="0"/>
              </w:rPr>
            </w:pPr>
            <w:r w:rsidRPr="00567D48">
              <w:rPr>
                <w:rFonts w:asciiTheme="minorHAnsi" w:hAnsiTheme="minorHAnsi" w:cs="Arial"/>
                <w:bCs/>
                <w:color w:val="000000"/>
              </w:rPr>
              <w:t>Review of positive PBAC recommendations not accepted by applicants</w:t>
            </w:r>
          </w:p>
        </w:tc>
        <w:tc>
          <w:tcPr>
            <w:tcW w:w="1318" w:type="pct"/>
            <w:tcBorders>
              <w:top w:val="single" w:sz="4" w:space="0" w:color="auto"/>
              <w:left w:val="nil"/>
              <w:bottom w:val="single" w:sz="4" w:space="0" w:color="auto"/>
              <w:right w:val="single" w:sz="4" w:space="0" w:color="auto"/>
            </w:tcBorders>
            <w:vAlign w:val="center"/>
          </w:tcPr>
          <w:p w14:paraId="0E5BEBA7" w14:textId="5497897D" w:rsidR="00553D3C" w:rsidRPr="00567D48" w:rsidRDefault="00553D3C" w:rsidP="00553D3C">
            <w:pPr>
              <w:widowControl w:val="0"/>
              <w:spacing w:after="120"/>
              <w:jc w:val="center"/>
              <w:rPr>
                <w:rFonts w:asciiTheme="minorHAnsi" w:hAnsiTheme="minorHAnsi" w:cs="Arial"/>
                <w:bCs/>
                <w:snapToGrid w:val="0"/>
              </w:rPr>
            </w:pPr>
            <w:r w:rsidRPr="00567D48">
              <w:rPr>
                <w:rFonts w:asciiTheme="minorHAnsi" w:hAnsiTheme="minorHAnsi" w:cs="Arial"/>
              </w:rPr>
              <w:t>Recommendation was rescinded by the PBAC with the support from the sponsor.</w:t>
            </w:r>
          </w:p>
        </w:tc>
      </w:tr>
      <w:tr w:rsidR="00553D3C" w:rsidRPr="00567D48" w14:paraId="7F9AFCBA" w14:textId="77777777" w:rsidTr="00CE5CA9">
        <w:trPr>
          <w:cantSplit/>
          <w:trHeight w:val="1281"/>
        </w:trPr>
        <w:tc>
          <w:tcPr>
            <w:tcW w:w="1242" w:type="pct"/>
            <w:tcBorders>
              <w:top w:val="single" w:sz="4" w:space="0" w:color="auto"/>
              <w:left w:val="single" w:sz="4" w:space="0" w:color="auto"/>
              <w:bottom w:val="single" w:sz="4" w:space="0" w:color="auto"/>
              <w:right w:val="single" w:sz="4" w:space="0" w:color="auto"/>
            </w:tcBorders>
            <w:shd w:val="clear" w:color="auto" w:fill="auto"/>
            <w:vAlign w:val="center"/>
          </w:tcPr>
          <w:p w14:paraId="54825FCB"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HIGH DOSE INACTIVATED TRIVALENT INFLUENZA VACCINE (SPLIT VIRION)</w:t>
            </w:r>
          </w:p>
          <w:p w14:paraId="28A1D15A"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Injection 0.5 mL</w:t>
            </w:r>
          </w:p>
          <w:p w14:paraId="62E94508" w14:textId="77777777" w:rsidR="00553D3C" w:rsidRPr="00567D48" w:rsidRDefault="00553D3C" w:rsidP="00553D3C">
            <w:pPr>
              <w:jc w:val="center"/>
              <w:rPr>
                <w:rFonts w:asciiTheme="minorHAnsi" w:hAnsiTheme="minorHAnsi" w:cs="Arial"/>
                <w:color w:val="000000"/>
              </w:rPr>
            </w:pPr>
            <w:proofErr w:type="spellStart"/>
            <w:r w:rsidRPr="00567D48">
              <w:rPr>
                <w:rFonts w:asciiTheme="minorHAnsi" w:hAnsiTheme="minorHAnsi" w:cs="Arial"/>
                <w:color w:val="000000"/>
              </w:rPr>
              <w:t>Fluzone</w:t>
            </w:r>
            <w:proofErr w:type="spellEnd"/>
            <w:r w:rsidRPr="00567D48">
              <w:rPr>
                <w:rFonts w:asciiTheme="minorHAnsi" w:hAnsiTheme="minorHAnsi" w:cs="Arial"/>
                <w:color w:val="000000"/>
              </w:rPr>
              <w:t>® High-Dose</w:t>
            </w:r>
          </w:p>
          <w:p w14:paraId="4450981B" w14:textId="7F5F8ED7" w:rsidR="00553D3C" w:rsidRPr="00567D48" w:rsidRDefault="00164303" w:rsidP="00553D3C">
            <w:pPr>
              <w:widowControl w:val="0"/>
              <w:spacing w:after="120"/>
              <w:jc w:val="center"/>
              <w:rPr>
                <w:rFonts w:asciiTheme="minorHAnsi" w:hAnsiTheme="minorHAnsi" w:cs="Arial"/>
                <w:snapToGrid w:val="0"/>
                <w:color w:val="FF0000"/>
              </w:rPr>
            </w:pPr>
            <w:r w:rsidRPr="00567D48">
              <w:rPr>
                <w:rFonts w:asciiTheme="minorHAnsi" w:hAnsiTheme="minorHAnsi" w:cs="Arial"/>
                <w:color w:val="000000"/>
              </w:rPr>
              <w:t>S</w:t>
            </w:r>
            <w:r w:rsidR="00553D3C" w:rsidRPr="00567D48">
              <w:rPr>
                <w:rFonts w:asciiTheme="minorHAnsi" w:hAnsiTheme="minorHAnsi" w:cs="Arial"/>
                <w:color w:val="000000"/>
              </w:rPr>
              <w:t>anofi-</w:t>
            </w:r>
            <w:r w:rsidRPr="00567D48">
              <w:rPr>
                <w:rFonts w:asciiTheme="minorHAnsi" w:hAnsiTheme="minorHAnsi" w:cs="Arial"/>
                <w:color w:val="000000"/>
              </w:rPr>
              <w:t>A</w:t>
            </w:r>
            <w:r w:rsidR="00553D3C" w:rsidRPr="00567D48">
              <w:rPr>
                <w:rFonts w:asciiTheme="minorHAnsi" w:hAnsiTheme="minorHAnsi" w:cs="Arial"/>
                <w:color w:val="000000"/>
              </w:rPr>
              <w:t>ventis Australia Pty Ltd</w:t>
            </w:r>
          </w:p>
        </w:tc>
        <w:tc>
          <w:tcPr>
            <w:tcW w:w="1243" w:type="pct"/>
            <w:tcBorders>
              <w:top w:val="single" w:sz="4" w:space="0" w:color="auto"/>
              <w:left w:val="nil"/>
              <w:bottom w:val="single" w:sz="4" w:space="0" w:color="auto"/>
              <w:right w:val="single" w:sz="4" w:space="0" w:color="auto"/>
            </w:tcBorders>
            <w:shd w:val="clear" w:color="auto" w:fill="auto"/>
            <w:vAlign w:val="center"/>
          </w:tcPr>
          <w:p w14:paraId="62E8254A" w14:textId="638DFE40" w:rsidR="00553D3C" w:rsidRPr="00567D48" w:rsidRDefault="00553D3C" w:rsidP="00553D3C">
            <w:pPr>
              <w:widowControl w:val="0"/>
              <w:spacing w:after="120"/>
              <w:jc w:val="center"/>
              <w:rPr>
                <w:rFonts w:asciiTheme="minorHAnsi" w:hAnsiTheme="minorHAnsi" w:cs="Arial"/>
                <w:snapToGrid w:val="0"/>
                <w:color w:val="FF0000"/>
              </w:rPr>
            </w:pPr>
            <w:r w:rsidRPr="00567D48">
              <w:rPr>
                <w:rFonts w:asciiTheme="minorHAnsi" w:hAnsiTheme="minorHAnsi" w:cs="Arial"/>
                <w:color w:val="000000"/>
              </w:rPr>
              <w:t>National Immunisation Program (NIP) listing for the prevention of seasonal influenza in patients aged 65 years and over</w:t>
            </w:r>
          </w:p>
        </w:tc>
        <w:tc>
          <w:tcPr>
            <w:tcW w:w="1197" w:type="pct"/>
            <w:tcBorders>
              <w:top w:val="single" w:sz="4" w:space="0" w:color="auto"/>
              <w:left w:val="nil"/>
              <w:bottom w:val="single" w:sz="4" w:space="0" w:color="auto"/>
              <w:right w:val="single" w:sz="4" w:space="0" w:color="auto"/>
            </w:tcBorders>
            <w:shd w:val="clear" w:color="auto" w:fill="auto"/>
            <w:vAlign w:val="center"/>
          </w:tcPr>
          <w:p w14:paraId="28DF930F" w14:textId="595FD954" w:rsidR="00553D3C" w:rsidRPr="00567D48" w:rsidRDefault="00553D3C" w:rsidP="00553D3C">
            <w:pPr>
              <w:widowControl w:val="0"/>
              <w:spacing w:after="120"/>
              <w:jc w:val="center"/>
              <w:rPr>
                <w:rFonts w:asciiTheme="minorHAnsi" w:hAnsiTheme="minorHAnsi" w:cs="Arial"/>
                <w:bCs/>
                <w:snapToGrid w:val="0"/>
                <w:color w:val="000000"/>
              </w:rPr>
            </w:pPr>
            <w:r w:rsidRPr="00567D48">
              <w:rPr>
                <w:rFonts w:asciiTheme="minorHAnsi" w:hAnsiTheme="minorHAnsi" w:cs="Arial"/>
                <w:bCs/>
                <w:color w:val="000000"/>
              </w:rPr>
              <w:t>Review of positive PBAC recommendations not accepted by applicants</w:t>
            </w:r>
          </w:p>
        </w:tc>
        <w:tc>
          <w:tcPr>
            <w:tcW w:w="1318" w:type="pct"/>
            <w:tcBorders>
              <w:top w:val="single" w:sz="4" w:space="0" w:color="auto"/>
              <w:left w:val="nil"/>
              <w:bottom w:val="single" w:sz="4" w:space="0" w:color="auto"/>
              <w:right w:val="single" w:sz="4" w:space="0" w:color="auto"/>
            </w:tcBorders>
            <w:vAlign w:val="center"/>
          </w:tcPr>
          <w:p w14:paraId="2419749A" w14:textId="4D2163ED" w:rsidR="00553D3C" w:rsidRPr="00567D48" w:rsidRDefault="00553D3C" w:rsidP="00553D3C">
            <w:pPr>
              <w:widowControl w:val="0"/>
              <w:spacing w:after="120"/>
              <w:jc w:val="center"/>
              <w:rPr>
                <w:rFonts w:asciiTheme="minorHAnsi" w:hAnsiTheme="minorHAnsi" w:cs="Arial"/>
                <w:bCs/>
                <w:snapToGrid w:val="0"/>
              </w:rPr>
            </w:pPr>
            <w:r w:rsidRPr="00567D48">
              <w:rPr>
                <w:rFonts w:asciiTheme="minorHAnsi" w:hAnsiTheme="minorHAnsi" w:cs="Arial"/>
              </w:rPr>
              <w:t>Recommendation extended for 12 months.</w:t>
            </w:r>
          </w:p>
        </w:tc>
      </w:tr>
      <w:tr w:rsidR="00553D3C" w:rsidRPr="00567D48" w14:paraId="7B887062" w14:textId="77777777" w:rsidTr="00CE5CA9">
        <w:trPr>
          <w:cantSplit/>
          <w:trHeight w:val="1281"/>
        </w:trPr>
        <w:tc>
          <w:tcPr>
            <w:tcW w:w="1242" w:type="pct"/>
            <w:tcBorders>
              <w:top w:val="single" w:sz="4" w:space="0" w:color="auto"/>
              <w:left w:val="single" w:sz="4" w:space="0" w:color="auto"/>
              <w:bottom w:val="single" w:sz="4" w:space="0" w:color="auto"/>
              <w:right w:val="single" w:sz="4" w:space="0" w:color="auto"/>
            </w:tcBorders>
            <w:shd w:val="clear" w:color="auto" w:fill="auto"/>
            <w:vAlign w:val="center"/>
          </w:tcPr>
          <w:p w14:paraId="150350F8"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IBRUTINIB</w:t>
            </w:r>
          </w:p>
          <w:p w14:paraId="3B45F3B7"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Capsule 140 mg</w:t>
            </w:r>
          </w:p>
          <w:p w14:paraId="05A3811C"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Imbruvica®</w:t>
            </w:r>
          </w:p>
          <w:p w14:paraId="79FE510A" w14:textId="6C9CC98A" w:rsidR="00553D3C" w:rsidRPr="00567D48" w:rsidRDefault="00553D3C" w:rsidP="00553D3C">
            <w:pPr>
              <w:widowControl w:val="0"/>
              <w:spacing w:after="120"/>
              <w:jc w:val="center"/>
              <w:rPr>
                <w:rFonts w:asciiTheme="minorHAnsi" w:hAnsiTheme="minorHAnsi" w:cs="Arial"/>
                <w:snapToGrid w:val="0"/>
              </w:rPr>
            </w:pPr>
            <w:r w:rsidRPr="00567D48">
              <w:rPr>
                <w:rFonts w:asciiTheme="minorHAnsi" w:hAnsiTheme="minorHAnsi" w:cs="Arial"/>
                <w:color w:val="000000"/>
              </w:rPr>
              <w:t>Janssen-</w:t>
            </w:r>
            <w:proofErr w:type="spellStart"/>
            <w:r w:rsidRPr="00567D48">
              <w:rPr>
                <w:rFonts w:asciiTheme="minorHAnsi" w:hAnsiTheme="minorHAnsi" w:cs="Arial"/>
                <w:color w:val="000000"/>
              </w:rPr>
              <w:t>Cilag</w:t>
            </w:r>
            <w:proofErr w:type="spellEnd"/>
            <w:r w:rsidRPr="00567D48">
              <w:rPr>
                <w:rFonts w:asciiTheme="minorHAnsi" w:hAnsiTheme="minorHAnsi" w:cs="Arial"/>
                <w:color w:val="000000"/>
              </w:rPr>
              <w:t xml:space="preserve"> Pty Ltd</w:t>
            </w:r>
          </w:p>
        </w:tc>
        <w:tc>
          <w:tcPr>
            <w:tcW w:w="1243" w:type="pct"/>
            <w:tcBorders>
              <w:top w:val="single" w:sz="4" w:space="0" w:color="auto"/>
              <w:left w:val="nil"/>
              <w:bottom w:val="single" w:sz="4" w:space="0" w:color="auto"/>
              <w:right w:val="single" w:sz="4" w:space="0" w:color="auto"/>
            </w:tcBorders>
            <w:shd w:val="clear" w:color="auto" w:fill="auto"/>
            <w:vAlign w:val="center"/>
          </w:tcPr>
          <w:p w14:paraId="2C77F4EE" w14:textId="55ECA014" w:rsidR="00553D3C" w:rsidRPr="00567D48" w:rsidRDefault="00553D3C" w:rsidP="00553D3C">
            <w:pPr>
              <w:widowControl w:val="0"/>
              <w:spacing w:after="120"/>
              <w:jc w:val="center"/>
              <w:rPr>
                <w:rFonts w:asciiTheme="minorHAnsi" w:hAnsiTheme="minorHAnsi" w:cs="Arial"/>
                <w:snapToGrid w:val="0"/>
              </w:rPr>
            </w:pPr>
            <w:r w:rsidRPr="00567D48">
              <w:rPr>
                <w:rFonts w:asciiTheme="minorHAnsi" w:hAnsiTheme="minorHAnsi" w:cs="Arial"/>
                <w:color w:val="000000"/>
              </w:rPr>
              <w:t>Chronic lymphocytic leukaemia (CLL) and small lymphocytic lymphoma (SLL)</w:t>
            </w:r>
          </w:p>
        </w:tc>
        <w:tc>
          <w:tcPr>
            <w:tcW w:w="1197" w:type="pct"/>
            <w:tcBorders>
              <w:top w:val="single" w:sz="4" w:space="0" w:color="auto"/>
              <w:left w:val="nil"/>
              <w:bottom w:val="single" w:sz="4" w:space="0" w:color="auto"/>
              <w:right w:val="single" w:sz="4" w:space="0" w:color="auto"/>
            </w:tcBorders>
            <w:shd w:val="clear" w:color="auto" w:fill="auto"/>
            <w:vAlign w:val="center"/>
          </w:tcPr>
          <w:p w14:paraId="31390AF6" w14:textId="71C5FD4C" w:rsidR="00553D3C" w:rsidRPr="00567D48" w:rsidRDefault="00553D3C" w:rsidP="00553D3C">
            <w:pPr>
              <w:widowControl w:val="0"/>
              <w:spacing w:after="120"/>
              <w:jc w:val="center"/>
              <w:rPr>
                <w:rFonts w:asciiTheme="minorHAnsi" w:hAnsiTheme="minorHAnsi" w:cs="Arial"/>
                <w:bCs/>
                <w:snapToGrid w:val="0"/>
                <w:color w:val="000000"/>
              </w:rPr>
            </w:pPr>
            <w:r w:rsidRPr="00567D48">
              <w:rPr>
                <w:rFonts w:asciiTheme="minorHAnsi" w:hAnsiTheme="minorHAnsi" w:cs="Arial"/>
                <w:bCs/>
                <w:color w:val="000000"/>
              </w:rPr>
              <w:t>Review of positive PBAC recommendations not accepted by applicants</w:t>
            </w:r>
          </w:p>
        </w:tc>
        <w:tc>
          <w:tcPr>
            <w:tcW w:w="1318" w:type="pct"/>
            <w:tcBorders>
              <w:top w:val="single" w:sz="4" w:space="0" w:color="auto"/>
              <w:left w:val="nil"/>
              <w:bottom w:val="single" w:sz="4" w:space="0" w:color="auto"/>
              <w:right w:val="single" w:sz="4" w:space="0" w:color="auto"/>
            </w:tcBorders>
            <w:vAlign w:val="center"/>
          </w:tcPr>
          <w:p w14:paraId="136DEF77" w14:textId="53934B3D" w:rsidR="00553D3C" w:rsidRPr="00567D48" w:rsidRDefault="00553D3C" w:rsidP="00553D3C">
            <w:pPr>
              <w:widowControl w:val="0"/>
              <w:spacing w:after="120"/>
              <w:jc w:val="center"/>
              <w:rPr>
                <w:rFonts w:asciiTheme="minorHAnsi" w:hAnsiTheme="minorHAnsi" w:cs="Arial"/>
                <w:bCs/>
                <w:snapToGrid w:val="0"/>
              </w:rPr>
            </w:pPr>
            <w:r w:rsidRPr="00567D48">
              <w:rPr>
                <w:rFonts w:asciiTheme="minorHAnsi" w:hAnsiTheme="minorHAnsi" w:cs="Arial"/>
              </w:rPr>
              <w:t>Recommendation extended for 12 months.</w:t>
            </w:r>
          </w:p>
        </w:tc>
      </w:tr>
      <w:tr w:rsidR="00553D3C" w:rsidRPr="00567D48" w14:paraId="3BCA8221" w14:textId="77777777" w:rsidTr="00CE5CA9">
        <w:trPr>
          <w:cantSplit/>
          <w:trHeight w:val="1281"/>
        </w:trPr>
        <w:tc>
          <w:tcPr>
            <w:tcW w:w="1242" w:type="pct"/>
            <w:tcBorders>
              <w:top w:val="single" w:sz="4" w:space="0" w:color="auto"/>
              <w:left w:val="single" w:sz="4" w:space="0" w:color="auto"/>
              <w:bottom w:val="single" w:sz="4" w:space="0" w:color="auto"/>
              <w:right w:val="single" w:sz="4" w:space="0" w:color="auto"/>
            </w:tcBorders>
            <w:shd w:val="clear" w:color="auto" w:fill="auto"/>
            <w:vAlign w:val="center"/>
          </w:tcPr>
          <w:p w14:paraId="54BA3C19" w14:textId="77777777" w:rsidR="00553D3C" w:rsidRPr="00567D48" w:rsidRDefault="00553D3C" w:rsidP="00553D3C">
            <w:pPr>
              <w:contextualSpacing/>
              <w:jc w:val="center"/>
              <w:rPr>
                <w:rFonts w:asciiTheme="minorHAnsi" w:hAnsiTheme="minorHAnsi" w:cs="Arial"/>
                <w:color w:val="000000"/>
              </w:rPr>
            </w:pPr>
            <w:r w:rsidRPr="00567D48">
              <w:rPr>
                <w:rFonts w:asciiTheme="minorHAnsi" w:hAnsiTheme="minorHAnsi" w:cs="Arial"/>
                <w:color w:val="000000"/>
              </w:rPr>
              <w:lastRenderedPageBreak/>
              <w:t>PACLITAXEL, NANOPARTICLE</w:t>
            </w:r>
          </w:p>
          <w:p w14:paraId="07A07C3A" w14:textId="77777777" w:rsidR="00553D3C" w:rsidRPr="00567D48" w:rsidRDefault="00553D3C" w:rsidP="00553D3C">
            <w:pPr>
              <w:contextualSpacing/>
              <w:jc w:val="center"/>
              <w:rPr>
                <w:rFonts w:asciiTheme="minorHAnsi" w:hAnsiTheme="minorHAnsi" w:cs="Arial"/>
                <w:color w:val="000000"/>
              </w:rPr>
            </w:pPr>
            <w:r w:rsidRPr="00567D48">
              <w:rPr>
                <w:rFonts w:asciiTheme="minorHAnsi" w:hAnsiTheme="minorHAnsi" w:cs="Arial"/>
                <w:color w:val="000000"/>
              </w:rPr>
              <w:t>ALBUMIN-BOUND</w:t>
            </w:r>
          </w:p>
          <w:p w14:paraId="32CA7B30"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Powder for I.V. injection containing</w:t>
            </w:r>
          </w:p>
          <w:p w14:paraId="1CE4AA2B"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250 mg paclitaxel</w:t>
            </w:r>
          </w:p>
          <w:p w14:paraId="0B610346"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Abraxane®</w:t>
            </w:r>
          </w:p>
          <w:p w14:paraId="659F82D7" w14:textId="23C74B21" w:rsidR="00553D3C" w:rsidRPr="00567D48" w:rsidRDefault="00553D3C" w:rsidP="00553D3C">
            <w:pPr>
              <w:widowControl w:val="0"/>
              <w:spacing w:after="120"/>
              <w:jc w:val="center"/>
              <w:rPr>
                <w:rFonts w:asciiTheme="minorHAnsi" w:hAnsiTheme="minorHAnsi" w:cs="Arial"/>
                <w:snapToGrid w:val="0"/>
                <w:color w:val="FF0000"/>
              </w:rPr>
            </w:pPr>
            <w:r w:rsidRPr="00567D48">
              <w:rPr>
                <w:rFonts w:asciiTheme="minorHAnsi" w:hAnsiTheme="minorHAnsi" w:cs="Arial"/>
                <w:color w:val="000000"/>
              </w:rPr>
              <w:t>Specialised Therapeutics Australia Pty Ltd</w:t>
            </w:r>
          </w:p>
        </w:tc>
        <w:tc>
          <w:tcPr>
            <w:tcW w:w="1243" w:type="pct"/>
            <w:tcBorders>
              <w:top w:val="single" w:sz="4" w:space="0" w:color="auto"/>
              <w:left w:val="nil"/>
              <w:bottom w:val="single" w:sz="4" w:space="0" w:color="auto"/>
              <w:right w:val="single" w:sz="4" w:space="0" w:color="auto"/>
            </w:tcBorders>
            <w:shd w:val="clear" w:color="auto" w:fill="auto"/>
            <w:vAlign w:val="center"/>
          </w:tcPr>
          <w:p w14:paraId="336B69C4" w14:textId="2F99FB65" w:rsidR="00553D3C" w:rsidRPr="00567D48" w:rsidRDefault="00553D3C" w:rsidP="00553D3C">
            <w:pPr>
              <w:widowControl w:val="0"/>
              <w:spacing w:after="120"/>
              <w:jc w:val="center"/>
              <w:rPr>
                <w:rFonts w:asciiTheme="minorHAnsi" w:hAnsiTheme="minorHAnsi" w:cs="Arial"/>
                <w:snapToGrid w:val="0"/>
                <w:color w:val="FF0000"/>
              </w:rPr>
            </w:pPr>
            <w:r w:rsidRPr="00567D48">
              <w:rPr>
                <w:rFonts w:asciiTheme="minorHAnsi" w:hAnsiTheme="minorHAnsi" w:cs="Arial"/>
                <w:color w:val="000000"/>
              </w:rPr>
              <w:t>Adenocarcinoma of the pancreas and breast cancer</w:t>
            </w:r>
          </w:p>
        </w:tc>
        <w:tc>
          <w:tcPr>
            <w:tcW w:w="1197" w:type="pct"/>
            <w:tcBorders>
              <w:top w:val="single" w:sz="4" w:space="0" w:color="auto"/>
              <w:left w:val="nil"/>
              <w:bottom w:val="single" w:sz="4" w:space="0" w:color="auto"/>
              <w:right w:val="single" w:sz="4" w:space="0" w:color="auto"/>
            </w:tcBorders>
            <w:shd w:val="clear" w:color="auto" w:fill="auto"/>
            <w:vAlign w:val="center"/>
          </w:tcPr>
          <w:p w14:paraId="412B785E" w14:textId="414E1354" w:rsidR="00553D3C" w:rsidRPr="00567D48" w:rsidRDefault="00553D3C" w:rsidP="00553D3C">
            <w:pPr>
              <w:widowControl w:val="0"/>
              <w:spacing w:after="120"/>
              <w:jc w:val="center"/>
              <w:rPr>
                <w:rFonts w:asciiTheme="minorHAnsi" w:hAnsiTheme="minorHAnsi" w:cs="Arial"/>
                <w:snapToGrid w:val="0"/>
              </w:rPr>
            </w:pPr>
            <w:r w:rsidRPr="00567D48">
              <w:rPr>
                <w:rFonts w:asciiTheme="minorHAnsi" w:hAnsiTheme="minorHAnsi" w:cs="Arial"/>
                <w:bCs/>
                <w:color w:val="000000"/>
              </w:rPr>
              <w:t>Review of positive PBAC recommendations not accepted by applicants</w:t>
            </w:r>
          </w:p>
        </w:tc>
        <w:tc>
          <w:tcPr>
            <w:tcW w:w="1318" w:type="pct"/>
            <w:tcBorders>
              <w:top w:val="single" w:sz="4" w:space="0" w:color="auto"/>
              <w:left w:val="nil"/>
              <w:bottom w:val="single" w:sz="4" w:space="0" w:color="auto"/>
              <w:right w:val="single" w:sz="4" w:space="0" w:color="auto"/>
            </w:tcBorders>
            <w:vAlign w:val="center"/>
          </w:tcPr>
          <w:p w14:paraId="3BB57807" w14:textId="6B485BD9" w:rsidR="00553D3C" w:rsidRPr="00567D48" w:rsidRDefault="00553D3C" w:rsidP="00553D3C">
            <w:pPr>
              <w:widowControl w:val="0"/>
              <w:spacing w:after="120"/>
              <w:jc w:val="center"/>
              <w:rPr>
                <w:rFonts w:asciiTheme="minorHAnsi" w:hAnsiTheme="minorHAnsi" w:cs="Arial"/>
                <w:bCs/>
                <w:snapToGrid w:val="0"/>
              </w:rPr>
            </w:pPr>
            <w:r w:rsidRPr="00567D48">
              <w:rPr>
                <w:rFonts w:asciiTheme="minorHAnsi" w:hAnsiTheme="minorHAnsi" w:cs="Arial"/>
              </w:rPr>
              <w:t>Recommendation was rescinded by the PBAC, noting that there was an alternative vial size available.</w:t>
            </w:r>
          </w:p>
        </w:tc>
      </w:tr>
      <w:tr w:rsidR="00553D3C" w:rsidRPr="00567D48" w14:paraId="50831EBC" w14:textId="77777777" w:rsidTr="00CE5CA9">
        <w:trPr>
          <w:cantSplit/>
          <w:trHeight w:val="1281"/>
        </w:trPr>
        <w:tc>
          <w:tcPr>
            <w:tcW w:w="1242" w:type="pct"/>
            <w:tcBorders>
              <w:top w:val="single" w:sz="4" w:space="0" w:color="auto"/>
              <w:left w:val="single" w:sz="4" w:space="0" w:color="auto"/>
              <w:bottom w:val="single" w:sz="4" w:space="0" w:color="auto"/>
              <w:right w:val="single" w:sz="4" w:space="0" w:color="auto"/>
            </w:tcBorders>
            <w:shd w:val="clear" w:color="auto" w:fill="auto"/>
            <w:vAlign w:val="center"/>
          </w:tcPr>
          <w:p w14:paraId="51F887F8"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PARITAPREVIR with RITONAVIR with OMBITASVIR</w:t>
            </w:r>
          </w:p>
          <w:p w14:paraId="468523EA"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Tablet 75 mg-50 mg-12.5 mg</w:t>
            </w:r>
          </w:p>
          <w:p w14:paraId="7CBF9448" w14:textId="77777777" w:rsidR="00553D3C" w:rsidRPr="00567D48" w:rsidRDefault="00553D3C" w:rsidP="00553D3C">
            <w:pPr>
              <w:jc w:val="center"/>
              <w:rPr>
                <w:rFonts w:asciiTheme="minorHAnsi" w:hAnsiTheme="minorHAnsi" w:cs="Arial"/>
                <w:color w:val="000000"/>
              </w:rPr>
            </w:pPr>
            <w:proofErr w:type="spellStart"/>
            <w:r w:rsidRPr="00567D48">
              <w:rPr>
                <w:rFonts w:asciiTheme="minorHAnsi" w:hAnsiTheme="minorHAnsi" w:cs="Arial"/>
                <w:color w:val="000000"/>
              </w:rPr>
              <w:t>Technivie</w:t>
            </w:r>
            <w:proofErr w:type="spellEnd"/>
            <w:r w:rsidRPr="00567D48">
              <w:rPr>
                <w:rFonts w:asciiTheme="minorHAnsi" w:hAnsiTheme="minorHAnsi" w:cs="Arial"/>
                <w:color w:val="000000"/>
              </w:rPr>
              <w:t>®</w:t>
            </w:r>
          </w:p>
          <w:p w14:paraId="4A9C8F9A" w14:textId="5CA88AE9" w:rsidR="00553D3C" w:rsidRPr="00567D48" w:rsidRDefault="00553D3C" w:rsidP="00553D3C">
            <w:pPr>
              <w:widowControl w:val="0"/>
              <w:spacing w:after="120"/>
              <w:jc w:val="center"/>
              <w:rPr>
                <w:rFonts w:asciiTheme="minorHAnsi" w:hAnsiTheme="minorHAnsi" w:cs="Arial"/>
                <w:snapToGrid w:val="0"/>
                <w:color w:val="FF0000"/>
              </w:rPr>
            </w:pPr>
            <w:r w:rsidRPr="00567D48">
              <w:rPr>
                <w:rFonts w:asciiTheme="minorHAnsi" w:hAnsiTheme="minorHAnsi" w:cs="Arial"/>
                <w:color w:val="000000"/>
              </w:rPr>
              <w:t>AbbVie Pty Ltd</w:t>
            </w:r>
          </w:p>
        </w:tc>
        <w:tc>
          <w:tcPr>
            <w:tcW w:w="1243" w:type="pct"/>
            <w:tcBorders>
              <w:top w:val="single" w:sz="4" w:space="0" w:color="auto"/>
              <w:left w:val="nil"/>
              <w:bottom w:val="single" w:sz="4" w:space="0" w:color="auto"/>
              <w:right w:val="single" w:sz="4" w:space="0" w:color="auto"/>
            </w:tcBorders>
            <w:shd w:val="clear" w:color="auto" w:fill="auto"/>
            <w:vAlign w:val="center"/>
          </w:tcPr>
          <w:p w14:paraId="48E5F71E"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Hepatitis C</w:t>
            </w:r>
          </w:p>
          <w:p w14:paraId="733DD1F2" w14:textId="7498A139" w:rsidR="00553D3C" w:rsidRPr="00567D48" w:rsidRDefault="00553D3C" w:rsidP="00553D3C">
            <w:pPr>
              <w:widowControl w:val="0"/>
              <w:spacing w:after="120"/>
              <w:jc w:val="center"/>
              <w:rPr>
                <w:rFonts w:asciiTheme="minorHAnsi" w:hAnsiTheme="minorHAnsi" w:cs="Arial"/>
                <w:snapToGrid w:val="0"/>
                <w:color w:val="FF0000"/>
              </w:rPr>
            </w:pPr>
          </w:p>
        </w:tc>
        <w:tc>
          <w:tcPr>
            <w:tcW w:w="1197" w:type="pct"/>
            <w:tcBorders>
              <w:top w:val="single" w:sz="4" w:space="0" w:color="auto"/>
              <w:left w:val="nil"/>
              <w:bottom w:val="single" w:sz="4" w:space="0" w:color="auto"/>
              <w:right w:val="single" w:sz="4" w:space="0" w:color="auto"/>
            </w:tcBorders>
            <w:shd w:val="clear" w:color="auto" w:fill="auto"/>
            <w:vAlign w:val="center"/>
          </w:tcPr>
          <w:p w14:paraId="58DF8956" w14:textId="39461802" w:rsidR="00553D3C" w:rsidRPr="00567D48" w:rsidRDefault="00553D3C" w:rsidP="00553D3C">
            <w:pPr>
              <w:widowControl w:val="0"/>
              <w:spacing w:after="120"/>
              <w:jc w:val="center"/>
              <w:rPr>
                <w:rFonts w:asciiTheme="minorHAnsi" w:hAnsiTheme="minorHAnsi" w:cs="Arial"/>
                <w:bCs/>
                <w:snapToGrid w:val="0"/>
                <w:color w:val="000000"/>
              </w:rPr>
            </w:pPr>
            <w:r w:rsidRPr="00567D48">
              <w:rPr>
                <w:rFonts w:asciiTheme="minorHAnsi" w:hAnsiTheme="minorHAnsi" w:cs="Arial"/>
                <w:bCs/>
                <w:color w:val="000000"/>
              </w:rPr>
              <w:t>Review of positive PBAC recommendations not accepted by applicants</w:t>
            </w:r>
          </w:p>
        </w:tc>
        <w:tc>
          <w:tcPr>
            <w:tcW w:w="1318" w:type="pct"/>
            <w:tcBorders>
              <w:top w:val="single" w:sz="4" w:space="0" w:color="auto"/>
              <w:left w:val="nil"/>
              <w:bottom w:val="single" w:sz="4" w:space="0" w:color="auto"/>
              <w:right w:val="single" w:sz="4" w:space="0" w:color="auto"/>
            </w:tcBorders>
            <w:vAlign w:val="center"/>
          </w:tcPr>
          <w:p w14:paraId="12A49F62" w14:textId="5113E3F6" w:rsidR="00553D3C" w:rsidRPr="00567D48" w:rsidRDefault="00553D3C" w:rsidP="00553D3C">
            <w:pPr>
              <w:widowControl w:val="0"/>
              <w:spacing w:after="120"/>
              <w:ind w:right="-156"/>
              <w:jc w:val="center"/>
              <w:rPr>
                <w:rFonts w:asciiTheme="minorHAnsi" w:hAnsiTheme="minorHAnsi" w:cs="Arial"/>
                <w:bCs/>
                <w:snapToGrid w:val="0"/>
              </w:rPr>
            </w:pPr>
            <w:r w:rsidRPr="00567D48">
              <w:rPr>
                <w:rFonts w:asciiTheme="minorHAnsi" w:hAnsiTheme="minorHAnsi" w:cs="Arial"/>
              </w:rPr>
              <w:t>Recommendation was rescinded by the PBAC with the support from the sponsor.</w:t>
            </w:r>
          </w:p>
        </w:tc>
      </w:tr>
      <w:tr w:rsidR="00553D3C" w:rsidRPr="00567D48" w14:paraId="50FB3944" w14:textId="77777777" w:rsidTr="00CE5CA9">
        <w:trPr>
          <w:cantSplit/>
          <w:trHeight w:val="1281"/>
        </w:trPr>
        <w:tc>
          <w:tcPr>
            <w:tcW w:w="1242" w:type="pct"/>
            <w:tcBorders>
              <w:top w:val="single" w:sz="4" w:space="0" w:color="auto"/>
              <w:left w:val="single" w:sz="4" w:space="0" w:color="auto"/>
              <w:bottom w:val="single" w:sz="4" w:space="0" w:color="auto"/>
              <w:right w:val="single" w:sz="4" w:space="0" w:color="auto"/>
            </w:tcBorders>
            <w:shd w:val="clear" w:color="auto" w:fill="auto"/>
            <w:vAlign w:val="center"/>
          </w:tcPr>
          <w:p w14:paraId="031D290A"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RADIUM (223Ra)</w:t>
            </w:r>
          </w:p>
          <w:p w14:paraId="10BC21DA"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Injection containing radium (233Ra) dichloride 6.6 MBq/6 mL</w:t>
            </w:r>
          </w:p>
          <w:p w14:paraId="1C6B6B09" w14:textId="77777777" w:rsidR="00553D3C" w:rsidRPr="00567D48" w:rsidRDefault="00553D3C" w:rsidP="00553D3C">
            <w:pPr>
              <w:jc w:val="center"/>
              <w:rPr>
                <w:rFonts w:asciiTheme="minorHAnsi" w:hAnsiTheme="minorHAnsi" w:cs="Arial"/>
                <w:color w:val="000000"/>
              </w:rPr>
            </w:pPr>
            <w:proofErr w:type="spellStart"/>
            <w:r w:rsidRPr="00567D48">
              <w:rPr>
                <w:rFonts w:asciiTheme="minorHAnsi" w:hAnsiTheme="minorHAnsi" w:cs="Arial"/>
                <w:color w:val="000000"/>
              </w:rPr>
              <w:t>Xofigo</w:t>
            </w:r>
            <w:proofErr w:type="spellEnd"/>
            <w:r w:rsidRPr="00567D48">
              <w:rPr>
                <w:rFonts w:asciiTheme="minorHAnsi" w:hAnsiTheme="minorHAnsi" w:cs="Arial"/>
                <w:color w:val="000000"/>
              </w:rPr>
              <w:t>®</w:t>
            </w:r>
          </w:p>
          <w:p w14:paraId="0D9BD9CA" w14:textId="5FF603A5" w:rsidR="00553D3C" w:rsidRPr="00567D48" w:rsidRDefault="00553D3C" w:rsidP="00553D3C">
            <w:pPr>
              <w:widowControl w:val="0"/>
              <w:spacing w:after="120"/>
              <w:jc w:val="center"/>
              <w:rPr>
                <w:rFonts w:asciiTheme="minorHAnsi" w:hAnsiTheme="minorHAnsi" w:cs="Arial"/>
                <w:snapToGrid w:val="0"/>
                <w:color w:val="FF0000"/>
              </w:rPr>
            </w:pPr>
            <w:r w:rsidRPr="00567D48">
              <w:rPr>
                <w:rFonts w:asciiTheme="minorHAnsi" w:hAnsiTheme="minorHAnsi" w:cs="Arial"/>
                <w:color w:val="000000"/>
              </w:rPr>
              <w:t>Bayer Australia Ltd</w:t>
            </w:r>
          </w:p>
        </w:tc>
        <w:tc>
          <w:tcPr>
            <w:tcW w:w="1243" w:type="pct"/>
            <w:tcBorders>
              <w:top w:val="single" w:sz="4" w:space="0" w:color="auto"/>
              <w:left w:val="nil"/>
              <w:bottom w:val="single" w:sz="4" w:space="0" w:color="auto"/>
              <w:right w:val="single" w:sz="4" w:space="0" w:color="auto"/>
            </w:tcBorders>
            <w:shd w:val="clear" w:color="auto" w:fill="auto"/>
            <w:vAlign w:val="center"/>
          </w:tcPr>
          <w:p w14:paraId="2EFECB03" w14:textId="7BF6C6CD" w:rsidR="00553D3C" w:rsidRPr="00567D48" w:rsidRDefault="00553D3C" w:rsidP="00553D3C">
            <w:pPr>
              <w:widowControl w:val="0"/>
              <w:spacing w:after="120"/>
              <w:jc w:val="center"/>
              <w:rPr>
                <w:rFonts w:asciiTheme="minorHAnsi" w:hAnsiTheme="minorHAnsi" w:cs="Arial"/>
                <w:snapToGrid w:val="0"/>
                <w:color w:val="FF0000"/>
              </w:rPr>
            </w:pPr>
            <w:r w:rsidRPr="00567D48">
              <w:rPr>
                <w:rFonts w:asciiTheme="minorHAnsi" w:hAnsiTheme="minorHAnsi" w:cs="Arial"/>
                <w:color w:val="000000"/>
              </w:rPr>
              <w:t>Metastatic castrate resistant prostate cancer</w:t>
            </w:r>
          </w:p>
        </w:tc>
        <w:tc>
          <w:tcPr>
            <w:tcW w:w="1197" w:type="pct"/>
            <w:tcBorders>
              <w:top w:val="single" w:sz="4" w:space="0" w:color="auto"/>
              <w:left w:val="nil"/>
              <w:bottom w:val="single" w:sz="4" w:space="0" w:color="auto"/>
              <w:right w:val="single" w:sz="4" w:space="0" w:color="auto"/>
            </w:tcBorders>
            <w:shd w:val="clear" w:color="auto" w:fill="auto"/>
            <w:vAlign w:val="center"/>
          </w:tcPr>
          <w:p w14:paraId="7FBF0781" w14:textId="45359BF6" w:rsidR="00553D3C" w:rsidRPr="00567D48" w:rsidRDefault="00553D3C" w:rsidP="00553D3C">
            <w:pPr>
              <w:widowControl w:val="0"/>
              <w:spacing w:after="120"/>
              <w:jc w:val="center"/>
              <w:rPr>
                <w:rFonts w:asciiTheme="minorHAnsi" w:hAnsiTheme="minorHAnsi" w:cs="Arial"/>
                <w:bCs/>
                <w:snapToGrid w:val="0"/>
                <w:color w:val="000000"/>
              </w:rPr>
            </w:pPr>
            <w:r w:rsidRPr="00567D48">
              <w:rPr>
                <w:rFonts w:asciiTheme="minorHAnsi" w:hAnsiTheme="minorHAnsi" w:cs="Arial"/>
                <w:bCs/>
                <w:color w:val="000000"/>
              </w:rPr>
              <w:t>Review of positive PBAC recommendations not accepted by applicants</w:t>
            </w:r>
          </w:p>
        </w:tc>
        <w:tc>
          <w:tcPr>
            <w:tcW w:w="1318" w:type="pct"/>
            <w:tcBorders>
              <w:top w:val="single" w:sz="4" w:space="0" w:color="auto"/>
              <w:left w:val="nil"/>
              <w:bottom w:val="single" w:sz="4" w:space="0" w:color="auto"/>
              <w:right w:val="single" w:sz="4" w:space="0" w:color="auto"/>
            </w:tcBorders>
            <w:vAlign w:val="center"/>
          </w:tcPr>
          <w:p w14:paraId="5E8FE2C3" w14:textId="34ACFF04" w:rsidR="00553D3C" w:rsidRPr="00567D48" w:rsidRDefault="00553D3C" w:rsidP="00553D3C">
            <w:pPr>
              <w:widowControl w:val="0"/>
              <w:spacing w:after="120"/>
              <w:ind w:right="-156"/>
              <w:jc w:val="center"/>
              <w:rPr>
                <w:rFonts w:asciiTheme="minorHAnsi" w:hAnsiTheme="minorHAnsi" w:cs="Arial"/>
                <w:bCs/>
                <w:snapToGrid w:val="0"/>
              </w:rPr>
            </w:pPr>
            <w:r w:rsidRPr="00567D48">
              <w:rPr>
                <w:rFonts w:asciiTheme="minorHAnsi" w:hAnsiTheme="minorHAnsi" w:cs="Arial"/>
              </w:rPr>
              <w:t>Recommendation was rescinded by the PBAC.</w:t>
            </w:r>
          </w:p>
        </w:tc>
      </w:tr>
      <w:tr w:rsidR="00553D3C" w:rsidRPr="00567D48" w14:paraId="1BD4E22B" w14:textId="77777777" w:rsidTr="00CE5CA9">
        <w:trPr>
          <w:cantSplit/>
          <w:trHeight w:val="1281"/>
        </w:trPr>
        <w:tc>
          <w:tcPr>
            <w:tcW w:w="1242" w:type="pct"/>
            <w:tcBorders>
              <w:top w:val="single" w:sz="4" w:space="0" w:color="auto"/>
              <w:left w:val="single" w:sz="4" w:space="0" w:color="auto"/>
              <w:bottom w:val="single" w:sz="4" w:space="0" w:color="auto"/>
              <w:right w:val="single" w:sz="4" w:space="0" w:color="auto"/>
            </w:tcBorders>
            <w:shd w:val="clear" w:color="auto" w:fill="auto"/>
            <w:vAlign w:val="center"/>
          </w:tcPr>
          <w:p w14:paraId="6BBFFD57"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SARILUMAB</w:t>
            </w:r>
          </w:p>
          <w:p w14:paraId="3F66D7FC"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Injection 150 mg in 1.14 mL pre-filled syringe</w:t>
            </w:r>
          </w:p>
          <w:p w14:paraId="6778AF3E" w14:textId="77777777" w:rsidR="00553D3C" w:rsidRPr="00567D48" w:rsidRDefault="00553D3C" w:rsidP="00553D3C">
            <w:pPr>
              <w:jc w:val="center"/>
              <w:rPr>
                <w:rFonts w:asciiTheme="minorHAnsi" w:hAnsiTheme="minorHAnsi" w:cs="Arial"/>
                <w:color w:val="000000"/>
              </w:rPr>
            </w:pPr>
            <w:r w:rsidRPr="00567D48">
              <w:rPr>
                <w:rFonts w:asciiTheme="minorHAnsi" w:hAnsiTheme="minorHAnsi" w:cs="Arial"/>
                <w:color w:val="000000"/>
              </w:rPr>
              <w:t>Injection 200 mg in 1.14 mL pre-filled syringe</w:t>
            </w:r>
          </w:p>
          <w:p w14:paraId="1BE7CF6B" w14:textId="77777777" w:rsidR="00553D3C" w:rsidRPr="00567D48" w:rsidRDefault="00553D3C" w:rsidP="00553D3C">
            <w:pPr>
              <w:jc w:val="center"/>
              <w:rPr>
                <w:rFonts w:asciiTheme="minorHAnsi" w:hAnsiTheme="minorHAnsi" w:cs="Arial"/>
                <w:color w:val="000000"/>
              </w:rPr>
            </w:pPr>
            <w:proofErr w:type="spellStart"/>
            <w:r w:rsidRPr="00567D48">
              <w:rPr>
                <w:rFonts w:asciiTheme="minorHAnsi" w:hAnsiTheme="minorHAnsi" w:cs="Arial"/>
                <w:color w:val="000000"/>
              </w:rPr>
              <w:t>Kevzara</w:t>
            </w:r>
            <w:proofErr w:type="spellEnd"/>
            <w:r w:rsidRPr="00567D48">
              <w:rPr>
                <w:rFonts w:asciiTheme="minorHAnsi" w:hAnsiTheme="minorHAnsi" w:cs="Arial"/>
                <w:color w:val="000000"/>
              </w:rPr>
              <w:t>®</w:t>
            </w:r>
          </w:p>
          <w:p w14:paraId="0733C789" w14:textId="2EDB13A8" w:rsidR="00553D3C" w:rsidRPr="00567D48" w:rsidRDefault="00164303" w:rsidP="00553D3C">
            <w:pPr>
              <w:widowControl w:val="0"/>
              <w:spacing w:after="120"/>
              <w:jc w:val="center"/>
              <w:rPr>
                <w:rFonts w:asciiTheme="minorHAnsi" w:hAnsiTheme="minorHAnsi" w:cs="Arial"/>
                <w:snapToGrid w:val="0"/>
                <w:color w:val="FF0000"/>
              </w:rPr>
            </w:pPr>
            <w:r w:rsidRPr="00567D48">
              <w:rPr>
                <w:rFonts w:asciiTheme="minorHAnsi" w:hAnsiTheme="minorHAnsi" w:cs="Arial"/>
                <w:color w:val="000000"/>
              </w:rPr>
              <w:t>S</w:t>
            </w:r>
            <w:r w:rsidR="00553D3C" w:rsidRPr="00567D48">
              <w:rPr>
                <w:rFonts w:asciiTheme="minorHAnsi" w:hAnsiTheme="minorHAnsi" w:cs="Arial"/>
                <w:color w:val="000000"/>
              </w:rPr>
              <w:t>anofi-</w:t>
            </w:r>
            <w:r w:rsidRPr="00567D48">
              <w:rPr>
                <w:rFonts w:asciiTheme="minorHAnsi" w:hAnsiTheme="minorHAnsi" w:cs="Arial"/>
                <w:color w:val="000000"/>
              </w:rPr>
              <w:t>A</w:t>
            </w:r>
            <w:r w:rsidR="00553D3C" w:rsidRPr="00567D48">
              <w:rPr>
                <w:rFonts w:asciiTheme="minorHAnsi" w:hAnsiTheme="minorHAnsi" w:cs="Arial"/>
                <w:color w:val="000000"/>
              </w:rPr>
              <w:t>ventis Australia Pty Ltd</w:t>
            </w:r>
          </w:p>
        </w:tc>
        <w:tc>
          <w:tcPr>
            <w:tcW w:w="1243" w:type="pct"/>
            <w:tcBorders>
              <w:top w:val="single" w:sz="4" w:space="0" w:color="auto"/>
              <w:left w:val="nil"/>
              <w:bottom w:val="single" w:sz="4" w:space="0" w:color="auto"/>
              <w:right w:val="single" w:sz="4" w:space="0" w:color="auto"/>
            </w:tcBorders>
            <w:shd w:val="clear" w:color="auto" w:fill="auto"/>
            <w:vAlign w:val="center"/>
          </w:tcPr>
          <w:p w14:paraId="687A7443" w14:textId="36D0F4CC" w:rsidR="00553D3C" w:rsidRPr="00567D48" w:rsidRDefault="00553D3C" w:rsidP="00553D3C">
            <w:pPr>
              <w:widowControl w:val="0"/>
              <w:spacing w:after="120"/>
              <w:jc w:val="center"/>
              <w:rPr>
                <w:rFonts w:asciiTheme="minorHAnsi" w:hAnsiTheme="minorHAnsi" w:cs="Arial"/>
                <w:snapToGrid w:val="0"/>
                <w:color w:val="FF0000"/>
              </w:rPr>
            </w:pPr>
            <w:r w:rsidRPr="00567D48">
              <w:rPr>
                <w:rFonts w:asciiTheme="minorHAnsi" w:hAnsiTheme="minorHAnsi" w:cs="Arial"/>
                <w:color w:val="000000"/>
              </w:rPr>
              <w:t>Rheumatoid arthritis</w:t>
            </w:r>
          </w:p>
        </w:tc>
        <w:tc>
          <w:tcPr>
            <w:tcW w:w="1197" w:type="pct"/>
            <w:tcBorders>
              <w:top w:val="single" w:sz="4" w:space="0" w:color="auto"/>
              <w:left w:val="nil"/>
              <w:bottom w:val="single" w:sz="4" w:space="0" w:color="auto"/>
              <w:right w:val="single" w:sz="4" w:space="0" w:color="auto"/>
            </w:tcBorders>
            <w:shd w:val="clear" w:color="auto" w:fill="auto"/>
            <w:vAlign w:val="center"/>
          </w:tcPr>
          <w:p w14:paraId="3CCB0F99" w14:textId="094C0982" w:rsidR="00553D3C" w:rsidRPr="00567D48" w:rsidRDefault="00553D3C" w:rsidP="00553D3C">
            <w:pPr>
              <w:widowControl w:val="0"/>
              <w:spacing w:after="120"/>
              <w:jc w:val="center"/>
              <w:rPr>
                <w:rFonts w:asciiTheme="minorHAnsi" w:hAnsiTheme="minorHAnsi" w:cs="Arial"/>
                <w:bCs/>
                <w:snapToGrid w:val="0"/>
                <w:color w:val="000000"/>
              </w:rPr>
            </w:pPr>
            <w:r w:rsidRPr="00567D48">
              <w:rPr>
                <w:rFonts w:asciiTheme="minorHAnsi" w:hAnsiTheme="minorHAnsi" w:cs="Arial"/>
                <w:bCs/>
                <w:color w:val="000000"/>
              </w:rPr>
              <w:t>Review of positive PBAC recommendations not accepted by applicants</w:t>
            </w:r>
          </w:p>
        </w:tc>
        <w:tc>
          <w:tcPr>
            <w:tcW w:w="1318" w:type="pct"/>
            <w:tcBorders>
              <w:top w:val="single" w:sz="4" w:space="0" w:color="auto"/>
              <w:left w:val="nil"/>
              <w:bottom w:val="single" w:sz="4" w:space="0" w:color="auto"/>
              <w:right w:val="single" w:sz="4" w:space="0" w:color="auto"/>
            </w:tcBorders>
            <w:vAlign w:val="center"/>
          </w:tcPr>
          <w:p w14:paraId="55223194" w14:textId="45157A12" w:rsidR="00553D3C" w:rsidRPr="00567D48" w:rsidRDefault="00553D3C" w:rsidP="00553D3C">
            <w:pPr>
              <w:widowControl w:val="0"/>
              <w:spacing w:after="120"/>
              <w:ind w:right="-156"/>
              <w:jc w:val="center"/>
              <w:rPr>
                <w:rFonts w:asciiTheme="minorHAnsi" w:hAnsiTheme="minorHAnsi" w:cs="Arial"/>
                <w:bCs/>
                <w:snapToGrid w:val="0"/>
              </w:rPr>
            </w:pPr>
            <w:r w:rsidRPr="00567D48">
              <w:rPr>
                <w:rFonts w:asciiTheme="minorHAnsi" w:hAnsiTheme="minorHAnsi" w:cs="Arial"/>
              </w:rPr>
              <w:t>Recommendation was rescinded by the PBAC with the support from the sponsor.</w:t>
            </w:r>
          </w:p>
        </w:tc>
      </w:tr>
    </w:tbl>
    <w:p w14:paraId="2FD4C11F" w14:textId="7EA68E21" w:rsidR="00FB3935" w:rsidRDefault="00FB3935"/>
    <w:p w14:paraId="56A78172" w14:textId="77777777" w:rsidR="00FB3935" w:rsidRDefault="00FB3935">
      <w:r>
        <w:br w:type="page"/>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8"/>
        <w:gridCol w:w="1699"/>
        <w:gridCol w:w="2694"/>
        <w:gridCol w:w="8313"/>
      </w:tblGrid>
      <w:tr w:rsidR="00FB3935" w:rsidRPr="00567D48" w14:paraId="187CE595" w14:textId="77777777" w:rsidTr="00567D48">
        <w:trPr>
          <w:cantSplit/>
          <w:trHeight w:val="58"/>
          <w:tblHeader/>
        </w:trPr>
        <w:tc>
          <w:tcPr>
            <w:tcW w:w="873" w:type="pct"/>
            <w:shd w:val="clear" w:color="auto" w:fill="auto"/>
          </w:tcPr>
          <w:p w14:paraId="6F66CD5B" w14:textId="77777777" w:rsidR="00FB3935" w:rsidRPr="00567D48" w:rsidRDefault="00FB3935" w:rsidP="00F3265E">
            <w:pPr>
              <w:keepLines/>
              <w:widowControl w:val="0"/>
              <w:spacing w:after="120"/>
              <w:jc w:val="center"/>
              <w:rPr>
                <w:rFonts w:asciiTheme="minorHAnsi" w:hAnsiTheme="minorHAnsi" w:cs="Arial"/>
                <w:b/>
              </w:rPr>
            </w:pPr>
            <w:r w:rsidRPr="00567D48">
              <w:rPr>
                <w:rFonts w:asciiTheme="minorHAnsi" w:hAnsiTheme="minorHAnsi" w:cs="Arial"/>
                <w:b/>
              </w:rPr>
              <w:lastRenderedPageBreak/>
              <w:t>DRUG NAME, FORM(S), STRENGTH(S), SPONSOR, TYPE OF SUBMISSION</w:t>
            </w:r>
          </w:p>
        </w:tc>
        <w:tc>
          <w:tcPr>
            <w:tcW w:w="552" w:type="pct"/>
            <w:shd w:val="clear" w:color="auto" w:fill="auto"/>
          </w:tcPr>
          <w:p w14:paraId="55E10016" w14:textId="77777777" w:rsidR="00FB3935" w:rsidRPr="00567D48" w:rsidRDefault="00FB3935" w:rsidP="00F3265E">
            <w:pPr>
              <w:keepLines/>
              <w:widowControl w:val="0"/>
              <w:spacing w:after="120"/>
              <w:jc w:val="center"/>
              <w:rPr>
                <w:rFonts w:asciiTheme="minorHAnsi" w:hAnsiTheme="minorHAnsi" w:cs="Arial"/>
                <w:b/>
              </w:rPr>
            </w:pPr>
            <w:r w:rsidRPr="00567D48">
              <w:rPr>
                <w:rFonts w:asciiTheme="minorHAnsi" w:hAnsiTheme="minorHAnsi" w:cs="Arial"/>
                <w:b/>
              </w:rPr>
              <w:t>DRUG TYPE AND USE</w:t>
            </w:r>
          </w:p>
          <w:p w14:paraId="33CD38B7" w14:textId="77777777" w:rsidR="00FB3935" w:rsidRPr="00567D48" w:rsidRDefault="00FB3935" w:rsidP="00F3265E">
            <w:pPr>
              <w:keepLines/>
              <w:widowControl w:val="0"/>
              <w:spacing w:after="120"/>
              <w:jc w:val="center"/>
              <w:rPr>
                <w:rFonts w:asciiTheme="minorHAnsi" w:hAnsiTheme="minorHAnsi" w:cs="Arial"/>
                <w:b/>
              </w:rPr>
            </w:pPr>
          </w:p>
        </w:tc>
        <w:tc>
          <w:tcPr>
            <w:tcW w:w="875" w:type="pct"/>
            <w:shd w:val="clear" w:color="auto" w:fill="auto"/>
          </w:tcPr>
          <w:p w14:paraId="63058D75" w14:textId="77777777" w:rsidR="00FB3935" w:rsidRPr="00567D48" w:rsidRDefault="00FB3935" w:rsidP="00F3265E">
            <w:pPr>
              <w:keepLines/>
              <w:widowControl w:val="0"/>
              <w:spacing w:after="120"/>
              <w:jc w:val="center"/>
              <w:rPr>
                <w:rFonts w:asciiTheme="minorHAnsi" w:hAnsiTheme="minorHAnsi" w:cs="Arial"/>
                <w:b/>
              </w:rPr>
            </w:pPr>
            <w:r w:rsidRPr="00567D48">
              <w:rPr>
                <w:rFonts w:asciiTheme="minorHAnsi" w:hAnsiTheme="minorHAnsi" w:cs="Arial"/>
                <w:b/>
              </w:rPr>
              <w:t>LISTING REQUESTED BY SPONSOR / PURPOSE OF SUBMISSION</w:t>
            </w:r>
          </w:p>
        </w:tc>
        <w:tc>
          <w:tcPr>
            <w:tcW w:w="2700" w:type="pct"/>
            <w:shd w:val="clear" w:color="auto" w:fill="auto"/>
          </w:tcPr>
          <w:p w14:paraId="6710BE8F" w14:textId="77777777" w:rsidR="00FB3935" w:rsidRPr="00567D48" w:rsidRDefault="00FB3935" w:rsidP="00F3265E">
            <w:pPr>
              <w:keepLines/>
              <w:spacing w:after="120"/>
              <w:jc w:val="center"/>
              <w:rPr>
                <w:rFonts w:asciiTheme="minorHAnsi" w:hAnsiTheme="minorHAnsi" w:cs="Arial"/>
                <w:b/>
              </w:rPr>
            </w:pPr>
            <w:r w:rsidRPr="00567D48">
              <w:rPr>
                <w:rFonts w:asciiTheme="minorHAnsi" w:hAnsiTheme="minorHAnsi" w:cs="Arial"/>
                <w:b/>
              </w:rPr>
              <w:t>PBAC OUTCOME</w:t>
            </w:r>
          </w:p>
          <w:p w14:paraId="086B53DC" w14:textId="77777777" w:rsidR="00FB3935" w:rsidRPr="00567D48" w:rsidRDefault="00FB3935" w:rsidP="00F3265E">
            <w:pPr>
              <w:keepLines/>
              <w:spacing w:after="120"/>
              <w:jc w:val="center"/>
              <w:rPr>
                <w:rFonts w:asciiTheme="minorHAnsi" w:hAnsiTheme="minorHAnsi" w:cs="Arial"/>
                <w:b/>
              </w:rPr>
            </w:pPr>
          </w:p>
        </w:tc>
      </w:tr>
      <w:tr w:rsidR="008D62B4" w:rsidRPr="00567D48" w14:paraId="1E11771C" w14:textId="77777777" w:rsidTr="00567D48">
        <w:trPr>
          <w:cantSplit/>
          <w:trHeight w:val="58"/>
        </w:trPr>
        <w:tc>
          <w:tcPr>
            <w:tcW w:w="873" w:type="pct"/>
            <w:shd w:val="clear" w:color="auto" w:fill="auto"/>
          </w:tcPr>
          <w:p w14:paraId="63287961" w14:textId="55EC0F28" w:rsidR="008D62B4" w:rsidRPr="008D62B4" w:rsidRDefault="009B6013" w:rsidP="008D62B4">
            <w:pPr>
              <w:keepLines/>
              <w:widowControl w:val="0"/>
              <w:jc w:val="center"/>
              <w:rPr>
                <w:rFonts w:asciiTheme="minorHAnsi" w:hAnsiTheme="minorHAnsi" w:cstheme="minorHAnsi"/>
              </w:rPr>
            </w:pPr>
            <w:r w:rsidRPr="008D62B4">
              <w:rPr>
                <w:rFonts w:asciiTheme="minorHAnsi" w:hAnsiTheme="minorHAnsi" w:cstheme="minorHAnsi"/>
              </w:rPr>
              <w:t>IVERMECTIN</w:t>
            </w:r>
          </w:p>
          <w:p w14:paraId="22C5711B" w14:textId="77777777" w:rsidR="008D62B4" w:rsidRPr="008D62B4" w:rsidRDefault="008D62B4" w:rsidP="008D62B4">
            <w:pPr>
              <w:keepLines/>
              <w:widowControl w:val="0"/>
              <w:jc w:val="center"/>
              <w:rPr>
                <w:rFonts w:asciiTheme="minorHAnsi" w:hAnsiTheme="minorHAnsi" w:cstheme="minorHAnsi"/>
              </w:rPr>
            </w:pPr>
          </w:p>
          <w:p w14:paraId="0B90DDBF" w14:textId="77777777" w:rsidR="008D62B4" w:rsidRPr="008D62B4" w:rsidRDefault="008D62B4" w:rsidP="008D62B4">
            <w:pPr>
              <w:keepLines/>
              <w:widowControl w:val="0"/>
              <w:jc w:val="center"/>
              <w:rPr>
                <w:rFonts w:asciiTheme="minorHAnsi" w:hAnsiTheme="minorHAnsi" w:cstheme="minorHAnsi"/>
              </w:rPr>
            </w:pPr>
            <w:r w:rsidRPr="008D62B4">
              <w:rPr>
                <w:rFonts w:asciiTheme="minorHAnsi" w:hAnsiTheme="minorHAnsi" w:cstheme="minorHAnsi"/>
              </w:rPr>
              <w:t>Tablet 3 mg, 4</w:t>
            </w:r>
          </w:p>
          <w:p w14:paraId="4F97A00F" w14:textId="77777777" w:rsidR="008D62B4" w:rsidRPr="008D62B4" w:rsidRDefault="008D62B4" w:rsidP="008D62B4">
            <w:pPr>
              <w:keepLines/>
              <w:widowControl w:val="0"/>
              <w:jc w:val="center"/>
              <w:rPr>
                <w:rFonts w:asciiTheme="minorHAnsi" w:hAnsiTheme="minorHAnsi" w:cstheme="minorHAnsi"/>
              </w:rPr>
            </w:pPr>
          </w:p>
          <w:p w14:paraId="06E437B8" w14:textId="34FCB435" w:rsidR="008D62B4" w:rsidRPr="008D62B4" w:rsidRDefault="008D62B4" w:rsidP="008D62B4">
            <w:pPr>
              <w:keepLines/>
              <w:widowControl w:val="0"/>
              <w:jc w:val="center"/>
              <w:rPr>
                <w:rFonts w:asciiTheme="minorHAnsi" w:hAnsiTheme="minorHAnsi" w:cstheme="minorHAnsi"/>
              </w:rPr>
            </w:pPr>
            <w:proofErr w:type="spellStart"/>
            <w:r w:rsidRPr="008D62B4">
              <w:rPr>
                <w:rFonts w:asciiTheme="minorHAnsi" w:hAnsiTheme="minorHAnsi" w:cstheme="minorHAnsi"/>
              </w:rPr>
              <w:t>Stromectol</w:t>
            </w:r>
            <w:proofErr w:type="spellEnd"/>
            <w:r w:rsidRPr="008D62B4">
              <w:rPr>
                <w:rFonts w:asciiTheme="minorHAnsi" w:hAnsiTheme="minorHAnsi" w:cstheme="minorHAnsi"/>
              </w:rPr>
              <w:t>®</w:t>
            </w:r>
          </w:p>
          <w:p w14:paraId="7C3A4044" w14:textId="77777777" w:rsidR="008D62B4" w:rsidRPr="008D62B4" w:rsidRDefault="008D62B4" w:rsidP="008D62B4">
            <w:pPr>
              <w:keepLines/>
              <w:widowControl w:val="0"/>
              <w:jc w:val="center"/>
              <w:rPr>
                <w:rFonts w:asciiTheme="minorHAnsi" w:hAnsiTheme="minorHAnsi" w:cstheme="minorHAnsi"/>
              </w:rPr>
            </w:pPr>
          </w:p>
          <w:p w14:paraId="61C07A45" w14:textId="77777777" w:rsidR="008D62B4" w:rsidRPr="008D62B4" w:rsidRDefault="008D62B4" w:rsidP="008D62B4">
            <w:pPr>
              <w:keepLines/>
              <w:widowControl w:val="0"/>
              <w:jc w:val="center"/>
              <w:rPr>
                <w:rFonts w:asciiTheme="minorHAnsi" w:hAnsiTheme="minorHAnsi" w:cstheme="minorHAnsi"/>
              </w:rPr>
            </w:pPr>
            <w:r w:rsidRPr="008D62B4">
              <w:rPr>
                <w:rFonts w:asciiTheme="minorHAnsi" w:hAnsiTheme="minorHAnsi" w:cstheme="minorHAnsi"/>
              </w:rPr>
              <w:t>Merck Sharp &amp; Dohme (Australia) Pty Ltd</w:t>
            </w:r>
          </w:p>
          <w:p w14:paraId="301F95CA" w14:textId="77777777" w:rsidR="008D62B4" w:rsidRPr="008D62B4" w:rsidRDefault="008D62B4" w:rsidP="008D62B4">
            <w:pPr>
              <w:keepLines/>
              <w:widowControl w:val="0"/>
              <w:jc w:val="center"/>
              <w:rPr>
                <w:rFonts w:asciiTheme="minorHAnsi" w:hAnsiTheme="minorHAnsi" w:cstheme="minorHAnsi"/>
              </w:rPr>
            </w:pPr>
          </w:p>
          <w:p w14:paraId="2A91F563" w14:textId="46C22F5D" w:rsidR="008D62B4" w:rsidRPr="008D62B4" w:rsidRDefault="008D62B4" w:rsidP="008D62B4">
            <w:pPr>
              <w:keepLines/>
              <w:widowControl w:val="0"/>
              <w:spacing w:after="120"/>
              <w:jc w:val="center"/>
              <w:rPr>
                <w:rFonts w:asciiTheme="minorHAnsi" w:hAnsiTheme="minorHAnsi" w:cstheme="minorHAnsi"/>
              </w:rPr>
            </w:pPr>
            <w:r w:rsidRPr="008D62B4">
              <w:rPr>
                <w:rFonts w:asciiTheme="minorHAnsi" w:hAnsiTheme="minorHAnsi" w:cstheme="minorHAnsi"/>
              </w:rPr>
              <w:t>(Other business)</w:t>
            </w:r>
          </w:p>
        </w:tc>
        <w:tc>
          <w:tcPr>
            <w:tcW w:w="552" w:type="pct"/>
            <w:shd w:val="clear" w:color="auto" w:fill="auto"/>
          </w:tcPr>
          <w:p w14:paraId="3C7FADA8" w14:textId="229FD97B" w:rsidR="008D62B4" w:rsidRPr="008D62B4" w:rsidRDefault="008D62B4" w:rsidP="008D62B4">
            <w:pPr>
              <w:keepLines/>
              <w:widowControl w:val="0"/>
              <w:spacing w:after="120"/>
              <w:jc w:val="center"/>
              <w:rPr>
                <w:rFonts w:asciiTheme="minorHAnsi" w:hAnsiTheme="minorHAnsi" w:cstheme="minorHAnsi"/>
              </w:rPr>
            </w:pPr>
            <w:r w:rsidRPr="008D62B4">
              <w:rPr>
                <w:rFonts w:asciiTheme="minorHAnsi" w:hAnsiTheme="minorHAnsi" w:cstheme="minorHAnsi"/>
              </w:rPr>
              <w:t>Scabies</w:t>
            </w:r>
          </w:p>
        </w:tc>
        <w:tc>
          <w:tcPr>
            <w:tcW w:w="875" w:type="pct"/>
            <w:shd w:val="clear" w:color="auto" w:fill="auto"/>
          </w:tcPr>
          <w:p w14:paraId="0935E5F1" w14:textId="691331EA" w:rsidR="008D62B4" w:rsidRPr="008D62B4" w:rsidRDefault="008D62B4" w:rsidP="0075603B">
            <w:pPr>
              <w:keepLines/>
              <w:widowControl w:val="0"/>
              <w:spacing w:after="120"/>
              <w:jc w:val="center"/>
              <w:rPr>
                <w:rFonts w:asciiTheme="minorHAnsi" w:hAnsiTheme="minorHAnsi" w:cstheme="minorHAnsi"/>
              </w:rPr>
            </w:pPr>
            <w:r w:rsidRPr="008D62B4">
              <w:rPr>
                <w:rFonts w:asciiTheme="minorHAnsi" w:hAnsiTheme="minorHAnsi" w:cstheme="minorHAnsi"/>
              </w:rPr>
              <w:t>To seek PBAC recommendation on whether it would be appropriate to amend the current PBS restriction for ivermectin (</w:t>
            </w:r>
            <w:proofErr w:type="spellStart"/>
            <w:r w:rsidRPr="008D62B4">
              <w:rPr>
                <w:rFonts w:asciiTheme="minorHAnsi" w:hAnsiTheme="minorHAnsi" w:cstheme="minorHAnsi"/>
              </w:rPr>
              <w:t>Stromectol</w:t>
            </w:r>
            <w:proofErr w:type="spellEnd"/>
            <w:r w:rsidRPr="008D62B4">
              <w:rPr>
                <w:rFonts w:asciiTheme="minorHAnsi" w:hAnsiTheme="minorHAnsi" w:cstheme="minorHAnsi"/>
              </w:rPr>
              <w:t>) for treatment of human sarcoptic (typical) scabies to remove the requirement for prior failure of, or contraindication to, topical therapy for the Aboriginal and Torres Strait Islander population.</w:t>
            </w:r>
          </w:p>
        </w:tc>
        <w:tc>
          <w:tcPr>
            <w:tcW w:w="2700" w:type="pct"/>
            <w:shd w:val="clear" w:color="auto" w:fill="auto"/>
          </w:tcPr>
          <w:p w14:paraId="73C31535" w14:textId="2F0D8718" w:rsidR="008D62B4" w:rsidRPr="008D62B4" w:rsidRDefault="008D62B4" w:rsidP="008D62B4">
            <w:pPr>
              <w:pStyle w:val="NoSpacing"/>
              <w:rPr>
                <w:sz w:val="20"/>
                <w:szCs w:val="20"/>
              </w:rPr>
            </w:pPr>
            <w:r w:rsidRPr="008D62B4">
              <w:rPr>
                <w:color w:val="000000"/>
                <w:sz w:val="20"/>
                <w:szCs w:val="20"/>
                <w:shd w:val="clear" w:color="auto" w:fill="FFFFFF"/>
              </w:rPr>
              <w:t>The PBAC recommended to extend the listing of ivermectin 3 mg tablets for the treatment of human sarcoptic (typical) scabies for patients who identify as Aboriginal and Torres Strait Islander, removing the requirement to have first failed, or be contraindicated to, topical therapy. In making its recommendation, the PBAC took into consideration, among other matters, the clinical need of the patient population and the compliance and tolerability issues experienced with the existing topical therapies.</w:t>
            </w:r>
          </w:p>
        </w:tc>
      </w:tr>
      <w:tr w:rsidR="008D62B4" w:rsidRPr="00567D48" w14:paraId="407D794F" w14:textId="77777777" w:rsidTr="00567D48">
        <w:trPr>
          <w:cantSplit/>
          <w:trHeight w:val="58"/>
        </w:trPr>
        <w:tc>
          <w:tcPr>
            <w:tcW w:w="873" w:type="pct"/>
            <w:shd w:val="clear" w:color="auto" w:fill="auto"/>
          </w:tcPr>
          <w:p w14:paraId="15B4D9D1" w14:textId="75719550" w:rsidR="008D62B4" w:rsidRPr="008D62B4" w:rsidRDefault="008D62B4" w:rsidP="008D62B4">
            <w:pPr>
              <w:keepLines/>
              <w:widowControl w:val="0"/>
              <w:spacing w:after="120"/>
              <w:jc w:val="center"/>
              <w:rPr>
                <w:rFonts w:asciiTheme="minorHAnsi" w:hAnsiTheme="minorHAnsi" w:cstheme="minorHAnsi"/>
              </w:rPr>
            </w:pPr>
            <w:r w:rsidRPr="008D62B4">
              <w:rPr>
                <w:rFonts w:asciiTheme="minorHAnsi" w:hAnsiTheme="minorHAnsi" w:cstheme="minorHAnsi"/>
              </w:rPr>
              <w:t>Recommendation 65 of the Royal Commission into Aged Care Quality and Safety Final Report</w:t>
            </w:r>
          </w:p>
        </w:tc>
        <w:tc>
          <w:tcPr>
            <w:tcW w:w="552" w:type="pct"/>
            <w:shd w:val="clear" w:color="auto" w:fill="auto"/>
          </w:tcPr>
          <w:p w14:paraId="5614DB00" w14:textId="217A1AE5" w:rsidR="008D62B4" w:rsidRPr="008D62B4" w:rsidRDefault="008D62B4" w:rsidP="008D62B4">
            <w:pPr>
              <w:keepLines/>
              <w:widowControl w:val="0"/>
              <w:spacing w:after="120"/>
              <w:jc w:val="center"/>
              <w:rPr>
                <w:rFonts w:asciiTheme="minorHAnsi" w:hAnsiTheme="minorHAnsi" w:cstheme="minorHAnsi"/>
              </w:rPr>
            </w:pPr>
            <w:r w:rsidRPr="008D62B4">
              <w:rPr>
                <w:rFonts w:asciiTheme="minorHAnsi" w:hAnsiTheme="minorHAnsi" w:cstheme="minorHAnsi"/>
              </w:rPr>
              <w:t>Antipsychotic medications</w:t>
            </w:r>
          </w:p>
        </w:tc>
        <w:tc>
          <w:tcPr>
            <w:tcW w:w="875" w:type="pct"/>
            <w:shd w:val="clear" w:color="auto" w:fill="auto"/>
          </w:tcPr>
          <w:p w14:paraId="7922720D" w14:textId="64668E58" w:rsidR="008D62B4" w:rsidRPr="008D62B4" w:rsidRDefault="008D62B4" w:rsidP="008D62B4">
            <w:pPr>
              <w:keepLines/>
              <w:widowControl w:val="0"/>
              <w:spacing w:after="120"/>
              <w:jc w:val="center"/>
              <w:rPr>
                <w:rFonts w:asciiTheme="minorHAnsi" w:hAnsiTheme="minorHAnsi" w:cstheme="minorHAnsi"/>
              </w:rPr>
            </w:pPr>
            <w:r w:rsidRPr="008D62B4">
              <w:rPr>
                <w:rFonts w:asciiTheme="minorHAnsi" w:hAnsiTheme="minorHAnsi" w:cstheme="minorHAnsi"/>
              </w:rPr>
              <w:t>To seek PBAC recommendation on whether amendments to PBS listings of antipsychotic medications are appropriate in light of Recommendation 65 of the Royal Commission into Aged Care Quality and Safety's Final Report.</w:t>
            </w:r>
          </w:p>
        </w:tc>
        <w:tc>
          <w:tcPr>
            <w:tcW w:w="2700" w:type="pct"/>
            <w:shd w:val="clear" w:color="auto" w:fill="auto"/>
          </w:tcPr>
          <w:p w14:paraId="4D6FA6ED" w14:textId="77777777" w:rsidR="008D62B4" w:rsidRPr="008D62B4" w:rsidRDefault="008D62B4" w:rsidP="008D62B4">
            <w:pPr>
              <w:pStyle w:val="NoSpacing"/>
              <w:rPr>
                <w:sz w:val="20"/>
                <w:szCs w:val="20"/>
              </w:rPr>
            </w:pPr>
            <w:r w:rsidRPr="008D62B4">
              <w:rPr>
                <w:sz w:val="20"/>
                <w:szCs w:val="20"/>
              </w:rPr>
              <w:t>The PBAC did not recommend making amendments to PBS listings of antipsychotic medications per Recommendation 65 of the Royal Commission into Aged Care Quality and Safety Final Report. Following consultation with stakeholders, the PBAC considered Recommendation 65 is not implementable at present due to substantial risk of unintended consequences. The PBAC noted that changes already made to the PBS restrictions for risperidone, the only medicine registered in Australia for the treatment of behavioural and psychological symptoms of dementia, have reduced utilisation. The PBAC will continue to monitor the use of antipsychotics in aged care.</w:t>
            </w:r>
          </w:p>
          <w:p w14:paraId="4F63AD96" w14:textId="77777777" w:rsidR="008D62B4" w:rsidRPr="008D62B4" w:rsidRDefault="008D62B4" w:rsidP="008D62B4">
            <w:pPr>
              <w:pStyle w:val="NoSpacing"/>
              <w:rPr>
                <w:sz w:val="20"/>
                <w:szCs w:val="20"/>
              </w:rPr>
            </w:pPr>
          </w:p>
          <w:p w14:paraId="397E61DF" w14:textId="77777777" w:rsidR="008D62B4" w:rsidRPr="008D62B4" w:rsidRDefault="008D62B4" w:rsidP="008D62B4">
            <w:pPr>
              <w:rPr>
                <w:rFonts w:asciiTheme="minorHAnsi" w:hAnsiTheme="minorHAnsi" w:cstheme="minorHAnsi"/>
              </w:rPr>
            </w:pPr>
          </w:p>
        </w:tc>
      </w:tr>
      <w:tr w:rsidR="008D62B4" w:rsidRPr="00567D48" w14:paraId="1B3EE3E1" w14:textId="77777777" w:rsidTr="00567D48">
        <w:trPr>
          <w:cantSplit/>
          <w:trHeight w:val="58"/>
        </w:trPr>
        <w:tc>
          <w:tcPr>
            <w:tcW w:w="873" w:type="pct"/>
            <w:shd w:val="clear" w:color="auto" w:fill="auto"/>
          </w:tcPr>
          <w:p w14:paraId="24A5FED2" w14:textId="6C4742A8" w:rsidR="008D62B4" w:rsidRPr="00567D48" w:rsidRDefault="008D62B4" w:rsidP="008D62B4">
            <w:pPr>
              <w:keepLines/>
              <w:widowControl w:val="0"/>
              <w:spacing w:after="120"/>
              <w:jc w:val="center"/>
              <w:rPr>
                <w:rFonts w:asciiTheme="minorHAnsi" w:hAnsiTheme="minorHAnsi" w:cs="Arial"/>
                <w:snapToGrid w:val="0"/>
                <w:highlight w:val="yellow"/>
              </w:rPr>
            </w:pPr>
            <w:r w:rsidRPr="00567D48">
              <w:rPr>
                <w:rFonts w:asciiTheme="minorHAnsi" w:hAnsiTheme="minorHAnsi" w:cstheme="minorHAnsi"/>
              </w:rPr>
              <w:lastRenderedPageBreak/>
              <w:t>Review of PBS Authority Required (Written) listings – Tranches 4 and 5</w:t>
            </w:r>
          </w:p>
        </w:tc>
        <w:tc>
          <w:tcPr>
            <w:tcW w:w="552" w:type="pct"/>
            <w:shd w:val="clear" w:color="auto" w:fill="auto"/>
          </w:tcPr>
          <w:p w14:paraId="0F2D834D" w14:textId="04D508D1" w:rsidR="008D62B4" w:rsidRPr="00567D48" w:rsidRDefault="008D62B4" w:rsidP="008D62B4">
            <w:pPr>
              <w:keepLines/>
              <w:widowControl w:val="0"/>
              <w:spacing w:after="120"/>
              <w:jc w:val="center"/>
              <w:rPr>
                <w:rFonts w:asciiTheme="minorHAnsi" w:hAnsiTheme="minorHAnsi" w:cs="Arial"/>
                <w:snapToGrid w:val="0"/>
                <w:highlight w:val="yellow"/>
              </w:rPr>
            </w:pPr>
            <w:r w:rsidRPr="00567D48">
              <w:rPr>
                <w:rFonts w:asciiTheme="minorHAnsi" w:hAnsiTheme="minorHAnsi" w:cstheme="minorHAnsi"/>
              </w:rPr>
              <w:t xml:space="preserve">Medicines for the treatment of cardiovascular, blood and hormone conditions, neurological disorders, ocular and rare diseases </w:t>
            </w:r>
          </w:p>
        </w:tc>
        <w:tc>
          <w:tcPr>
            <w:tcW w:w="875" w:type="pct"/>
            <w:shd w:val="clear" w:color="auto" w:fill="auto"/>
          </w:tcPr>
          <w:p w14:paraId="6012DF9C" w14:textId="63DA3508" w:rsidR="008D62B4" w:rsidRPr="00567D48" w:rsidRDefault="008D62B4" w:rsidP="008D62B4">
            <w:pPr>
              <w:keepLines/>
              <w:widowControl w:val="0"/>
              <w:spacing w:after="120"/>
              <w:jc w:val="center"/>
              <w:rPr>
                <w:rFonts w:asciiTheme="minorHAnsi" w:hAnsiTheme="minorHAnsi" w:cs="Arial"/>
                <w:bCs/>
                <w:snapToGrid w:val="0"/>
                <w:color w:val="000000"/>
                <w:highlight w:val="yellow"/>
              </w:rPr>
            </w:pPr>
            <w:r w:rsidRPr="00567D48">
              <w:rPr>
                <w:rFonts w:asciiTheme="minorHAnsi" w:hAnsiTheme="minorHAnsi" w:cstheme="minorHAnsi"/>
              </w:rPr>
              <w:t>To request that the Pharmaceutical Benefit Advisory Committee (PBAC) consider the Authority Required (Written) restriction level for PBS-listed medicines (Tranches 4 &amp; 5) and recommend any required amendments.</w:t>
            </w:r>
          </w:p>
        </w:tc>
        <w:tc>
          <w:tcPr>
            <w:tcW w:w="2700" w:type="pct"/>
            <w:shd w:val="clear" w:color="auto" w:fill="auto"/>
          </w:tcPr>
          <w:p w14:paraId="45317083" w14:textId="77777777" w:rsidR="008D62B4" w:rsidRPr="00567D48" w:rsidRDefault="008D62B4" w:rsidP="008D62B4">
            <w:pPr>
              <w:rPr>
                <w:rFonts w:asciiTheme="minorHAnsi" w:hAnsiTheme="minorHAnsi" w:cstheme="minorHAnsi"/>
              </w:rPr>
            </w:pPr>
            <w:r w:rsidRPr="00567D48">
              <w:rPr>
                <w:rFonts w:asciiTheme="minorHAnsi" w:hAnsiTheme="minorHAnsi" w:cstheme="minorHAnsi"/>
              </w:rPr>
              <w:t xml:space="preserve">The PBAC noted the key Review findings from the PBS Authority Required (Written) listings report, which included an analysis of PBS utilisation data for Tranche 4 and 5 medicines. The PBAC also noted the input provided by sponsors through submission of pre-subcommittee responses (PSCRs) on the written authority level of their Tranche 4 and 5 medicine(s). </w:t>
            </w:r>
          </w:p>
          <w:p w14:paraId="14B62E0E" w14:textId="77777777" w:rsidR="008D62B4" w:rsidRPr="00567D48" w:rsidRDefault="008D62B4" w:rsidP="008D62B4">
            <w:pPr>
              <w:rPr>
                <w:rFonts w:asciiTheme="minorHAnsi" w:hAnsiTheme="minorHAnsi" w:cstheme="minorHAnsi"/>
              </w:rPr>
            </w:pPr>
          </w:p>
          <w:p w14:paraId="2C11881C" w14:textId="77777777" w:rsidR="008D62B4" w:rsidRPr="00567D48" w:rsidRDefault="008D62B4" w:rsidP="008D62B4">
            <w:pPr>
              <w:rPr>
                <w:rFonts w:asciiTheme="minorHAnsi" w:hAnsiTheme="minorHAnsi" w:cstheme="minorHAnsi"/>
              </w:rPr>
            </w:pPr>
            <w:r w:rsidRPr="00567D48">
              <w:rPr>
                <w:rFonts w:asciiTheme="minorHAnsi" w:hAnsiTheme="minorHAnsi" w:cstheme="minorHAnsi"/>
              </w:rPr>
              <w:t>The PBAC applied the following key criteria to assist in determining the requirement to maintain a written Authority level of restriction:</w:t>
            </w:r>
          </w:p>
          <w:p w14:paraId="379F566A" w14:textId="77777777" w:rsidR="008D62B4" w:rsidRPr="00567D48" w:rsidRDefault="008D62B4" w:rsidP="008D62B4">
            <w:pPr>
              <w:rPr>
                <w:rFonts w:asciiTheme="minorHAnsi" w:hAnsiTheme="minorHAnsi" w:cstheme="minorHAnsi"/>
              </w:rPr>
            </w:pPr>
            <w:r w:rsidRPr="00567D48">
              <w:rPr>
                <w:rFonts w:asciiTheme="minorHAnsi" w:hAnsiTheme="minorHAnsi" w:cstheme="minorHAnsi"/>
              </w:rPr>
              <w:t xml:space="preserve">(1) Potential for use in a population in which the medicine is not cost-effective or where the PBAC has not determined the comparative effectiveness and cost; and (2) Potential for high cost per patient or high total cost to the health system and the government’s budget. The PBAC also considered the following factors: quality use of medicines (QUM), safety, and administrative burden. </w:t>
            </w:r>
          </w:p>
          <w:p w14:paraId="76C2FBD8" w14:textId="77777777" w:rsidR="008D62B4" w:rsidRPr="00567D48" w:rsidRDefault="008D62B4" w:rsidP="008D62B4">
            <w:pPr>
              <w:rPr>
                <w:rFonts w:asciiTheme="minorHAnsi" w:hAnsiTheme="minorHAnsi" w:cstheme="minorHAnsi"/>
              </w:rPr>
            </w:pPr>
          </w:p>
          <w:p w14:paraId="4F195E2E" w14:textId="7ABC12E7" w:rsidR="008D62B4" w:rsidRPr="00567D48" w:rsidRDefault="008D62B4" w:rsidP="008D62B4">
            <w:pPr>
              <w:keepLines/>
              <w:widowControl w:val="0"/>
              <w:spacing w:after="120"/>
              <w:rPr>
                <w:rFonts w:asciiTheme="minorHAnsi" w:hAnsiTheme="minorHAnsi" w:cs="Arial"/>
                <w:bCs/>
                <w:snapToGrid w:val="0"/>
                <w:highlight w:val="yellow"/>
              </w:rPr>
            </w:pPr>
            <w:r w:rsidRPr="00567D48">
              <w:rPr>
                <w:rFonts w:asciiTheme="minorHAnsi" w:hAnsiTheme="minorHAnsi" w:cstheme="minorHAnsi"/>
              </w:rPr>
              <w:t>Overall, the PBAC accepted the DUSC October 2021 advice on the need to amend or maintain the current written Authority level of each medicine and made the following recommendations:</w:t>
            </w:r>
          </w:p>
        </w:tc>
      </w:tr>
      <w:tr w:rsidR="008D62B4" w:rsidRPr="00567D48" w14:paraId="7C1324B9" w14:textId="77777777" w:rsidTr="00567D48">
        <w:trPr>
          <w:cantSplit/>
          <w:trHeight w:val="58"/>
        </w:trPr>
        <w:tc>
          <w:tcPr>
            <w:tcW w:w="873" w:type="pct"/>
            <w:shd w:val="clear" w:color="auto" w:fill="auto"/>
          </w:tcPr>
          <w:p w14:paraId="063FEC00" w14:textId="1C2E2161" w:rsidR="008D62B4" w:rsidRPr="00567D48" w:rsidRDefault="008D62B4" w:rsidP="008D62B4">
            <w:pPr>
              <w:keepLines/>
              <w:widowControl w:val="0"/>
              <w:spacing w:after="120"/>
              <w:jc w:val="center"/>
              <w:rPr>
                <w:rFonts w:asciiTheme="minorHAnsi" w:hAnsiTheme="minorHAnsi" w:cs="Arial"/>
                <w:snapToGrid w:val="0"/>
                <w:highlight w:val="yellow"/>
              </w:rPr>
            </w:pPr>
            <w:r w:rsidRPr="00567D48">
              <w:rPr>
                <w:rFonts w:asciiTheme="minorHAnsi" w:hAnsiTheme="minorHAnsi" w:cstheme="minorHAnsi"/>
              </w:rPr>
              <w:t xml:space="preserve">1. </w:t>
            </w:r>
            <w:proofErr w:type="spellStart"/>
            <w:r w:rsidRPr="00567D48">
              <w:rPr>
                <w:rFonts w:asciiTheme="minorHAnsi" w:hAnsiTheme="minorHAnsi" w:cstheme="minorHAnsi"/>
              </w:rPr>
              <w:t>Riociguat</w:t>
            </w:r>
            <w:proofErr w:type="spellEnd"/>
            <w:r w:rsidRPr="00567D48">
              <w:rPr>
                <w:rFonts w:asciiTheme="minorHAnsi" w:hAnsiTheme="minorHAnsi" w:cstheme="minorHAnsi"/>
              </w:rPr>
              <w:t xml:space="preserve"> </w:t>
            </w:r>
          </w:p>
        </w:tc>
        <w:tc>
          <w:tcPr>
            <w:tcW w:w="552" w:type="pct"/>
            <w:shd w:val="clear" w:color="auto" w:fill="auto"/>
          </w:tcPr>
          <w:p w14:paraId="5D4D6DE7" w14:textId="30C34AA6" w:rsidR="008D62B4" w:rsidRPr="00567D48" w:rsidRDefault="008D62B4" w:rsidP="008D62B4">
            <w:pPr>
              <w:keepLines/>
              <w:widowControl w:val="0"/>
              <w:spacing w:after="120"/>
              <w:jc w:val="center"/>
              <w:rPr>
                <w:rFonts w:asciiTheme="minorHAnsi" w:hAnsiTheme="minorHAnsi" w:cs="Arial"/>
                <w:snapToGrid w:val="0"/>
                <w:highlight w:val="yellow"/>
              </w:rPr>
            </w:pPr>
            <w:r w:rsidRPr="00567D48">
              <w:rPr>
                <w:rFonts w:asciiTheme="minorHAnsi" w:hAnsiTheme="minorHAnsi" w:cstheme="minorHAnsi"/>
              </w:rPr>
              <w:t>1. Chronic thromboembolic pulmonary hypertension (CTEPH)</w:t>
            </w:r>
          </w:p>
        </w:tc>
        <w:tc>
          <w:tcPr>
            <w:tcW w:w="875" w:type="pct"/>
            <w:shd w:val="clear" w:color="auto" w:fill="auto"/>
          </w:tcPr>
          <w:p w14:paraId="7E7E0FB4" w14:textId="77777777" w:rsidR="008D62B4" w:rsidRPr="00567D48" w:rsidRDefault="008D62B4" w:rsidP="008D62B4">
            <w:pPr>
              <w:keepLines/>
              <w:widowControl w:val="0"/>
              <w:spacing w:after="120"/>
              <w:jc w:val="center"/>
              <w:rPr>
                <w:rFonts w:asciiTheme="minorHAnsi" w:hAnsiTheme="minorHAnsi" w:cs="Arial"/>
                <w:bCs/>
                <w:snapToGrid w:val="0"/>
                <w:color w:val="000000"/>
                <w:highlight w:val="yellow"/>
              </w:rPr>
            </w:pPr>
          </w:p>
        </w:tc>
        <w:tc>
          <w:tcPr>
            <w:tcW w:w="2700" w:type="pct"/>
            <w:shd w:val="clear" w:color="auto" w:fill="auto"/>
          </w:tcPr>
          <w:p w14:paraId="38FA2785" w14:textId="77777777" w:rsidR="008D62B4" w:rsidRPr="00567D48" w:rsidRDefault="008D62B4" w:rsidP="008D62B4">
            <w:pPr>
              <w:rPr>
                <w:rFonts w:asciiTheme="minorHAnsi" w:eastAsia="Calibri" w:hAnsiTheme="minorHAnsi" w:cstheme="minorHAnsi"/>
                <w:bCs/>
                <w:u w:val="single"/>
              </w:rPr>
            </w:pPr>
            <w:r w:rsidRPr="00567D48">
              <w:rPr>
                <w:rFonts w:asciiTheme="minorHAnsi" w:eastAsia="Calibri" w:hAnsiTheme="minorHAnsi" w:cstheme="minorHAnsi"/>
                <w:bCs/>
                <w:u w:val="single"/>
              </w:rPr>
              <w:t>1. Chronic thromboembolic pulmonary hypertension (CTEPH):</w:t>
            </w:r>
          </w:p>
          <w:p w14:paraId="6FCAEFEE" w14:textId="77777777" w:rsidR="008D62B4" w:rsidRPr="00567D48" w:rsidRDefault="008D62B4" w:rsidP="008D62B4">
            <w:pPr>
              <w:rPr>
                <w:rFonts w:asciiTheme="minorHAnsi" w:eastAsiaTheme="minorHAnsi" w:hAnsiTheme="minorHAnsi" w:cstheme="minorHAnsi"/>
              </w:rPr>
            </w:pPr>
            <w:r w:rsidRPr="00567D48">
              <w:rPr>
                <w:rFonts w:asciiTheme="minorHAnsi" w:hAnsiTheme="minorHAnsi" w:cstheme="minorHAnsi"/>
              </w:rPr>
              <w:t xml:space="preserve">The PBAC noted that </w:t>
            </w:r>
            <w:proofErr w:type="spellStart"/>
            <w:r w:rsidRPr="00567D48">
              <w:rPr>
                <w:rFonts w:asciiTheme="minorHAnsi" w:hAnsiTheme="minorHAnsi" w:cstheme="minorHAnsi"/>
              </w:rPr>
              <w:t>riociguat</w:t>
            </w:r>
            <w:proofErr w:type="spellEnd"/>
            <w:r w:rsidRPr="00567D48">
              <w:rPr>
                <w:rFonts w:asciiTheme="minorHAnsi" w:hAnsiTheme="minorHAnsi" w:cstheme="minorHAnsi"/>
              </w:rPr>
              <w:t xml:space="preserve"> was the only specific PBS subsidised medicine for the CTEPH indication. The PBAC agreed with DUSC that PBS restrictions for </w:t>
            </w:r>
            <w:proofErr w:type="spellStart"/>
            <w:r w:rsidRPr="00567D48">
              <w:rPr>
                <w:rFonts w:asciiTheme="minorHAnsi" w:hAnsiTheme="minorHAnsi" w:cstheme="minorHAnsi"/>
              </w:rPr>
              <w:t>riociguat</w:t>
            </w:r>
            <w:proofErr w:type="spellEnd"/>
            <w:r w:rsidRPr="00567D48">
              <w:rPr>
                <w:rFonts w:asciiTheme="minorHAnsi" w:hAnsiTheme="minorHAnsi" w:cstheme="minorHAnsi"/>
              </w:rPr>
              <w:t xml:space="preserve"> for CTEPH are more burdensome than for medicines, including </w:t>
            </w:r>
            <w:proofErr w:type="spellStart"/>
            <w:r w:rsidRPr="00567D48">
              <w:rPr>
                <w:rFonts w:asciiTheme="minorHAnsi" w:hAnsiTheme="minorHAnsi" w:cstheme="minorHAnsi"/>
              </w:rPr>
              <w:t>riociguat</w:t>
            </w:r>
            <w:proofErr w:type="spellEnd"/>
            <w:r w:rsidRPr="00567D48">
              <w:rPr>
                <w:rFonts w:asciiTheme="minorHAnsi" w:hAnsiTheme="minorHAnsi" w:cstheme="minorHAnsi"/>
              </w:rPr>
              <w:t>, to treat pulmonary arterial hypertension (PAH) i.e. PAH PBS restrictions are initial treatment Authority Required (Written), continuing treatment Authority Required (Telephone/Electronic).</w:t>
            </w:r>
          </w:p>
          <w:p w14:paraId="57637CC3" w14:textId="77777777" w:rsidR="008D62B4" w:rsidRPr="00567D48" w:rsidRDefault="008D62B4" w:rsidP="008D62B4">
            <w:pPr>
              <w:rPr>
                <w:rFonts w:asciiTheme="minorHAnsi" w:hAnsiTheme="minorHAnsi" w:cstheme="minorHAnsi"/>
              </w:rPr>
            </w:pPr>
          </w:p>
          <w:p w14:paraId="452D75F5" w14:textId="071A0B1E" w:rsidR="008D62B4" w:rsidRPr="00567D48" w:rsidRDefault="008D62B4" w:rsidP="008D62B4">
            <w:pPr>
              <w:keepLines/>
              <w:widowControl w:val="0"/>
              <w:spacing w:after="120"/>
              <w:rPr>
                <w:rFonts w:asciiTheme="minorHAnsi" w:hAnsiTheme="minorHAnsi" w:cs="Arial"/>
                <w:highlight w:val="yellow"/>
              </w:rPr>
            </w:pPr>
            <w:r w:rsidRPr="00567D48">
              <w:rPr>
                <w:rFonts w:asciiTheme="minorHAnsi" w:hAnsiTheme="minorHAnsi" w:cstheme="minorHAnsi"/>
              </w:rPr>
              <w:t xml:space="preserve">The PBAC recommended an amendment to the authority requirements for continuing treatment for </w:t>
            </w:r>
            <w:proofErr w:type="spellStart"/>
            <w:r w:rsidRPr="00567D48">
              <w:rPr>
                <w:rFonts w:asciiTheme="minorHAnsi" w:hAnsiTheme="minorHAnsi" w:cstheme="minorHAnsi"/>
              </w:rPr>
              <w:t>riociguat</w:t>
            </w:r>
            <w:proofErr w:type="spellEnd"/>
            <w:r w:rsidRPr="00567D48">
              <w:rPr>
                <w:rFonts w:asciiTheme="minorHAnsi" w:hAnsiTheme="minorHAnsi" w:cstheme="minorHAnsi"/>
              </w:rPr>
              <w:t xml:space="preserve"> for CTEPH from Authority Required (Written) to Authority Required (Telephone/Electronic) noting the stable market, the robustness of the initial written restriction criteria and for consistency with the level of authority of the PBS restrictions for medicines to treat PAH. </w:t>
            </w:r>
          </w:p>
        </w:tc>
      </w:tr>
      <w:tr w:rsidR="008D62B4" w:rsidRPr="00567D48" w14:paraId="34DA39D7" w14:textId="77777777" w:rsidTr="00567D48">
        <w:trPr>
          <w:cantSplit/>
          <w:trHeight w:val="58"/>
        </w:trPr>
        <w:tc>
          <w:tcPr>
            <w:tcW w:w="873" w:type="pct"/>
            <w:shd w:val="clear" w:color="auto" w:fill="auto"/>
          </w:tcPr>
          <w:p w14:paraId="104F0EC7" w14:textId="0D2936B3" w:rsidR="008D62B4" w:rsidRPr="00567D48" w:rsidRDefault="008D62B4" w:rsidP="008D62B4">
            <w:pPr>
              <w:keepLines/>
              <w:widowControl w:val="0"/>
              <w:spacing w:after="120"/>
              <w:jc w:val="center"/>
              <w:rPr>
                <w:rFonts w:asciiTheme="minorHAnsi" w:hAnsiTheme="minorHAnsi" w:cs="Arial"/>
                <w:snapToGrid w:val="0"/>
                <w:highlight w:val="yellow"/>
              </w:rPr>
            </w:pPr>
            <w:r w:rsidRPr="00567D48">
              <w:rPr>
                <w:rFonts w:asciiTheme="minorHAnsi" w:hAnsiTheme="minorHAnsi" w:cstheme="minorHAnsi"/>
              </w:rPr>
              <w:lastRenderedPageBreak/>
              <w:t xml:space="preserve">2.Eltrombopag, romiplostim </w:t>
            </w:r>
          </w:p>
        </w:tc>
        <w:tc>
          <w:tcPr>
            <w:tcW w:w="552" w:type="pct"/>
            <w:shd w:val="clear" w:color="auto" w:fill="auto"/>
          </w:tcPr>
          <w:p w14:paraId="43F6ABCE" w14:textId="0124185E" w:rsidR="008D62B4" w:rsidRPr="00567D48" w:rsidRDefault="008D62B4" w:rsidP="008D62B4">
            <w:pPr>
              <w:keepLines/>
              <w:widowControl w:val="0"/>
              <w:spacing w:after="120"/>
              <w:jc w:val="center"/>
              <w:rPr>
                <w:rFonts w:asciiTheme="minorHAnsi" w:hAnsiTheme="minorHAnsi" w:cs="Arial"/>
                <w:snapToGrid w:val="0"/>
                <w:highlight w:val="yellow"/>
              </w:rPr>
            </w:pPr>
            <w:r w:rsidRPr="00567D48">
              <w:rPr>
                <w:rFonts w:asciiTheme="minorHAnsi" w:hAnsiTheme="minorHAnsi" w:cstheme="minorHAnsi"/>
              </w:rPr>
              <w:t>2. Idiopathic thrombocytopenic purpura (ITP)</w:t>
            </w:r>
          </w:p>
        </w:tc>
        <w:tc>
          <w:tcPr>
            <w:tcW w:w="875" w:type="pct"/>
            <w:shd w:val="clear" w:color="auto" w:fill="auto"/>
          </w:tcPr>
          <w:p w14:paraId="6929CA8F" w14:textId="77777777" w:rsidR="008D62B4" w:rsidRPr="00567D48" w:rsidRDefault="008D62B4" w:rsidP="008D62B4">
            <w:pPr>
              <w:keepLines/>
              <w:widowControl w:val="0"/>
              <w:spacing w:after="120"/>
              <w:jc w:val="center"/>
              <w:rPr>
                <w:rFonts w:asciiTheme="minorHAnsi" w:hAnsiTheme="minorHAnsi" w:cs="Arial"/>
                <w:bCs/>
                <w:snapToGrid w:val="0"/>
                <w:color w:val="000000"/>
                <w:highlight w:val="yellow"/>
              </w:rPr>
            </w:pPr>
          </w:p>
        </w:tc>
        <w:tc>
          <w:tcPr>
            <w:tcW w:w="2700" w:type="pct"/>
            <w:shd w:val="clear" w:color="auto" w:fill="auto"/>
          </w:tcPr>
          <w:p w14:paraId="2E1F8443" w14:textId="77777777" w:rsidR="008D62B4" w:rsidRPr="00567D48" w:rsidRDefault="008D62B4" w:rsidP="008D62B4">
            <w:pPr>
              <w:rPr>
                <w:rFonts w:asciiTheme="minorHAnsi" w:eastAsia="Calibri" w:hAnsiTheme="minorHAnsi" w:cstheme="minorHAnsi"/>
                <w:bCs/>
                <w:u w:val="single"/>
              </w:rPr>
            </w:pPr>
            <w:r w:rsidRPr="00567D48">
              <w:rPr>
                <w:rFonts w:asciiTheme="minorHAnsi" w:eastAsia="Calibri" w:hAnsiTheme="minorHAnsi" w:cstheme="minorHAnsi"/>
                <w:bCs/>
                <w:u w:val="single"/>
              </w:rPr>
              <w:t>2. Idiopathic thrombocytopenic purpura (ITP):</w:t>
            </w:r>
          </w:p>
          <w:p w14:paraId="0A21D7E2" w14:textId="77777777" w:rsidR="008D62B4" w:rsidRPr="00567D48" w:rsidRDefault="008D62B4" w:rsidP="008D62B4">
            <w:pPr>
              <w:rPr>
                <w:rFonts w:asciiTheme="minorHAnsi" w:eastAsiaTheme="minorHAnsi" w:hAnsiTheme="minorHAnsi" w:cstheme="minorHAnsi"/>
              </w:rPr>
            </w:pPr>
            <w:r w:rsidRPr="00567D48">
              <w:rPr>
                <w:rFonts w:asciiTheme="minorHAnsi" w:hAnsiTheme="minorHAnsi" w:cstheme="minorHAnsi"/>
              </w:rPr>
              <w:t xml:space="preserve">The PBAC agreed with DUSC that due to the growth in </w:t>
            </w:r>
            <w:proofErr w:type="spellStart"/>
            <w:r w:rsidRPr="00567D48">
              <w:rPr>
                <w:rFonts w:asciiTheme="minorHAnsi" w:hAnsiTheme="minorHAnsi" w:cstheme="minorHAnsi"/>
              </w:rPr>
              <w:t>eltrombopag</w:t>
            </w:r>
            <w:proofErr w:type="spellEnd"/>
            <w:r w:rsidRPr="00567D48">
              <w:rPr>
                <w:rFonts w:asciiTheme="minorHAnsi" w:hAnsiTheme="minorHAnsi" w:cstheme="minorHAnsi"/>
              </w:rPr>
              <w:t xml:space="preserve"> and romiplostim utilisation and an increasing incident and prevalent population, an amendment to the current initial treatment written authority level for </w:t>
            </w:r>
            <w:proofErr w:type="spellStart"/>
            <w:r w:rsidRPr="00567D48">
              <w:rPr>
                <w:rFonts w:asciiTheme="minorHAnsi" w:hAnsiTheme="minorHAnsi" w:cstheme="minorHAnsi"/>
              </w:rPr>
              <w:t>eltrombopag</w:t>
            </w:r>
            <w:proofErr w:type="spellEnd"/>
            <w:r w:rsidRPr="00567D48">
              <w:rPr>
                <w:rFonts w:asciiTheme="minorHAnsi" w:hAnsiTheme="minorHAnsi" w:cstheme="minorHAnsi"/>
              </w:rPr>
              <w:t xml:space="preserve"> and romiplostim for ITP was not supported at this time.</w:t>
            </w:r>
          </w:p>
          <w:p w14:paraId="034CD028" w14:textId="1EAD6EDC" w:rsidR="008D62B4" w:rsidRPr="00567D48" w:rsidRDefault="008D62B4" w:rsidP="008D62B4">
            <w:pPr>
              <w:keepLines/>
              <w:widowControl w:val="0"/>
              <w:spacing w:after="120"/>
              <w:rPr>
                <w:rFonts w:asciiTheme="minorHAnsi" w:hAnsiTheme="minorHAnsi" w:cs="Arial"/>
                <w:highlight w:val="yellow"/>
              </w:rPr>
            </w:pPr>
            <w:r w:rsidRPr="00567D48">
              <w:rPr>
                <w:rFonts w:asciiTheme="minorHAnsi" w:hAnsiTheme="minorHAnsi" w:cstheme="minorHAnsi"/>
              </w:rPr>
              <w:t xml:space="preserve">The PBAC recommended that the authority requirements for first continuing treatment with </w:t>
            </w:r>
            <w:proofErr w:type="spellStart"/>
            <w:r w:rsidRPr="00567D48">
              <w:rPr>
                <w:rFonts w:asciiTheme="minorHAnsi" w:hAnsiTheme="minorHAnsi" w:cstheme="minorHAnsi"/>
              </w:rPr>
              <w:t>eltrombopag</w:t>
            </w:r>
            <w:proofErr w:type="spellEnd"/>
            <w:r w:rsidRPr="00567D48">
              <w:rPr>
                <w:rFonts w:asciiTheme="minorHAnsi" w:hAnsiTheme="minorHAnsi" w:cstheme="minorHAnsi"/>
              </w:rPr>
              <w:t xml:space="preserve"> and romiplostim for ITP be amended from Authority Required (Written) to Authority Required (Telephone/Electronic) to ease administrative burden for prescribers and improve patient access to timely treatment. The PBAC noted the PBS restriction treatment criterion requiring that the most recent platelet count be provided should remain when the authority level is amended. </w:t>
            </w:r>
          </w:p>
        </w:tc>
      </w:tr>
      <w:tr w:rsidR="008D62B4" w:rsidRPr="00567D48" w14:paraId="6723CC3A" w14:textId="77777777" w:rsidTr="00567D48">
        <w:trPr>
          <w:cantSplit/>
          <w:trHeight w:val="58"/>
        </w:trPr>
        <w:tc>
          <w:tcPr>
            <w:tcW w:w="873" w:type="pct"/>
            <w:shd w:val="clear" w:color="auto" w:fill="auto"/>
          </w:tcPr>
          <w:p w14:paraId="6B452C86" w14:textId="7E82BED7" w:rsidR="008D62B4" w:rsidRPr="00567D48" w:rsidRDefault="008D62B4" w:rsidP="008D62B4">
            <w:pPr>
              <w:keepLines/>
              <w:widowControl w:val="0"/>
              <w:spacing w:after="120"/>
              <w:jc w:val="center"/>
              <w:rPr>
                <w:rFonts w:asciiTheme="minorHAnsi" w:hAnsiTheme="minorHAnsi" w:cs="Arial"/>
                <w:snapToGrid w:val="0"/>
                <w:highlight w:val="yellow"/>
              </w:rPr>
            </w:pPr>
            <w:r w:rsidRPr="00567D48">
              <w:rPr>
                <w:rFonts w:asciiTheme="minorHAnsi" w:hAnsiTheme="minorHAnsi" w:cstheme="minorHAnsi"/>
              </w:rPr>
              <w:t xml:space="preserve">3.Pasireotide, </w:t>
            </w:r>
            <w:proofErr w:type="spellStart"/>
            <w:r w:rsidRPr="00567D48">
              <w:rPr>
                <w:rFonts w:asciiTheme="minorHAnsi" w:hAnsiTheme="minorHAnsi" w:cstheme="minorHAnsi"/>
              </w:rPr>
              <w:t>pegvisomant</w:t>
            </w:r>
            <w:proofErr w:type="spellEnd"/>
            <w:r w:rsidRPr="00567D48">
              <w:rPr>
                <w:rFonts w:asciiTheme="minorHAnsi" w:hAnsiTheme="minorHAnsi" w:cstheme="minorHAnsi"/>
              </w:rPr>
              <w:t xml:space="preserve">  </w:t>
            </w:r>
          </w:p>
        </w:tc>
        <w:tc>
          <w:tcPr>
            <w:tcW w:w="552" w:type="pct"/>
            <w:shd w:val="clear" w:color="auto" w:fill="auto"/>
          </w:tcPr>
          <w:p w14:paraId="57C9EE44" w14:textId="78E044E6" w:rsidR="008D62B4" w:rsidRPr="00567D48" w:rsidRDefault="008D62B4" w:rsidP="008D62B4">
            <w:pPr>
              <w:keepLines/>
              <w:widowControl w:val="0"/>
              <w:spacing w:after="120"/>
              <w:jc w:val="center"/>
              <w:rPr>
                <w:rFonts w:asciiTheme="minorHAnsi" w:hAnsiTheme="minorHAnsi" w:cs="Arial"/>
                <w:snapToGrid w:val="0"/>
                <w:highlight w:val="yellow"/>
              </w:rPr>
            </w:pPr>
            <w:r w:rsidRPr="00567D48">
              <w:rPr>
                <w:rFonts w:asciiTheme="minorHAnsi" w:hAnsiTheme="minorHAnsi" w:cstheme="minorHAnsi"/>
              </w:rPr>
              <w:t>3. Acromegaly</w:t>
            </w:r>
          </w:p>
        </w:tc>
        <w:tc>
          <w:tcPr>
            <w:tcW w:w="875" w:type="pct"/>
            <w:shd w:val="clear" w:color="auto" w:fill="auto"/>
          </w:tcPr>
          <w:p w14:paraId="78C67B98" w14:textId="77777777" w:rsidR="008D62B4" w:rsidRPr="00567D48" w:rsidRDefault="008D62B4" w:rsidP="008D62B4">
            <w:pPr>
              <w:keepLines/>
              <w:widowControl w:val="0"/>
              <w:spacing w:after="120"/>
              <w:jc w:val="center"/>
              <w:rPr>
                <w:rFonts w:asciiTheme="minorHAnsi" w:hAnsiTheme="minorHAnsi" w:cs="Arial"/>
                <w:bCs/>
                <w:snapToGrid w:val="0"/>
                <w:color w:val="000000"/>
                <w:highlight w:val="yellow"/>
              </w:rPr>
            </w:pPr>
          </w:p>
        </w:tc>
        <w:tc>
          <w:tcPr>
            <w:tcW w:w="2700" w:type="pct"/>
            <w:shd w:val="clear" w:color="auto" w:fill="auto"/>
          </w:tcPr>
          <w:p w14:paraId="6A9C89CC" w14:textId="77777777" w:rsidR="008D62B4" w:rsidRPr="00567D48" w:rsidRDefault="008D62B4" w:rsidP="008D62B4">
            <w:pPr>
              <w:rPr>
                <w:rFonts w:asciiTheme="minorHAnsi" w:eastAsia="Calibri" w:hAnsiTheme="minorHAnsi" w:cstheme="minorHAnsi"/>
                <w:bCs/>
                <w:u w:val="single"/>
              </w:rPr>
            </w:pPr>
            <w:r w:rsidRPr="00567D48">
              <w:rPr>
                <w:rFonts w:asciiTheme="minorHAnsi" w:eastAsia="Calibri" w:hAnsiTheme="minorHAnsi" w:cstheme="minorHAnsi"/>
                <w:bCs/>
                <w:u w:val="single"/>
              </w:rPr>
              <w:t xml:space="preserve">3. Acromegaly: </w:t>
            </w:r>
          </w:p>
          <w:p w14:paraId="125F519F" w14:textId="4A308110" w:rsidR="008D62B4" w:rsidRPr="00567D48" w:rsidRDefault="008D62B4" w:rsidP="008D62B4">
            <w:pPr>
              <w:rPr>
                <w:rFonts w:asciiTheme="minorHAnsi" w:eastAsiaTheme="minorHAnsi" w:hAnsiTheme="minorHAnsi" w:cstheme="minorHAnsi"/>
              </w:rPr>
            </w:pPr>
            <w:r w:rsidRPr="00567D48">
              <w:rPr>
                <w:rFonts w:asciiTheme="minorHAnsi" w:hAnsiTheme="minorHAnsi" w:cstheme="minorHAnsi"/>
              </w:rPr>
              <w:t xml:space="preserve">The PBAC noted the high cost of treatment per patient and that both medicines had special pricing arrangements in place. The PBS/RPBS expenditure for both medicines had increased year on year over the Review period, with total PBS/RPBS expenditure in 2020 at $3.7 million (based on published prices). In 2020, </w:t>
            </w:r>
            <w:proofErr w:type="spellStart"/>
            <w:r w:rsidRPr="00567D48">
              <w:rPr>
                <w:rFonts w:asciiTheme="minorHAnsi" w:hAnsiTheme="minorHAnsi" w:cstheme="minorHAnsi"/>
              </w:rPr>
              <w:t>pegvisomant</w:t>
            </w:r>
            <w:proofErr w:type="spellEnd"/>
            <w:r w:rsidRPr="00567D48">
              <w:rPr>
                <w:rFonts w:asciiTheme="minorHAnsi" w:hAnsiTheme="minorHAnsi" w:cstheme="minorHAnsi"/>
              </w:rPr>
              <w:t xml:space="preserve"> accounted for 55% of total expenditure.</w:t>
            </w:r>
          </w:p>
          <w:p w14:paraId="71806EB3" w14:textId="46A003D4" w:rsidR="008D62B4" w:rsidRPr="00567D48" w:rsidRDefault="008D62B4" w:rsidP="008D62B4">
            <w:pPr>
              <w:keepLines/>
              <w:widowControl w:val="0"/>
              <w:spacing w:after="120"/>
              <w:rPr>
                <w:rFonts w:asciiTheme="minorHAnsi" w:hAnsiTheme="minorHAnsi" w:cs="Arial"/>
                <w:bCs/>
                <w:snapToGrid w:val="0"/>
                <w:highlight w:val="yellow"/>
              </w:rPr>
            </w:pPr>
            <w:r w:rsidRPr="00567D48">
              <w:rPr>
                <w:rFonts w:asciiTheme="minorHAnsi" w:hAnsiTheme="minorHAnsi" w:cstheme="minorHAnsi"/>
              </w:rPr>
              <w:t xml:space="preserve">The PBAC did not recommend an amendment to the authority requirements for </w:t>
            </w:r>
            <w:proofErr w:type="spellStart"/>
            <w:r w:rsidRPr="00567D48">
              <w:rPr>
                <w:rFonts w:asciiTheme="minorHAnsi" w:hAnsiTheme="minorHAnsi" w:cstheme="minorHAnsi"/>
              </w:rPr>
              <w:t>pasireotide</w:t>
            </w:r>
            <w:proofErr w:type="spellEnd"/>
            <w:r w:rsidRPr="00567D48">
              <w:rPr>
                <w:rFonts w:asciiTheme="minorHAnsi" w:hAnsiTheme="minorHAnsi" w:cstheme="minorHAnsi"/>
              </w:rPr>
              <w:t xml:space="preserve"> or </w:t>
            </w:r>
            <w:proofErr w:type="spellStart"/>
            <w:r w:rsidRPr="00567D48">
              <w:rPr>
                <w:rFonts w:asciiTheme="minorHAnsi" w:hAnsiTheme="minorHAnsi" w:cstheme="minorHAnsi"/>
              </w:rPr>
              <w:t>pegvisomant</w:t>
            </w:r>
            <w:proofErr w:type="spellEnd"/>
            <w:r w:rsidRPr="00567D48">
              <w:rPr>
                <w:rFonts w:asciiTheme="minorHAnsi" w:hAnsiTheme="minorHAnsi" w:cstheme="minorHAnsi"/>
              </w:rPr>
              <w:t xml:space="preserve"> for acromegaly at this time, noting the market immaturity and instability, increasing costs associated with </w:t>
            </w:r>
            <w:proofErr w:type="spellStart"/>
            <w:r w:rsidRPr="00567D48">
              <w:rPr>
                <w:rFonts w:asciiTheme="minorHAnsi" w:hAnsiTheme="minorHAnsi" w:cstheme="minorHAnsi"/>
              </w:rPr>
              <w:t>pegvisomant</w:t>
            </w:r>
            <w:proofErr w:type="spellEnd"/>
            <w:r w:rsidRPr="00567D48">
              <w:rPr>
                <w:rFonts w:asciiTheme="minorHAnsi" w:hAnsiTheme="minorHAnsi" w:cstheme="minorHAnsi"/>
              </w:rPr>
              <w:t xml:space="preserve"> use, the risk of leakage to first line therapy and the risk of leakage for </w:t>
            </w:r>
            <w:proofErr w:type="spellStart"/>
            <w:r w:rsidRPr="00567D48">
              <w:rPr>
                <w:rFonts w:asciiTheme="minorHAnsi" w:hAnsiTheme="minorHAnsi" w:cstheme="minorHAnsi"/>
              </w:rPr>
              <w:t>pasireotide</w:t>
            </w:r>
            <w:proofErr w:type="spellEnd"/>
            <w:r w:rsidRPr="00567D48">
              <w:rPr>
                <w:rFonts w:asciiTheme="minorHAnsi" w:hAnsiTheme="minorHAnsi" w:cstheme="minorHAnsi"/>
              </w:rPr>
              <w:t xml:space="preserve"> to non- PBS subsidised indications and to off label use.  </w:t>
            </w:r>
          </w:p>
        </w:tc>
      </w:tr>
      <w:tr w:rsidR="008D62B4" w:rsidRPr="00567D48" w14:paraId="7DE84C28" w14:textId="77777777" w:rsidTr="00567D48">
        <w:trPr>
          <w:cantSplit/>
          <w:trHeight w:val="58"/>
        </w:trPr>
        <w:tc>
          <w:tcPr>
            <w:tcW w:w="873" w:type="pct"/>
            <w:shd w:val="clear" w:color="auto" w:fill="auto"/>
          </w:tcPr>
          <w:p w14:paraId="1DDFE2AC" w14:textId="03BFB40F" w:rsidR="008D62B4" w:rsidRPr="00567D48" w:rsidRDefault="008D62B4" w:rsidP="008D62B4">
            <w:pPr>
              <w:keepLines/>
              <w:widowControl w:val="0"/>
              <w:spacing w:after="120"/>
              <w:jc w:val="center"/>
              <w:rPr>
                <w:rFonts w:asciiTheme="minorHAnsi" w:hAnsiTheme="minorHAnsi" w:cs="Arial"/>
                <w:snapToGrid w:val="0"/>
                <w:highlight w:val="yellow"/>
              </w:rPr>
            </w:pPr>
            <w:r w:rsidRPr="00567D48">
              <w:rPr>
                <w:rFonts w:asciiTheme="minorHAnsi" w:hAnsiTheme="minorHAnsi" w:cstheme="minorHAnsi"/>
              </w:rPr>
              <w:lastRenderedPageBreak/>
              <w:t xml:space="preserve">4. Donepezil, galantamine, memantine, rivastigmine </w:t>
            </w:r>
          </w:p>
        </w:tc>
        <w:tc>
          <w:tcPr>
            <w:tcW w:w="552" w:type="pct"/>
            <w:shd w:val="clear" w:color="auto" w:fill="auto"/>
          </w:tcPr>
          <w:p w14:paraId="310792C3" w14:textId="6C6B6755" w:rsidR="008D62B4" w:rsidRPr="00567D48" w:rsidRDefault="008D62B4" w:rsidP="008D62B4">
            <w:pPr>
              <w:keepLines/>
              <w:widowControl w:val="0"/>
              <w:spacing w:after="120"/>
              <w:jc w:val="center"/>
              <w:rPr>
                <w:rFonts w:asciiTheme="minorHAnsi" w:hAnsiTheme="minorHAnsi" w:cs="Arial"/>
                <w:snapToGrid w:val="0"/>
                <w:highlight w:val="yellow"/>
              </w:rPr>
            </w:pPr>
            <w:r w:rsidRPr="00567D48">
              <w:rPr>
                <w:rFonts w:asciiTheme="minorHAnsi" w:hAnsiTheme="minorHAnsi" w:cstheme="minorHAnsi"/>
              </w:rPr>
              <w:t>4. Alzheimer disease</w:t>
            </w:r>
          </w:p>
        </w:tc>
        <w:tc>
          <w:tcPr>
            <w:tcW w:w="875" w:type="pct"/>
            <w:shd w:val="clear" w:color="auto" w:fill="auto"/>
          </w:tcPr>
          <w:p w14:paraId="0A96181D" w14:textId="77777777" w:rsidR="008D62B4" w:rsidRPr="00567D48" w:rsidRDefault="008D62B4" w:rsidP="008D62B4">
            <w:pPr>
              <w:keepLines/>
              <w:widowControl w:val="0"/>
              <w:spacing w:after="120"/>
              <w:jc w:val="center"/>
              <w:rPr>
                <w:rFonts w:asciiTheme="minorHAnsi" w:hAnsiTheme="minorHAnsi" w:cs="Arial"/>
                <w:bCs/>
                <w:snapToGrid w:val="0"/>
                <w:color w:val="000000"/>
                <w:highlight w:val="yellow"/>
              </w:rPr>
            </w:pPr>
          </w:p>
        </w:tc>
        <w:tc>
          <w:tcPr>
            <w:tcW w:w="2700" w:type="pct"/>
            <w:shd w:val="clear" w:color="auto" w:fill="auto"/>
          </w:tcPr>
          <w:p w14:paraId="168EB6D7" w14:textId="77777777" w:rsidR="008D62B4" w:rsidRPr="00567D48" w:rsidRDefault="008D62B4" w:rsidP="008D62B4">
            <w:pPr>
              <w:rPr>
                <w:rFonts w:asciiTheme="minorHAnsi" w:hAnsiTheme="minorHAnsi" w:cstheme="minorHAnsi"/>
                <w:bCs/>
                <w:u w:val="single"/>
              </w:rPr>
            </w:pPr>
            <w:r w:rsidRPr="00567D48">
              <w:rPr>
                <w:rFonts w:asciiTheme="minorHAnsi" w:hAnsiTheme="minorHAnsi" w:cstheme="minorHAnsi"/>
                <w:bCs/>
                <w:u w:val="single"/>
              </w:rPr>
              <w:t xml:space="preserve">4. Alzheimer disease: </w:t>
            </w:r>
          </w:p>
          <w:p w14:paraId="7C091711" w14:textId="77777777" w:rsidR="008D62B4" w:rsidRPr="00567D48" w:rsidRDefault="008D62B4" w:rsidP="008D62B4">
            <w:pPr>
              <w:rPr>
                <w:rFonts w:asciiTheme="minorHAnsi" w:hAnsiTheme="minorHAnsi" w:cstheme="minorHAnsi"/>
              </w:rPr>
            </w:pPr>
            <w:r w:rsidRPr="00567D48">
              <w:rPr>
                <w:rFonts w:asciiTheme="minorHAnsi" w:hAnsiTheme="minorHAnsi" w:cstheme="minorHAnsi"/>
              </w:rPr>
              <w:t xml:space="preserve">The PBAC agreed with DUSC that amendment of the current initial treatment restriction authority requirements and any resultant change in utilisation would be unlikely to create financial risk to government due to the availability of generics for donepezil, galantamine and memantine and the current low unit cost per prescription. </w:t>
            </w:r>
          </w:p>
          <w:p w14:paraId="03C6D387" w14:textId="77777777" w:rsidR="008D62B4" w:rsidRPr="00567D48" w:rsidRDefault="008D62B4" w:rsidP="008D62B4">
            <w:pPr>
              <w:rPr>
                <w:rFonts w:asciiTheme="minorHAnsi" w:hAnsiTheme="minorHAnsi" w:cstheme="minorHAnsi"/>
              </w:rPr>
            </w:pPr>
            <w:r w:rsidRPr="00567D48">
              <w:rPr>
                <w:rFonts w:asciiTheme="minorHAnsi" w:hAnsiTheme="minorHAnsi" w:cstheme="minorHAnsi"/>
              </w:rPr>
              <w:t xml:space="preserve">The PBAC acknowledged the administrative burden for prescribers and Services Australia associated with the written authority application for the initial (2) treatment restriction. The PBAC recalled the role of written authority PBS restrictions for medicines to treat Alzheimer disease in promoting Quality Use of Medicines (QUM) and in reducing the risk of use outside the PBS restrictions to treat other memory loss and behavioural conditions. </w:t>
            </w:r>
          </w:p>
          <w:p w14:paraId="3B27B8C6" w14:textId="52BD9EDD" w:rsidR="008D62B4" w:rsidRPr="00567D48" w:rsidRDefault="008D62B4" w:rsidP="008D62B4">
            <w:pPr>
              <w:keepLines/>
              <w:widowControl w:val="0"/>
              <w:spacing w:after="120"/>
              <w:rPr>
                <w:rFonts w:asciiTheme="minorHAnsi" w:hAnsiTheme="minorHAnsi" w:cs="Arial"/>
                <w:highlight w:val="yellow"/>
              </w:rPr>
            </w:pPr>
            <w:r w:rsidRPr="00567D48">
              <w:rPr>
                <w:rFonts w:asciiTheme="minorHAnsi" w:hAnsiTheme="minorHAnsi" w:cstheme="minorHAnsi"/>
              </w:rPr>
              <w:t>The PBAC recommended that the initial (1) treatment (Telephone/Electronic) and initial (2) treatment (Written) authority restrictions for all four medicines for Alzheimer disease be amended to a single initial treatment Authority Required (Telephone/Electronic) restriction to ease administrative burden for specialist prescribers. The PBAC agreed that QUM will be maintained through the current restriction requirement for the condition to be confirmed by, or in consultation with, a specialist/consultant physician (including a psychiatrist) and that prior to continuing treatment, a comprehensive assessment must be undertaken and agreement reached between the patient, patient’s family or carer and the treating physician that treatment is continuing to produce worthwhile benefit.</w:t>
            </w:r>
          </w:p>
        </w:tc>
      </w:tr>
      <w:tr w:rsidR="008D62B4" w:rsidRPr="00567D48" w14:paraId="7FF5EF37" w14:textId="77777777" w:rsidTr="00567D48">
        <w:trPr>
          <w:cantSplit/>
          <w:trHeight w:val="58"/>
        </w:trPr>
        <w:tc>
          <w:tcPr>
            <w:tcW w:w="873" w:type="pct"/>
            <w:shd w:val="clear" w:color="auto" w:fill="auto"/>
          </w:tcPr>
          <w:p w14:paraId="6E811F49" w14:textId="4F845A27" w:rsidR="008D62B4" w:rsidRPr="00567D48" w:rsidRDefault="008D62B4" w:rsidP="008D62B4">
            <w:pPr>
              <w:keepLines/>
              <w:widowControl w:val="0"/>
              <w:spacing w:after="120"/>
              <w:jc w:val="center"/>
              <w:rPr>
                <w:rFonts w:asciiTheme="minorHAnsi" w:hAnsiTheme="minorHAnsi" w:cs="Arial"/>
                <w:snapToGrid w:val="0"/>
                <w:highlight w:val="yellow"/>
              </w:rPr>
            </w:pPr>
            <w:r w:rsidRPr="00567D48">
              <w:rPr>
                <w:rFonts w:asciiTheme="minorHAnsi" w:hAnsiTheme="minorHAnsi" w:cstheme="minorHAnsi"/>
              </w:rPr>
              <w:t>5. Modafinil, armodafinil</w:t>
            </w:r>
          </w:p>
        </w:tc>
        <w:tc>
          <w:tcPr>
            <w:tcW w:w="552" w:type="pct"/>
            <w:shd w:val="clear" w:color="auto" w:fill="auto"/>
          </w:tcPr>
          <w:p w14:paraId="6A9A1BBE" w14:textId="23836A27" w:rsidR="008D62B4" w:rsidRPr="00567D48" w:rsidRDefault="008D62B4" w:rsidP="008D62B4">
            <w:pPr>
              <w:keepLines/>
              <w:widowControl w:val="0"/>
              <w:spacing w:after="120"/>
              <w:jc w:val="center"/>
              <w:rPr>
                <w:rFonts w:asciiTheme="minorHAnsi" w:hAnsiTheme="minorHAnsi" w:cs="Arial"/>
                <w:snapToGrid w:val="0"/>
                <w:highlight w:val="yellow"/>
              </w:rPr>
            </w:pPr>
            <w:r w:rsidRPr="00567D48">
              <w:rPr>
                <w:rFonts w:asciiTheme="minorHAnsi" w:hAnsiTheme="minorHAnsi" w:cstheme="minorHAnsi"/>
              </w:rPr>
              <w:t>5. Narcolepsy</w:t>
            </w:r>
          </w:p>
        </w:tc>
        <w:tc>
          <w:tcPr>
            <w:tcW w:w="875" w:type="pct"/>
            <w:shd w:val="clear" w:color="auto" w:fill="auto"/>
          </w:tcPr>
          <w:p w14:paraId="35273B57" w14:textId="77777777" w:rsidR="008D62B4" w:rsidRPr="00567D48" w:rsidRDefault="008D62B4" w:rsidP="008D62B4">
            <w:pPr>
              <w:keepLines/>
              <w:widowControl w:val="0"/>
              <w:spacing w:after="120"/>
              <w:jc w:val="center"/>
              <w:rPr>
                <w:rFonts w:asciiTheme="minorHAnsi" w:hAnsiTheme="minorHAnsi" w:cs="Arial"/>
                <w:bCs/>
                <w:snapToGrid w:val="0"/>
                <w:color w:val="000000"/>
                <w:highlight w:val="yellow"/>
              </w:rPr>
            </w:pPr>
          </w:p>
        </w:tc>
        <w:tc>
          <w:tcPr>
            <w:tcW w:w="2700" w:type="pct"/>
            <w:shd w:val="clear" w:color="auto" w:fill="auto"/>
          </w:tcPr>
          <w:p w14:paraId="1B8EAB41" w14:textId="77777777" w:rsidR="008D62B4" w:rsidRPr="00567D48" w:rsidRDefault="008D62B4" w:rsidP="008D62B4">
            <w:pPr>
              <w:rPr>
                <w:rFonts w:asciiTheme="minorHAnsi" w:hAnsiTheme="minorHAnsi" w:cstheme="minorHAnsi"/>
                <w:bCs/>
                <w:u w:val="single"/>
              </w:rPr>
            </w:pPr>
            <w:r w:rsidRPr="00567D48">
              <w:rPr>
                <w:rFonts w:asciiTheme="minorHAnsi" w:hAnsiTheme="minorHAnsi" w:cstheme="minorHAnsi"/>
                <w:bCs/>
                <w:u w:val="single"/>
              </w:rPr>
              <w:t>5. Narcolepsy:</w:t>
            </w:r>
          </w:p>
          <w:p w14:paraId="4B4CA61E" w14:textId="77777777" w:rsidR="008D62B4" w:rsidRPr="00567D48" w:rsidRDefault="008D62B4" w:rsidP="008D62B4">
            <w:pPr>
              <w:rPr>
                <w:rFonts w:asciiTheme="minorHAnsi" w:hAnsiTheme="minorHAnsi" w:cstheme="minorHAnsi"/>
                <w:b/>
                <w:highlight w:val="yellow"/>
              </w:rPr>
            </w:pPr>
          </w:p>
          <w:p w14:paraId="568DB982" w14:textId="77777777" w:rsidR="008D62B4" w:rsidRPr="00567D48" w:rsidRDefault="008D62B4" w:rsidP="008D62B4">
            <w:pPr>
              <w:rPr>
                <w:rFonts w:asciiTheme="minorHAnsi" w:hAnsiTheme="minorHAnsi" w:cstheme="minorHAnsi"/>
              </w:rPr>
            </w:pPr>
            <w:r w:rsidRPr="00567D48">
              <w:rPr>
                <w:rFonts w:asciiTheme="minorHAnsi" w:hAnsiTheme="minorHAnsi" w:cstheme="minorHAnsi"/>
              </w:rPr>
              <w:t>The PBAC considered that there is a high risk of leakage within and outside of the PBS indication for modafinil and armodafinil due to the number of non-PBS subsidised indications and off-label uses. The PBAC also considered there may be some non-PBS prescribing for students and for lifestyle reasons.</w:t>
            </w:r>
          </w:p>
          <w:p w14:paraId="3D1C40FD" w14:textId="2D996344" w:rsidR="008D62B4" w:rsidRPr="00567D48" w:rsidRDefault="008D62B4" w:rsidP="008D62B4">
            <w:pPr>
              <w:keepLines/>
              <w:widowControl w:val="0"/>
              <w:spacing w:after="120"/>
              <w:rPr>
                <w:rFonts w:asciiTheme="minorHAnsi" w:hAnsiTheme="minorHAnsi" w:cs="Arial"/>
                <w:highlight w:val="yellow"/>
              </w:rPr>
            </w:pPr>
            <w:r w:rsidRPr="00567D48">
              <w:rPr>
                <w:rFonts w:asciiTheme="minorHAnsi" w:hAnsiTheme="minorHAnsi" w:cstheme="minorHAnsi"/>
              </w:rPr>
              <w:t xml:space="preserve">The PBAC did not recommend an amendment to the authority requirements for modafinil or armodafinil for narcolepsy at this time, given the continued market instability and demonstrated growth and the high risk of leakage within and outside of the indication. </w:t>
            </w:r>
          </w:p>
        </w:tc>
      </w:tr>
      <w:tr w:rsidR="008D62B4" w:rsidRPr="00567D48" w14:paraId="04204549" w14:textId="77777777" w:rsidTr="00567D48">
        <w:trPr>
          <w:cantSplit/>
          <w:trHeight w:val="58"/>
        </w:trPr>
        <w:tc>
          <w:tcPr>
            <w:tcW w:w="873" w:type="pct"/>
            <w:shd w:val="clear" w:color="auto" w:fill="auto"/>
          </w:tcPr>
          <w:p w14:paraId="5BA820B5" w14:textId="7081F51A" w:rsidR="008D62B4" w:rsidRPr="00567D48" w:rsidRDefault="008D62B4" w:rsidP="008D62B4">
            <w:pPr>
              <w:keepLines/>
              <w:widowControl w:val="0"/>
              <w:spacing w:after="120"/>
              <w:jc w:val="center"/>
              <w:rPr>
                <w:rFonts w:asciiTheme="minorHAnsi" w:hAnsiTheme="minorHAnsi" w:cs="Arial"/>
                <w:snapToGrid w:val="0"/>
                <w:highlight w:val="yellow"/>
              </w:rPr>
            </w:pPr>
            <w:r w:rsidRPr="00567D48">
              <w:rPr>
                <w:rFonts w:asciiTheme="minorHAnsi" w:hAnsiTheme="minorHAnsi" w:cstheme="minorHAnsi"/>
              </w:rPr>
              <w:lastRenderedPageBreak/>
              <w:t xml:space="preserve">6. Aflibercept, dexamethasone, ranibizumab </w:t>
            </w:r>
          </w:p>
        </w:tc>
        <w:tc>
          <w:tcPr>
            <w:tcW w:w="552" w:type="pct"/>
            <w:shd w:val="clear" w:color="auto" w:fill="auto"/>
          </w:tcPr>
          <w:p w14:paraId="5BFB9745" w14:textId="44A4D8A3" w:rsidR="008D62B4" w:rsidRPr="00567D48" w:rsidRDefault="008D62B4" w:rsidP="008D62B4">
            <w:pPr>
              <w:keepLines/>
              <w:widowControl w:val="0"/>
              <w:spacing w:after="120"/>
              <w:jc w:val="center"/>
              <w:rPr>
                <w:rFonts w:asciiTheme="minorHAnsi" w:hAnsiTheme="minorHAnsi" w:cs="Arial"/>
                <w:snapToGrid w:val="0"/>
                <w:highlight w:val="yellow"/>
              </w:rPr>
            </w:pPr>
            <w:r w:rsidRPr="00567D48">
              <w:rPr>
                <w:rFonts w:asciiTheme="minorHAnsi" w:hAnsiTheme="minorHAnsi" w:cstheme="minorHAnsi"/>
              </w:rPr>
              <w:t>6. Diabetic macular oedema (DMO)</w:t>
            </w:r>
          </w:p>
        </w:tc>
        <w:tc>
          <w:tcPr>
            <w:tcW w:w="875" w:type="pct"/>
            <w:shd w:val="clear" w:color="auto" w:fill="auto"/>
          </w:tcPr>
          <w:p w14:paraId="5DE711E6" w14:textId="77777777" w:rsidR="008D62B4" w:rsidRPr="00567D48" w:rsidRDefault="008D62B4" w:rsidP="008D62B4">
            <w:pPr>
              <w:keepLines/>
              <w:widowControl w:val="0"/>
              <w:spacing w:after="120"/>
              <w:jc w:val="center"/>
              <w:rPr>
                <w:rFonts w:asciiTheme="minorHAnsi" w:hAnsiTheme="minorHAnsi" w:cs="Arial"/>
                <w:bCs/>
                <w:snapToGrid w:val="0"/>
                <w:color w:val="000000"/>
                <w:highlight w:val="yellow"/>
              </w:rPr>
            </w:pPr>
          </w:p>
        </w:tc>
        <w:tc>
          <w:tcPr>
            <w:tcW w:w="2700" w:type="pct"/>
            <w:shd w:val="clear" w:color="auto" w:fill="auto"/>
          </w:tcPr>
          <w:p w14:paraId="70EC0FD4" w14:textId="77777777" w:rsidR="008D62B4" w:rsidRPr="00567D48" w:rsidRDefault="008D62B4" w:rsidP="008D62B4">
            <w:pPr>
              <w:rPr>
                <w:rFonts w:asciiTheme="minorHAnsi" w:hAnsiTheme="minorHAnsi" w:cstheme="minorHAnsi"/>
                <w:bCs/>
                <w:u w:val="single"/>
              </w:rPr>
            </w:pPr>
            <w:r w:rsidRPr="00567D48">
              <w:rPr>
                <w:rFonts w:asciiTheme="minorHAnsi" w:hAnsiTheme="minorHAnsi" w:cstheme="minorHAnsi"/>
                <w:bCs/>
                <w:u w:val="single"/>
              </w:rPr>
              <w:t xml:space="preserve">6. Diabetic macular oedema (DMO): </w:t>
            </w:r>
          </w:p>
          <w:p w14:paraId="2B282A5C" w14:textId="77777777" w:rsidR="008D62B4" w:rsidRPr="00567D48" w:rsidRDefault="008D62B4" w:rsidP="008D62B4">
            <w:pPr>
              <w:rPr>
                <w:rFonts w:asciiTheme="minorHAnsi" w:hAnsiTheme="minorHAnsi" w:cstheme="minorHAnsi"/>
              </w:rPr>
            </w:pPr>
            <w:r w:rsidRPr="00567D48">
              <w:rPr>
                <w:rFonts w:asciiTheme="minorHAnsi" w:hAnsiTheme="minorHAnsi" w:cstheme="minorHAnsi"/>
              </w:rPr>
              <w:t>The PBAC acknowledged the administrative burden associated with the objective assessment initial treatment criteria and completing the written authority application. The PBAC noted that prescribing of these medicines on the PBS is limited to ophthalmologists or accredited ophthalmology registrars in consultation with an ophthalmologist. The PBAC also noted sponsor comments that clinicians report the detailed requirements of written authority applications result in less time to consult with patients or delegation of the responsibility for completion. However, the PBAC agreed with DUSC that the initial therapy written authority application is necessary to assist in limiting use to the population where use is cost-effective.</w:t>
            </w:r>
          </w:p>
          <w:p w14:paraId="04A68A9C" w14:textId="4DDDEDE0" w:rsidR="008D62B4" w:rsidRPr="00567D48" w:rsidRDefault="008D62B4" w:rsidP="008D62B4">
            <w:pPr>
              <w:keepLines/>
              <w:widowControl w:val="0"/>
              <w:spacing w:after="120"/>
              <w:rPr>
                <w:rFonts w:asciiTheme="minorHAnsi" w:hAnsiTheme="minorHAnsi" w:cs="Arial"/>
                <w:bCs/>
                <w:snapToGrid w:val="0"/>
                <w:highlight w:val="yellow"/>
              </w:rPr>
            </w:pPr>
            <w:r w:rsidRPr="00567D48">
              <w:rPr>
                <w:rFonts w:asciiTheme="minorHAnsi" w:hAnsiTheme="minorHAnsi" w:cstheme="minorHAnsi"/>
              </w:rPr>
              <w:t xml:space="preserve">The PBAC recommended an amendment to the authority requirements for the continuing treatment restriction for DMO for ranibizumab, aflibercept and dexamethasone from Authority Required (Telephone/Electronic) to Authority Required (STREAMLINED). The PBAC considered this amendment would not substantially increase the financial risk to the government and would assist in reducing the administrative burden for specialist clinicians and improve timely access to treatment for patients. </w:t>
            </w:r>
          </w:p>
        </w:tc>
      </w:tr>
      <w:tr w:rsidR="008D62B4" w:rsidRPr="00567D48" w14:paraId="3E8C950E" w14:textId="77777777" w:rsidTr="00567D48">
        <w:trPr>
          <w:cantSplit/>
          <w:trHeight w:val="58"/>
        </w:trPr>
        <w:tc>
          <w:tcPr>
            <w:tcW w:w="873" w:type="pct"/>
            <w:shd w:val="clear" w:color="auto" w:fill="auto"/>
          </w:tcPr>
          <w:p w14:paraId="076BF5D6" w14:textId="55FB9A8B" w:rsidR="008D62B4" w:rsidRPr="00567D48" w:rsidRDefault="008D62B4" w:rsidP="008D62B4">
            <w:pPr>
              <w:keepLines/>
              <w:widowControl w:val="0"/>
              <w:spacing w:after="120"/>
              <w:jc w:val="center"/>
              <w:rPr>
                <w:rFonts w:asciiTheme="minorHAnsi" w:hAnsiTheme="minorHAnsi" w:cs="Arial"/>
                <w:snapToGrid w:val="0"/>
                <w:highlight w:val="yellow"/>
              </w:rPr>
            </w:pPr>
            <w:r w:rsidRPr="00567D48">
              <w:rPr>
                <w:rFonts w:asciiTheme="minorHAnsi" w:hAnsiTheme="minorHAnsi" w:cstheme="minorHAnsi"/>
              </w:rPr>
              <w:t xml:space="preserve">7. Aflibercept, dexamethasone, ranibizumab </w:t>
            </w:r>
          </w:p>
        </w:tc>
        <w:tc>
          <w:tcPr>
            <w:tcW w:w="552" w:type="pct"/>
            <w:shd w:val="clear" w:color="auto" w:fill="auto"/>
          </w:tcPr>
          <w:p w14:paraId="53C2B848" w14:textId="30649D1D" w:rsidR="008D62B4" w:rsidRPr="00567D48" w:rsidRDefault="008D62B4" w:rsidP="008D62B4">
            <w:pPr>
              <w:keepLines/>
              <w:widowControl w:val="0"/>
              <w:spacing w:after="120"/>
              <w:jc w:val="center"/>
              <w:rPr>
                <w:rFonts w:asciiTheme="minorHAnsi" w:hAnsiTheme="minorHAnsi" w:cs="Arial"/>
                <w:snapToGrid w:val="0"/>
                <w:highlight w:val="yellow"/>
              </w:rPr>
            </w:pPr>
            <w:r w:rsidRPr="00567D48">
              <w:rPr>
                <w:rFonts w:asciiTheme="minorHAnsi" w:hAnsiTheme="minorHAnsi" w:cstheme="minorHAnsi"/>
              </w:rPr>
              <w:t xml:space="preserve">7. Retinal vein occlusion (RVO) </w:t>
            </w:r>
          </w:p>
        </w:tc>
        <w:tc>
          <w:tcPr>
            <w:tcW w:w="875" w:type="pct"/>
            <w:shd w:val="clear" w:color="auto" w:fill="auto"/>
          </w:tcPr>
          <w:p w14:paraId="70247C11" w14:textId="77777777" w:rsidR="008D62B4" w:rsidRPr="00567D48" w:rsidRDefault="008D62B4" w:rsidP="008D62B4">
            <w:pPr>
              <w:keepLines/>
              <w:widowControl w:val="0"/>
              <w:spacing w:after="120"/>
              <w:jc w:val="center"/>
              <w:rPr>
                <w:rFonts w:asciiTheme="minorHAnsi" w:hAnsiTheme="minorHAnsi" w:cs="Arial"/>
                <w:bCs/>
                <w:snapToGrid w:val="0"/>
                <w:color w:val="000000"/>
                <w:highlight w:val="yellow"/>
              </w:rPr>
            </w:pPr>
          </w:p>
        </w:tc>
        <w:tc>
          <w:tcPr>
            <w:tcW w:w="2700" w:type="pct"/>
            <w:shd w:val="clear" w:color="auto" w:fill="auto"/>
          </w:tcPr>
          <w:p w14:paraId="2A25B98F" w14:textId="77777777" w:rsidR="008D62B4" w:rsidRPr="00567D48" w:rsidRDefault="008D62B4" w:rsidP="008D62B4">
            <w:pPr>
              <w:rPr>
                <w:rFonts w:asciiTheme="minorHAnsi" w:hAnsiTheme="minorHAnsi" w:cstheme="minorHAnsi"/>
                <w:u w:val="single"/>
              </w:rPr>
            </w:pPr>
            <w:r w:rsidRPr="00567D48">
              <w:rPr>
                <w:rFonts w:asciiTheme="minorHAnsi" w:hAnsiTheme="minorHAnsi" w:cstheme="minorHAnsi"/>
                <w:u w:val="single"/>
              </w:rPr>
              <w:t>7. Retinal vein occlusion (RVO):</w:t>
            </w:r>
          </w:p>
          <w:p w14:paraId="044C75E6" w14:textId="77777777" w:rsidR="008D62B4" w:rsidRPr="00567D48" w:rsidRDefault="008D62B4" w:rsidP="008D62B4">
            <w:pPr>
              <w:rPr>
                <w:rFonts w:asciiTheme="minorHAnsi" w:hAnsiTheme="minorHAnsi" w:cstheme="minorHAnsi"/>
              </w:rPr>
            </w:pPr>
            <w:r w:rsidRPr="00567D48">
              <w:rPr>
                <w:rFonts w:asciiTheme="minorHAnsi" w:hAnsiTheme="minorHAnsi" w:cstheme="minorHAnsi"/>
              </w:rPr>
              <w:t xml:space="preserve">The PBAC acknowledged the administrative burden associated with the objective assessment initial treatment criteria and the written authority application. The PBAC noted that prescribing of these medicines on the PBS is limited to ophthalmologists or accredited ophthalmology registrars in consultation with an ophthalmologist. The PBAC noted sponsor comments that clinicians report the detailed requirements of written authorities results in less time to consult with patients or delegation of the responsibility for completion. The PBAC agreed with DUSC that the written authority application is necessary to mitigate the risk of leakage within the indication to treatment of early disease and outside of the indication to treat proliferative diabetic retinopathy. </w:t>
            </w:r>
          </w:p>
          <w:p w14:paraId="42B8972E" w14:textId="3509D2C5" w:rsidR="008D62B4" w:rsidRPr="00567D48" w:rsidRDefault="008D62B4" w:rsidP="008D62B4">
            <w:pPr>
              <w:keepLines/>
              <w:widowControl w:val="0"/>
              <w:spacing w:after="120"/>
              <w:rPr>
                <w:rFonts w:asciiTheme="minorHAnsi" w:hAnsiTheme="minorHAnsi" w:cs="Arial"/>
                <w:highlight w:val="yellow"/>
              </w:rPr>
            </w:pPr>
            <w:r w:rsidRPr="00567D48">
              <w:rPr>
                <w:rFonts w:asciiTheme="minorHAnsi" w:hAnsiTheme="minorHAnsi" w:cstheme="minorHAnsi"/>
              </w:rPr>
              <w:t xml:space="preserve">The PBAC recommended an amendment to the authority requirements for the continuing treatment restriction for RVO for ranibizumab, aflibercept and dexamethasone from Authority Required (Telephone/Electronic) to Authority Required (STREAMLINED). The PBAC considered this amendment would not substantially increase the financial risk to the government and would assist in reducing the administrative burden for specialist clinicians and improve timely access to treatment for patients.  </w:t>
            </w:r>
          </w:p>
        </w:tc>
      </w:tr>
      <w:tr w:rsidR="008D62B4" w:rsidRPr="00567D48" w14:paraId="1B895F3F" w14:textId="77777777" w:rsidTr="00567D48">
        <w:trPr>
          <w:cantSplit/>
          <w:trHeight w:val="58"/>
        </w:trPr>
        <w:tc>
          <w:tcPr>
            <w:tcW w:w="873" w:type="pct"/>
            <w:shd w:val="clear" w:color="auto" w:fill="auto"/>
          </w:tcPr>
          <w:p w14:paraId="497BA9B6" w14:textId="54E79134" w:rsidR="008D62B4" w:rsidRPr="00567D48" w:rsidRDefault="008D62B4" w:rsidP="008D62B4">
            <w:pPr>
              <w:keepLines/>
              <w:widowControl w:val="0"/>
              <w:spacing w:after="120"/>
              <w:jc w:val="center"/>
              <w:rPr>
                <w:rFonts w:asciiTheme="minorHAnsi" w:hAnsiTheme="minorHAnsi" w:cs="Arial"/>
                <w:snapToGrid w:val="0"/>
                <w:highlight w:val="yellow"/>
              </w:rPr>
            </w:pPr>
            <w:r w:rsidRPr="00567D48">
              <w:rPr>
                <w:rFonts w:asciiTheme="minorHAnsi" w:hAnsiTheme="minorHAnsi" w:cstheme="minorHAnsi"/>
              </w:rPr>
              <w:lastRenderedPageBreak/>
              <w:t>8. Aflibercept, ranibizumab</w:t>
            </w:r>
          </w:p>
        </w:tc>
        <w:tc>
          <w:tcPr>
            <w:tcW w:w="552" w:type="pct"/>
            <w:shd w:val="clear" w:color="auto" w:fill="auto"/>
          </w:tcPr>
          <w:p w14:paraId="282A8BED" w14:textId="52BA5639" w:rsidR="008D62B4" w:rsidRPr="00567D48" w:rsidRDefault="008D62B4" w:rsidP="008D62B4">
            <w:pPr>
              <w:keepLines/>
              <w:widowControl w:val="0"/>
              <w:spacing w:after="120"/>
              <w:jc w:val="center"/>
              <w:rPr>
                <w:rFonts w:asciiTheme="minorHAnsi" w:hAnsiTheme="minorHAnsi" w:cs="Arial"/>
                <w:snapToGrid w:val="0"/>
                <w:highlight w:val="yellow"/>
              </w:rPr>
            </w:pPr>
            <w:r w:rsidRPr="00567D48">
              <w:rPr>
                <w:rFonts w:asciiTheme="minorHAnsi" w:hAnsiTheme="minorHAnsi" w:cstheme="minorHAnsi"/>
              </w:rPr>
              <w:t xml:space="preserve">8. </w:t>
            </w:r>
            <w:proofErr w:type="spellStart"/>
            <w:r w:rsidRPr="00567D48">
              <w:rPr>
                <w:rFonts w:asciiTheme="minorHAnsi" w:hAnsiTheme="minorHAnsi" w:cstheme="minorHAnsi"/>
              </w:rPr>
              <w:t>Subfoveal</w:t>
            </w:r>
            <w:proofErr w:type="spellEnd"/>
            <w:r w:rsidRPr="00567D48">
              <w:rPr>
                <w:rFonts w:asciiTheme="minorHAnsi" w:hAnsiTheme="minorHAnsi" w:cstheme="minorHAnsi"/>
              </w:rPr>
              <w:t xml:space="preserve"> choroidal neovascularisation (CNV)</w:t>
            </w:r>
          </w:p>
        </w:tc>
        <w:tc>
          <w:tcPr>
            <w:tcW w:w="875" w:type="pct"/>
            <w:shd w:val="clear" w:color="auto" w:fill="auto"/>
          </w:tcPr>
          <w:p w14:paraId="0346D0A7" w14:textId="77777777" w:rsidR="008D62B4" w:rsidRPr="00567D48" w:rsidRDefault="008D62B4" w:rsidP="008D62B4">
            <w:pPr>
              <w:keepLines/>
              <w:widowControl w:val="0"/>
              <w:spacing w:after="120"/>
              <w:jc w:val="center"/>
              <w:rPr>
                <w:rFonts w:asciiTheme="minorHAnsi" w:hAnsiTheme="minorHAnsi" w:cs="Arial"/>
                <w:bCs/>
                <w:snapToGrid w:val="0"/>
                <w:color w:val="000000"/>
                <w:highlight w:val="yellow"/>
              </w:rPr>
            </w:pPr>
          </w:p>
        </w:tc>
        <w:tc>
          <w:tcPr>
            <w:tcW w:w="2700" w:type="pct"/>
            <w:shd w:val="clear" w:color="auto" w:fill="auto"/>
          </w:tcPr>
          <w:p w14:paraId="756E0FA9" w14:textId="77777777" w:rsidR="008D62B4" w:rsidRPr="00567D48" w:rsidRDefault="008D62B4" w:rsidP="008D62B4">
            <w:pPr>
              <w:rPr>
                <w:rFonts w:asciiTheme="minorHAnsi" w:hAnsiTheme="minorHAnsi" w:cstheme="minorHAnsi"/>
                <w:u w:val="single"/>
              </w:rPr>
            </w:pPr>
            <w:r w:rsidRPr="00567D48">
              <w:rPr>
                <w:rFonts w:asciiTheme="minorHAnsi" w:hAnsiTheme="minorHAnsi" w:cstheme="minorHAnsi"/>
              </w:rPr>
              <w:t xml:space="preserve">8. </w:t>
            </w:r>
            <w:proofErr w:type="spellStart"/>
            <w:r w:rsidRPr="00567D48">
              <w:rPr>
                <w:rFonts w:asciiTheme="minorHAnsi" w:hAnsiTheme="minorHAnsi" w:cstheme="minorHAnsi"/>
                <w:u w:val="single"/>
              </w:rPr>
              <w:t>Subfoveal</w:t>
            </w:r>
            <w:proofErr w:type="spellEnd"/>
            <w:r w:rsidRPr="00567D48">
              <w:rPr>
                <w:rFonts w:asciiTheme="minorHAnsi" w:hAnsiTheme="minorHAnsi" w:cstheme="minorHAnsi"/>
                <w:u w:val="single"/>
              </w:rPr>
              <w:t xml:space="preserve"> choroidal neovascularisation (CNV):</w:t>
            </w:r>
          </w:p>
          <w:p w14:paraId="1A5BC89F" w14:textId="77777777" w:rsidR="008D62B4" w:rsidRPr="00567D48" w:rsidRDefault="008D62B4" w:rsidP="008D62B4">
            <w:pPr>
              <w:rPr>
                <w:rFonts w:asciiTheme="minorHAnsi" w:hAnsiTheme="minorHAnsi" w:cstheme="minorHAnsi"/>
              </w:rPr>
            </w:pPr>
            <w:r w:rsidRPr="00567D48">
              <w:rPr>
                <w:rFonts w:asciiTheme="minorHAnsi" w:hAnsiTheme="minorHAnsi" w:cstheme="minorHAnsi"/>
              </w:rPr>
              <w:t xml:space="preserve">The PBAC acknowledged the administrative burden associated with the objective assessment initial treatment criteria and the written authority application. The PBAC noted that prescribing of these medicines on the PBS is limited to ophthalmologists or accredited ophthalmology registrars in consultation with an ophthalmologist. The PBAC noted sponsor comments that clinicians report the detailed requirements of the written authority application results in less time to consult with patients or delegation of the responsibility for completion. </w:t>
            </w:r>
          </w:p>
          <w:p w14:paraId="4E2C49E9" w14:textId="77777777" w:rsidR="008D62B4" w:rsidRPr="00567D48" w:rsidRDefault="008D62B4" w:rsidP="008D62B4">
            <w:pPr>
              <w:rPr>
                <w:rFonts w:asciiTheme="minorHAnsi" w:hAnsiTheme="minorHAnsi" w:cstheme="minorHAnsi"/>
              </w:rPr>
            </w:pPr>
            <w:r w:rsidRPr="00567D48">
              <w:rPr>
                <w:rFonts w:asciiTheme="minorHAnsi" w:hAnsiTheme="minorHAnsi" w:cstheme="minorHAnsi"/>
              </w:rPr>
              <w:t>The PBAC agreed with DUSC that the written authority application is necessary to mitigate the risk of leakage outside of the PBS subsidised indication to proliferative diabetic retinopathy, the progressively growing market for CNV due to AMD, the immaturity of the CNV due to PM and rare diseases markets and the associated financial risk to government.</w:t>
            </w:r>
          </w:p>
          <w:p w14:paraId="141C5ACC" w14:textId="77777777" w:rsidR="008D62B4" w:rsidRPr="00567D48" w:rsidRDefault="008D62B4" w:rsidP="008D62B4">
            <w:pPr>
              <w:rPr>
                <w:rFonts w:asciiTheme="minorHAnsi" w:hAnsiTheme="minorHAnsi" w:cstheme="minorHAnsi"/>
              </w:rPr>
            </w:pPr>
            <w:r w:rsidRPr="00567D48">
              <w:rPr>
                <w:rFonts w:asciiTheme="minorHAnsi" w:hAnsiTheme="minorHAnsi" w:cstheme="minorHAnsi"/>
              </w:rPr>
              <w:t>The PBAC agreed with DUSC advice that the authority requirements across DMO, RVO and CNV PBS indications should be consistent.</w:t>
            </w:r>
          </w:p>
          <w:p w14:paraId="4EBF4A11" w14:textId="47F0A183" w:rsidR="008D62B4" w:rsidRPr="00567D48" w:rsidRDefault="008D62B4" w:rsidP="008D62B4">
            <w:pPr>
              <w:keepLines/>
              <w:widowControl w:val="0"/>
              <w:spacing w:after="120"/>
              <w:rPr>
                <w:rFonts w:asciiTheme="minorHAnsi" w:hAnsiTheme="minorHAnsi" w:cs="Arial"/>
                <w:bCs/>
                <w:snapToGrid w:val="0"/>
              </w:rPr>
            </w:pPr>
            <w:r w:rsidRPr="00567D48">
              <w:rPr>
                <w:rFonts w:asciiTheme="minorHAnsi" w:hAnsiTheme="minorHAnsi" w:cstheme="minorHAnsi"/>
              </w:rPr>
              <w:t xml:space="preserve">The PBAC recommended an amendment to the authority requirements for the continuing treatment restriction for CNV for ranibizumab and aflibercept from Authority Required (Telephone/Electronic) to Authority Required (STREAMLINED). The PBAC considered this amendment would not substantially increase the financial risk to the government and would assist in reducing the administrative burden for specialist clinicians and improve timely access to treatment for patients.  </w:t>
            </w:r>
          </w:p>
        </w:tc>
      </w:tr>
      <w:tr w:rsidR="008D62B4" w:rsidRPr="00567D48" w14:paraId="52A00681" w14:textId="77777777" w:rsidTr="00567D48">
        <w:trPr>
          <w:cantSplit/>
          <w:trHeight w:val="58"/>
        </w:trPr>
        <w:tc>
          <w:tcPr>
            <w:tcW w:w="873" w:type="pct"/>
            <w:shd w:val="clear" w:color="auto" w:fill="auto"/>
          </w:tcPr>
          <w:p w14:paraId="27CE6F76" w14:textId="598C5EF2" w:rsidR="008D62B4" w:rsidRPr="00567D48" w:rsidRDefault="008D62B4" w:rsidP="008D62B4">
            <w:pPr>
              <w:keepLines/>
              <w:widowControl w:val="0"/>
              <w:spacing w:after="120"/>
              <w:jc w:val="center"/>
              <w:rPr>
                <w:rFonts w:asciiTheme="minorHAnsi" w:hAnsiTheme="minorHAnsi" w:cstheme="minorHAnsi"/>
              </w:rPr>
            </w:pPr>
            <w:r w:rsidRPr="00567D48">
              <w:rPr>
                <w:rFonts w:asciiTheme="minorHAnsi" w:hAnsiTheme="minorHAnsi" w:cstheme="minorHAnsi"/>
              </w:rPr>
              <w:t>9. Eculizumab</w:t>
            </w:r>
          </w:p>
        </w:tc>
        <w:tc>
          <w:tcPr>
            <w:tcW w:w="552" w:type="pct"/>
            <w:shd w:val="clear" w:color="auto" w:fill="auto"/>
          </w:tcPr>
          <w:p w14:paraId="3596D8DC" w14:textId="7923409A" w:rsidR="008D62B4" w:rsidRPr="00567D48" w:rsidRDefault="008D62B4" w:rsidP="008D62B4">
            <w:pPr>
              <w:keepLines/>
              <w:widowControl w:val="0"/>
              <w:spacing w:after="120"/>
              <w:jc w:val="center"/>
              <w:rPr>
                <w:rFonts w:asciiTheme="minorHAnsi" w:hAnsiTheme="minorHAnsi" w:cstheme="minorHAnsi"/>
              </w:rPr>
            </w:pPr>
            <w:r w:rsidRPr="00567D48">
              <w:rPr>
                <w:rFonts w:asciiTheme="minorHAnsi" w:hAnsiTheme="minorHAnsi" w:cstheme="minorHAnsi"/>
              </w:rPr>
              <w:t>9. Atypical haemolytic uraemic syndrome (</w:t>
            </w:r>
            <w:proofErr w:type="spellStart"/>
            <w:r w:rsidRPr="00567D48">
              <w:rPr>
                <w:rFonts w:asciiTheme="minorHAnsi" w:hAnsiTheme="minorHAnsi" w:cstheme="minorHAnsi"/>
              </w:rPr>
              <w:t>aHUS</w:t>
            </w:r>
            <w:proofErr w:type="spellEnd"/>
            <w:r w:rsidRPr="00567D48">
              <w:rPr>
                <w:rFonts w:asciiTheme="minorHAnsi" w:hAnsiTheme="minorHAnsi" w:cstheme="minorHAnsi"/>
              </w:rPr>
              <w:t>)</w:t>
            </w:r>
          </w:p>
        </w:tc>
        <w:tc>
          <w:tcPr>
            <w:tcW w:w="875" w:type="pct"/>
            <w:shd w:val="clear" w:color="auto" w:fill="auto"/>
          </w:tcPr>
          <w:p w14:paraId="770A4556" w14:textId="77777777" w:rsidR="008D62B4" w:rsidRPr="00567D48" w:rsidRDefault="008D62B4" w:rsidP="008D62B4">
            <w:pPr>
              <w:keepLines/>
              <w:widowControl w:val="0"/>
              <w:spacing w:after="120"/>
              <w:jc w:val="center"/>
              <w:rPr>
                <w:rFonts w:asciiTheme="minorHAnsi" w:hAnsiTheme="minorHAnsi" w:cs="Arial"/>
                <w:bCs/>
                <w:snapToGrid w:val="0"/>
                <w:color w:val="000000"/>
                <w:highlight w:val="yellow"/>
              </w:rPr>
            </w:pPr>
          </w:p>
        </w:tc>
        <w:tc>
          <w:tcPr>
            <w:tcW w:w="2700" w:type="pct"/>
            <w:shd w:val="clear" w:color="auto" w:fill="auto"/>
          </w:tcPr>
          <w:p w14:paraId="58725A37" w14:textId="77777777" w:rsidR="008D62B4" w:rsidRPr="00567D48" w:rsidRDefault="008D62B4" w:rsidP="008D62B4">
            <w:pPr>
              <w:pStyle w:val="3Bodytext"/>
              <w:spacing w:line="256" w:lineRule="auto"/>
              <w:rPr>
                <w:rFonts w:cstheme="minorHAnsi"/>
                <w:bCs/>
                <w:sz w:val="20"/>
                <w:szCs w:val="20"/>
                <w:u w:val="single"/>
              </w:rPr>
            </w:pPr>
            <w:r w:rsidRPr="00567D48">
              <w:rPr>
                <w:rFonts w:cstheme="minorHAnsi"/>
                <w:bCs/>
                <w:sz w:val="20"/>
                <w:szCs w:val="20"/>
                <w:u w:val="single"/>
              </w:rPr>
              <w:t xml:space="preserve">9. </w:t>
            </w:r>
            <w:r w:rsidRPr="00567D48">
              <w:rPr>
                <w:rFonts w:cstheme="minorHAnsi"/>
                <w:sz w:val="20"/>
                <w:szCs w:val="20"/>
                <w:u w:val="single"/>
              </w:rPr>
              <w:t>Atypical haemolytic uraemic syndrome (</w:t>
            </w:r>
            <w:proofErr w:type="spellStart"/>
            <w:r w:rsidRPr="00567D48">
              <w:rPr>
                <w:rFonts w:cstheme="minorHAnsi"/>
                <w:sz w:val="20"/>
                <w:szCs w:val="20"/>
                <w:u w:val="single"/>
              </w:rPr>
              <w:t>aHUS</w:t>
            </w:r>
            <w:proofErr w:type="spellEnd"/>
            <w:r w:rsidRPr="00567D48">
              <w:rPr>
                <w:rFonts w:cstheme="minorHAnsi"/>
                <w:sz w:val="20"/>
                <w:szCs w:val="20"/>
                <w:u w:val="single"/>
              </w:rPr>
              <w:t>):</w:t>
            </w:r>
          </w:p>
          <w:p w14:paraId="35FBDD01" w14:textId="77777777" w:rsidR="008D62B4" w:rsidRPr="00567D48" w:rsidRDefault="008D62B4" w:rsidP="008D62B4">
            <w:pPr>
              <w:rPr>
                <w:rFonts w:asciiTheme="minorHAnsi" w:hAnsiTheme="minorHAnsi" w:cstheme="minorHAnsi"/>
              </w:rPr>
            </w:pPr>
            <w:r w:rsidRPr="00567D48">
              <w:rPr>
                <w:rFonts w:asciiTheme="minorHAnsi" w:hAnsiTheme="minorHAnsi" w:cstheme="minorHAnsi"/>
              </w:rPr>
              <w:t xml:space="preserve">The PBAC considered the market for eculizumab is not yet stable, with continuous growth in incident and prevalent patients. </w:t>
            </w:r>
          </w:p>
          <w:p w14:paraId="1A5A2DDB" w14:textId="77777777" w:rsidR="008D62B4" w:rsidRPr="00567D48" w:rsidRDefault="008D62B4" w:rsidP="008D62B4">
            <w:pPr>
              <w:rPr>
                <w:rFonts w:asciiTheme="minorHAnsi" w:hAnsiTheme="minorHAnsi" w:cstheme="minorHAnsi"/>
              </w:rPr>
            </w:pPr>
            <w:r w:rsidRPr="00567D48">
              <w:rPr>
                <w:rFonts w:asciiTheme="minorHAnsi" w:hAnsiTheme="minorHAnsi" w:cstheme="minorHAnsi"/>
              </w:rPr>
              <w:t>The PBAC acknowledged the high administrative burden for prescribers associated with the current initial and continuing written authority applications for eculizumab. The PBAC considered written authority applications necessary to assist in maintaining cost-effectiveness by minimising the risk of leakage within the indication and to treat related conditions.</w:t>
            </w:r>
          </w:p>
          <w:p w14:paraId="6012F724" w14:textId="109DF0C5" w:rsidR="008D62B4" w:rsidRPr="00567D48" w:rsidRDefault="008D62B4" w:rsidP="008D62B4">
            <w:pPr>
              <w:rPr>
                <w:rFonts w:asciiTheme="minorHAnsi" w:hAnsiTheme="minorHAnsi" w:cstheme="minorHAnsi"/>
              </w:rPr>
            </w:pPr>
            <w:r w:rsidRPr="00567D48">
              <w:rPr>
                <w:rFonts w:asciiTheme="minorHAnsi" w:hAnsiTheme="minorHAnsi" w:cstheme="minorHAnsi"/>
              </w:rPr>
              <w:t xml:space="preserve">The PBAC did not recommend an amendment to the authority requirements for eculizumab for </w:t>
            </w:r>
            <w:proofErr w:type="spellStart"/>
            <w:r w:rsidRPr="00567D48">
              <w:rPr>
                <w:rFonts w:asciiTheme="minorHAnsi" w:hAnsiTheme="minorHAnsi" w:cstheme="minorHAnsi"/>
              </w:rPr>
              <w:t>aHUS</w:t>
            </w:r>
            <w:proofErr w:type="spellEnd"/>
            <w:r w:rsidRPr="00567D48">
              <w:rPr>
                <w:rFonts w:asciiTheme="minorHAnsi" w:hAnsiTheme="minorHAnsi" w:cstheme="minorHAnsi"/>
              </w:rPr>
              <w:t xml:space="preserve">, noting the financial risk to the government through any fluctuation in patient numbers and the risk of leakage to use in similar indications without other treatment options. </w:t>
            </w:r>
          </w:p>
        </w:tc>
      </w:tr>
    </w:tbl>
    <w:p w14:paraId="237E7119" w14:textId="77777777" w:rsidR="000F6F0D" w:rsidRPr="00567D48" w:rsidRDefault="000F6F0D" w:rsidP="00EF3B9C">
      <w:pPr>
        <w:rPr>
          <w:rFonts w:asciiTheme="minorHAnsi" w:hAnsiTheme="minorHAnsi" w:cs="Arial"/>
          <w:b/>
          <w:lang w:val="en-US"/>
        </w:rPr>
      </w:pPr>
    </w:p>
    <w:p w14:paraId="1057A65E" w14:textId="77777777" w:rsidR="009D162D" w:rsidRDefault="009D162D" w:rsidP="009D162D">
      <w:pPr>
        <w:rPr>
          <w:rFonts w:asciiTheme="minorHAnsi" w:hAnsiTheme="minorHAnsi" w:cs="Arial"/>
          <w:b/>
          <w:lang w:val="en-US"/>
        </w:rPr>
      </w:pPr>
    </w:p>
    <w:p w14:paraId="0318DD1E" w14:textId="21AD4C5F" w:rsidR="009D162D" w:rsidRDefault="009D162D" w:rsidP="009D162D">
      <w:pPr>
        <w:rPr>
          <w:rFonts w:asciiTheme="minorHAnsi" w:hAnsiTheme="minorHAnsi" w:cs="Arial"/>
          <w:b/>
          <w:lang w:val="en-US"/>
        </w:rPr>
      </w:pPr>
      <w:r>
        <w:rPr>
          <w:rFonts w:asciiTheme="minorHAnsi" w:hAnsiTheme="minorHAnsi" w:cs="Arial"/>
          <w:b/>
          <w:lang w:val="en-US"/>
        </w:rPr>
        <w:lastRenderedPageBreak/>
        <w:t xml:space="preserve">Version </w:t>
      </w:r>
      <w:r>
        <w:rPr>
          <w:rFonts w:asciiTheme="minorHAnsi" w:hAnsiTheme="minorHAnsi" w:cs="Arial"/>
          <w:b/>
          <w:lang w:val="en-US"/>
        </w:rPr>
        <w:t>2</w:t>
      </w:r>
    </w:p>
    <w:p w14:paraId="6BE787F6" w14:textId="77777777" w:rsidR="009D162D" w:rsidRPr="00E748D3" w:rsidRDefault="009D162D" w:rsidP="009D162D">
      <w:pPr>
        <w:rPr>
          <w:rFonts w:asciiTheme="minorHAnsi" w:hAnsiTheme="minorHAnsi" w:cs="Arial"/>
          <w:lang w:val="en-US"/>
        </w:rPr>
      </w:pPr>
      <w:r w:rsidRPr="00E748D3">
        <w:rPr>
          <w:rFonts w:asciiTheme="minorHAnsi" w:hAnsiTheme="minorHAnsi" w:cs="Arial"/>
          <w:lang w:val="en-US"/>
        </w:rPr>
        <w:t>Amendment</w:t>
      </w:r>
    </w:p>
    <w:p w14:paraId="27E22876" w14:textId="016503F9" w:rsidR="000F6F0D" w:rsidRPr="00E748D3" w:rsidRDefault="009D162D" w:rsidP="00E748D3">
      <w:pPr>
        <w:pStyle w:val="ListParagraph"/>
        <w:numPr>
          <w:ilvl w:val="0"/>
          <w:numId w:val="13"/>
        </w:numPr>
        <w:rPr>
          <w:rFonts w:asciiTheme="minorHAnsi" w:hAnsiTheme="minorHAnsi" w:cs="Arial"/>
          <w:b/>
          <w:lang w:val="en-US"/>
        </w:rPr>
      </w:pPr>
      <w:r w:rsidRPr="00E748D3">
        <w:rPr>
          <w:rFonts w:asciiTheme="minorHAnsi" w:hAnsiTheme="minorHAnsi" w:cs="Arial"/>
          <w:sz w:val="20"/>
          <w:szCs w:val="20"/>
        </w:rPr>
        <w:t xml:space="preserve">Updated form for </w:t>
      </w:r>
      <w:proofErr w:type="spellStart"/>
      <w:r w:rsidRPr="00E748D3">
        <w:rPr>
          <w:rFonts w:asciiTheme="minorHAnsi" w:hAnsiTheme="minorHAnsi" w:cs="Arial"/>
          <w:sz w:val="20"/>
          <w:szCs w:val="20"/>
        </w:rPr>
        <w:t>trientine</w:t>
      </w:r>
      <w:proofErr w:type="spellEnd"/>
      <w:r w:rsidRPr="00E748D3">
        <w:rPr>
          <w:rFonts w:asciiTheme="minorHAnsi" w:hAnsiTheme="minorHAnsi" w:cs="Arial"/>
          <w:sz w:val="20"/>
          <w:szCs w:val="20"/>
        </w:rPr>
        <w:t xml:space="preserve"> dihydrochloride (</w:t>
      </w:r>
      <w:proofErr w:type="spellStart"/>
      <w:r w:rsidRPr="00E748D3">
        <w:rPr>
          <w:rFonts w:asciiTheme="minorHAnsi" w:hAnsiTheme="minorHAnsi" w:cs="Arial"/>
          <w:sz w:val="20"/>
          <w:szCs w:val="20"/>
        </w:rPr>
        <w:t>Waymade</w:t>
      </w:r>
      <w:proofErr w:type="spellEnd"/>
      <w:r w:rsidRPr="00E748D3">
        <w:rPr>
          <w:rFonts w:asciiTheme="minorHAnsi" w:hAnsiTheme="minorHAnsi" w:cs="Arial"/>
          <w:sz w:val="20"/>
          <w:szCs w:val="20"/>
        </w:rPr>
        <w:t>®)</w:t>
      </w:r>
    </w:p>
    <w:p w14:paraId="410E86A3" w14:textId="01C22901" w:rsidR="00FB3935" w:rsidRPr="00567D48" w:rsidRDefault="00FB3935">
      <w:pPr>
        <w:rPr>
          <w:rFonts w:asciiTheme="minorHAnsi" w:hAnsiTheme="minorHAnsi" w:cs="Arial"/>
          <w:b/>
          <w:lang w:val="en-US"/>
        </w:rPr>
      </w:pPr>
    </w:p>
    <w:p w14:paraId="6B64D1DE" w14:textId="721C2BBC" w:rsidR="007F48F6" w:rsidRPr="00567D48" w:rsidRDefault="007F48F6" w:rsidP="007F48F6">
      <w:pPr>
        <w:rPr>
          <w:rFonts w:asciiTheme="minorHAnsi" w:hAnsiTheme="minorHAnsi" w:cs="Arial"/>
          <w:b/>
          <w:lang w:val="en-US"/>
        </w:rPr>
      </w:pPr>
      <w:r w:rsidRPr="00567D48">
        <w:rPr>
          <w:rFonts w:asciiTheme="minorHAnsi" w:hAnsiTheme="minorHAnsi" w:cs="Arial"/>
          <w:b/>
          <w:lang w:val="en-US"/>
        </w:rPr>
        <w:t>Submission category types</w:t>
      </w:r>
    </w:p>
    <w:p w14:paraId="15D4233E" w14:textId="77777777" w:rsidR="007F48F6" w:rsidRPr="00567D48" w:rsidRDefault="007F48F6" w:rsidP="007F48F6">
      <w:pPr>
        <w:rPr>
          <w:rFonts w:asciiTheme="minorHAnsi" w:hAnsiTheme="minorHAnsi" w:cs="Arial"/>
          <w:b/>
          <w:lang w:val="en-US"/>
        </w:rPr>
      </w:pPr>
    </w:p>
    <w:tbl>
      <w:tblPr>
        <w:tblStyle w:val="TableGrid"/>
        <w:tblW w:w="14458" w:type="dxa"/>
        <w:tblInd w:w="421" w:type="dxa"/>
        <w:tblLook w:val="04A0" w:firstRow="1" w:lastRow="0" w:firstColumn="1" w:lastColumn="0" w:noHBand="0" w:noVBand="1"/>
      </w:tblPr>
      <w:tblGrid>
        <w:gridCol w:w="1984"/>
        <w:gridCol w:w="12474"/>
      </w:tblGrid>
      <w:tr w:rsidR="007F48F6" w:rsidRPr="00567D48" w14:paraId="49C9D26F" w14:textId="77777777" w:rsidTr="005B583D">
        <w:tc>
          <w:tcPr>
            <w:tcW w:w="1984" w:type="dxa"/>
          </w:tcPr>
          <w:p w14:paraId="1640FA5D" w14:textId="3DC6C07C" w:rsidR="007F48F6" w:rsidRPr="00567D48" w:rsidRDefault="007F48F6" w:rsidP="00A159CA">
            <w:pPr>
              <w:autoSpaceDE w:val="0"/>
              <w:autoSpaceDN w:val="0"/>
              <w:adjustRightInd w:val="0"/>
              <w:rPr>
                <w:rFonts w:asciiTheme="minorHAnsi" w:hAnsiTheme="minorHAnsi" w:cs="Arial"/>
                <w:b/>
                <w:lang w:val="en-US"/>
              </w:rPr>
            </w:pPr>
            <w:r w:rsidRPr="00567D48">
              <w:rPr>
                <w:rFonts w:asciiTheme="minorHAnsi" w:hAnsiTheme="minorHAnsi" w:cs="Arial"/>
                <w:b/>
                <w:color w:val="000000"/>
              </w:rPr>
              <w:t>Category 1</w:t>
            </w:r>
          </w:p>
        </w:tc>
        <w:tc>
          <w:tcPr>
            <w:tcW w:w="12474" w:type="dxa"/>
          </w:tcPr>
          <w:p w14:paraId="55D16D51" w14:textId="77777777" w:rsidR="007F48F6" w:rsidRPr="00567D48" w:rsidRDefault="007F48F6" w:rsidP="005B583D">
            <w:pPr>
              <w:autoSpaceDE w:val="0"/>
              <w:autoSpaceDN w:val="0"/>
              <w:adjustRightInd w:val="0"/>
              <w:rPr>
                <w:rFonts w:asciiTheme="minorHAnsi" w:hAnsiTheme="minorHAnsi" w:cs="Arial"/>
                <w:b/>
                <w:color w:val="000000"/>
              </w:rPr>
            </w:pPr>
            <w:r w:rsidRPr="00567D48">
              <w:rPr>
                <w:rFonts w:asciiTheme="minorHAnsi" w:hAnsiTheme="minorHAnsi" w:cs="Arial"/>
                <w:color w:val="000000"/>
              </w:rPr>
              <w:t xml:space="preserve">A request for PBS or NIP listing of one or more of the following: </w:t>
            </w:r>
          </w:p>
          <w:p w14:paraId="5E5BAAB8" w14:textId="77777777" w:rsidR="007F48F6" w:rsidRPr="00567D48" w:rsidRDefault="007F48F6" w:rsidP="005B583D">
            <w:pPr>
              <w:pStyle w:val="ListParagraph"/>
              <w:numPr>
                <w:ilvl w:val="0"/>
                <w:numId w:val="3"/>
              </w:numPr>
              <w:autoSpaceDE w:val="0"/>
              <w:autoSpaceDN w:val="0"/>
              <w:adjustRightInd w:val="0"/>
              <w:ind w:left="360"/>
              <w:rPr>
                <w:rFonts w:asciiTheme="minorHAnsi" w:hAnsiTheme="minorHAnsi" w:cs="Arial"/>
                <w:b/>
                <w:color w:val="000000"/>
                <w:sz w:val="20"/>
                <w:szCs w:val="20"/>
              </w:rPr>
            </w:pPr>
            <w:r w:rsidRPr="00567D48">
              <w:rPr>
                <w:rFonts w:asciiTheme="minorHAnsi" w:hAnsiTheme="minorHAnsi" w:cs="Arial"/>
                <w:color w:val="000000"/>
                <w:sz w:val="20"/>
                <w:szCs w:val="20"/>
              </w:rPr>
              <w:t xml:space="preserve">A first in class medicine or vaccine, and/or a medicine or vaccine for a new population. OR </w:t>
            </w:r>
          </w:p>
          <w:p w14:paraId="7DB13D11" w14:textId="77777777" w:rsidR="007F48F6" w:rsidRPr="00567D48" w:rsidRDefault="007F48F6" w:rsidP="005B583D">
            <w:pPr>
              <w:pStyle w:val="ListParagraph"/>
              <w:numPr>
                <w:ilvl w:val="0"/>
                <w:numId w:val="3"/>
              </w:numPr>
              <w:autoSpaceDE w:val="0"/>
              <w:autoSpaceDN w:val="0"/>
              <w:adjustRightInd w:val="0"/>
              <w:ind w:left="360"/>
              <w:rPr>
                <w:rFonts w:asciiTheme="minorHAnsi" w:hAnsiTheme="minorHAnsi" w:cs="Arial"/>
                <w:b/>
                <w:color w:val="000000"/>
                <w:sz w:val="20"/>
                <w:szCs w:val="20"/>
              </w:rPr>
            </w:pPr>
            <w:r w:rsidRPr="00567D48">
              <w:rPr>
                <w:rFonts w:asciiTheme="minorHAnsi" w:hAnsiTheme="minorHAnsi" w:cs="Arial"/>
                <w:color w:val="000000"/>
                <w:sz w:val="20"/>
                <w:szCs w:val="20"/>
              </w:rPr>
              <w:t xml:space="preserve">A drug with a codependent technology that requires an integrated codependent submission to the PBAC and MSAC. OR </w:t>
            </w:r>
          </w:p>
          <w:p w14:paraId="1380A86B" w14:textId="77777777" w:rsidR="007F48F6" w:rsidRPr="00567D48" w:rsidRDefault="007F48F6" w:rsidP="005B583D">
            <w:pPr>
              <w:pStyle w:val="ListParagraph"/>
              <w:numPr>
                <w:ilvl w:val="0"/>
                <w:numId w:val="3"/>
              </w:numPr>
              <w:autoSpaceDE w:val="0"/>
              <w:autoSpaceDN w:val="0"/>
              <w:adjustRightInd w:val="0"/>
              <w:ind w:left="360"/>
              <w:rPr>
                <w:rFonts w:asciiTheme="minorHAnsi" w:hAnsiTheme="minorHAnsi" w:cs="Arial"/>
                <w:b/>
                <w:color w:val="000000"/>
                <w:sz w:val="20"/>
                <w:szCs w:val="20"/>
              </w:rPr>
            </w:pPr>
            <w:r w:rsidRPr="00567D48">
              <w:rPr>
                <w:rFonts w:asciiTheme="minorHAnsi" w:hAnsiTheme="minorHAnsi" w:cs="Arial"/>
                <w:color w:val="000000"/>
                <w:sz w:val="20"/>
                <w:szCs w:val="20"/>
              </w:rPr>
              <w:t>A drug or designated vaccine with a TGA Provisional determination related to the proposed population.</w:t>
            </w:r>
          </w:p>
        </w:tc>
      </w:tr>
      <w:tr w:rsidR="007F48F6" w:rsidRPr="00567D48" w14:paraId="55E97F75" w14:textId="77777777" w:rsidTr="005B583D">
        <w:tc>
          <w:tcPr>
            <w:tcW w:w="1984" w:type="dxa"/>
          </w:tcPr>
          <w:p w14:paraId="5E9AC3B0" w14:textId="77777777" w:rsidR="007F48F6" w:rsidRPr="00567D48" w:rsidRDefault="007F48F6" w:rsidP="005B583D">
            <w:pPr>
              <w:tabs>
                <w:tab w:val="left" w:pos="5210"/>
              </w:tabs>
              <w:rPr>
                <w:rFonts w:asciiTheme="minorHAnsi" w:hAnsiTheme="minorHAnsi" w:cs="Arial"/>
                <w:b/>
                <w:lang w:val="en-US"/>
              </w:rPr>
            </w:pPr>
            <w:r w:rsidRPr="00567D48">
              <w:rPr>
                <w:rFonts w:asciiTheme="minorHAnsi" w:hAnsiTheme="minorHAnsi" w:cs="Arial"/>
                <w:b/>
              </w:rPr>
              <w:t>Category 2</w:t>
            </w:r>
          </w:p>
        </w:tc>
        <w:tc>
          <w:tcPr>
            <w:tcW w:w="12474" w:type="dxa"/>
          </w:tcPr>
          <w:p w14:paraId="72522F32" w14:textId="77777777" w:rsidR="007F48F6" w:rsidRPr="00567D48" w:rsidRDefault="007F48F6" w:rsidP="005B583D">
            <w:pPr>
              <w:tabs>
                <w:tab w:val="left" w:pos="5210"/>
              </w:tabs>
              <w:rPr>
                <w:rFonts w:asciiTheme="minorHAnsi" w:hAnsiTheme="minorHAnsi" w:cs="Arial"/>
              </w:rPr>
            </w:pPr>
            <w:r w:rsidRPr="00567D48">
              <w:rPr>
                <w:rFonts w:asciiTheme="minorHAnsi" w:hAnsiTheme="minorHAnsi" w:cs="Arial"/>
              </w:rPr>
              <w:t>A request for PBS or NIP listing of a new medicine or new vaccine, a new indication of a currently listed medicine or vaccine, or to make material changes to a currently listed indication and do not meet the criteria for a Category 1 submission.</w:t>
            </w:r>
          </w:p>
        </w:tc>
      </w:tr>
      <w:tr w:rsidR="007F48F6" w:rsidRPr="00567D48" w14:paraId="2189A220" w14:textId="77777777" w:rsidTr="005B583D">
        <w:tc>
          <w:tcPr>
            <w:tcW w:w="1984" w:type="dxa"/>
          </w:tcPr>
          <w:p w14:paraId="79CB93BA" w14:textId="77777777" w:rsidR="007F48F6" w:rsidRPr="00567D48" w:rsidRDefault="007F48F6" w:rsidP="005B583D">
            <w:pPr>
              <w:tabs>
                <w:tab w:val="left" w:pos="5210"/>
              </w:tabs>
              <w:rPr>
                <w:rFonts w:asciiTheme="minorHAnsi" w:hAnsiTheme="minorHAnsi" w:cs="Arial"/>
                <w:b/>
                <w:lang w:val="en-US"/>
              </w:rPr>
            </w:pPr>
            <w:r w:rsidRPr="00567D48">
              <w:rPr>
                <w:rFonts w:asciiTheme="minorHAnsi" w:hAnsiTheme="minorHAnsi" w:cs="Arial"/>
                <w:b/>
              </w:rPr>
              <w:t>Category 3</w:t>
            </w:r>
          </w:p>
        </w:tc>
        <w:tc>
          <w:tcPr>
            <w:tcW w:w="12474" w:type="dxa"/>
          </w:tcPr>
          <w:p w14:paraId="11EF39D0" w14:textId="77777777" w:rsidR="007F48F6" w:rsidRPr="00567D48" w:rsidRDefault="007F48F6" w:rsidP="005B583D">
            <w:pPr>
              <w:tabs>
                <w:tab w:val="left" w:pos="5210"/>
              </w:tabs>
              <w:rPr>
                <w:rFonts w:asciiTheme="minorHAnsi" w:hAnsiTheme="minorHAnsi" w:cs="Arial"/>
              </w:rPr>
            </w:pPr>
            <w:r w:rsidRPr="00567D48">
              <w:rPr>
                <w:rFonts w:asciiTheme="minorHAnsi" w:hAnsiTheme="minorHAnsi" w:cs="Arial"/>
              </w:rPr>
              <w:t>Requests to change existing listings that do not change the population or cost-effectiveness of the medicine or vaccine that do not meet the criteria for a Category 4 submission.</w:t>
            </w:r>
          </w:p>
        </w:tc>
      </w:tr>
      <w:tr w:rsidR="007F48F6" w:rsidRPr="00567D48" w14:paraId="3189B6F0" w14:textId="77777777" w:rsidTr="005B583D">
        <w:tc>
          <w:tcPr>
            <w:tcW w:w="1984" w:type="dxa"/>
          </w:tcPr>
          <w:p w14:paraId="381D7CFE" w14:textId="5CAA3093" w:rsidR="007F48F6" w:rsidRPr="00567D48" w:rsidRDefault="007F48F6" w:rsidP="005B583D">
            <w:pPr>
              <w:pStyle w:val="Default"/>
              <w:rPr>
                <w:rFonts w:asciiTheme="minorHAnsi" w:hAnsiTheme="minorHAnsi" w:cs="Arial"/>
                <w:b/>
                <w:sz w:val="20"/>
                <w:szCs w:val="20"/>
                <w:lang w:val="en-US"/>
              </w:rPr>
            </w:pPr>
            <w:r w:rsidRPr="00567D48">
              <w:rPr>
                <w:rFonts w:asciiTheme="minorHAnsi" w:hAnsiTheme="minorHAnsi" w:cs="Arial"/>
                <w:b/>
                <w:sz w:val="20"/>
                <w:szCs w:val="20"/>
              </w:rPr>
              <w:t xml:space="preserve">Category 4 </w:t>
            </w:r>
          </w:p>
        </w:tc>
        <w:tc>
          <w:tcPr>
            <w:tcW w:w="12474" w:type="dxa"/>
          </w:tcPr>
          <w:p w14:paraId="5E50EE2B" w14:textId="77777777" w:rsidR="007F48F6" w:rsidRPr="00567D48" w:rsidRDefault="007F48F6" w:rsidP="005B583D">
            <w:pPr>
              <w:pStyle w:val="Default"/>
              <w:rPr>
                <w:rFonts w:asciiTheme="minorHAnsi" w:hAnsiTheme="minorHAnsi" w:cs="Arial"/>
                <w:b/>
                <w:sz w:val="20"/>
                <w:szCs w:val="20"/>
              </w:rPr>
            </w:pPr>
            <w:r w:rsidRPr="00567D48">
              <w:rPr>
                <w:rFonts w:asciiTheme="minorHAnsi" w:hAnsiTheme="minorHAnsi" w:cs="Arial"/>
                <w:sz w:val="20"/>
                <w:szCs w:val="20"/>
              </w:rPr>
              <w:t xml:space="preserve">A request for one or more of the following: </w:t>
            </w:r>
          </w:p>
          <w:p w14:paraId="61CDD5EA" w14:textId="77777777" w:rsidR="007F48F6" w:rsidRPr="00567D48" w:rsidRDefault="007F48F6" w:rsidP="005B583D">
            <w:pPr>
              <w:pStyle w:val="ListParagraph"/>
              <w:numPr>
                <w:ilvl w:val="0"/>
                <w:numId w:val="4"/>
              </w:numPr>
              <w:autoSpaceDE w:val="0"/>
              <w:autoSpaceDN w:val="0"/>
              <w:adjustRightInd w:val="0"/>
              <w:ind w:left="360"/>
              <w:rPr>
                <w:rFonts w:asciiTheme="minorHAnsi" w:hAnsiTheme="minorHAnsi" w:cs="Arial"/>
                <w:b/>
                <w:color w:val="000000"/>
                <w:sz w:val="20"/>
                <w:szCs w:val="20"/>
              </w:rPr>
            </w:pPr>
            <w:r w:rsidRPr="00567D48">
              <w:rPr>
                <w:rFonts w:asciiTheme="minorHAnsi" w:hAnsiTheme="minorHAnsi" w:cs="Arial"/>
                <w:color w:val="000000"/>
                <w:sz w:val="20"/>
                <w:szCs w:val="20"/>
              </w:rPr>
              <w:t xml:space="preserve">Listing of a new pharmaceutical item of a listed medicine. </w:t>
            </w:r>
          </w:p>
          <w:p w14:paraId="30945A3C" w14:textId="77777777" w:rsidR="007F48F6" w:rsidRPr="00567D48" w:rsidRDefault="007F48F6" w:rsidP="005B583D">
            <w:pPr>
              <w:pStyle w:val="ListParagraph"/>
              <w:numPr>
                <w:ilvl w:val="0"/>
                <w:numId w:val="4"/>
              </w:numPr>
              <w:autoSpaceDE w:val="0"/>
              <w:autoSpaceDN w:val="0"/>
              <w:adjustRightInd w:val="0"/>
              <w:ind w:left="360"/>
              <w:rPr>
                <w:rFonts w:asciiTheme="minorHAnsi" w:hAnsiTheme="minorHAnsi" w:cs="Arial"/>
                <w:b/>
                <w:color w:val="000000"/>
                <w:sz w:val="20"/>
                <w:szCs w:val="20"/>
              </w:rPr>
            </w:pPr>
            <w:r w:rsidRPr="00567D48">
              <w:rPr>
                <w:rFonts w:asciiTheme="minorHAnsi" w:hAnsiTheme="minorHAnsi" w:cs="Arial"/>
                <w:color w:val="000000"/>
                <w:sz w:val="20"/>
                <w:szCs w:val="20"/>
              </w:rPr>
              <w:t xml:space="preserve">Consideration as an exempt item (Exempt item as per subsection 84AH of the </w:t>
            </w:r>
            <w:r w:rsidRPr="00567D48">
              <w:rPr>
                <w:rFonts w:asciiTheme="minorHAnsi" w:hAnsiTheme="minorHAnsi" w:cs="Arial"/>
                <w:i/>
                <w:iCs/>
                <w:color w:val="000000"/>
                <w:sz w:val="20"/>
                <w:szCs w:val="20"/>
              </w:rPr>
              <w:t>National Health Act 1953</w:t>
            </w:r>
            <w:r w:rsidRPr="00567D48">
              <w:rPr>
                <w:rFonts w:asciiTheme="minorHAnsi" w:hAnsiTheme="minorHAnsi" w:cs="Arial"/>
                <w:color w:val="000000"/>
                <w:sz w:val="20"/>
                <w:szCs w:val="20"/>
              </w:rPr>
              <w:t xml:space="preserve">). </w:t>
            </w:r>
          </w:p>
          <w:p w14:paraId="46567CAC" w14:textId="77777777" w:rsidR="007F48F6" w:rsidRPr="00567D48" w:rsidRDefault="007F48F6" w:rsidP="005B583D">
            <w:pPr>
              <w:pStyle w:val="ListParagraph"/>
              <w:numPr>
                <w:ilvl w:val="0"/>
                <w:numId w:val="4"/>
              </w:numPr>
              <w:autoSpaceDE w:val="0"/>
              <w:autoSpaceDN w:val="0"/>
              <w:adjustRightInd w:val="0"/>
              <w:ind w:left="360"/>
              <w:rPr>
                <w:rFonts w:asciiTheme="minorHAnsi" w:hAnsiTheme="minorHAnsi" w:cs="Arial"/>
                <w:b/>
                <w:color w:val="000000"/>
                <w:sz w:val="20"/>
                <w:szCs w:val="20"/>
              </w:rPr>
            </w:pPr>
            <w:r w:rsidRPr="00567D48">
              <w:rPr>
                <w:rFonts w:asciiTheme="minorHAnsi" w:hAnsiTheme="minorHAnsi" w:cs="Arial"/>
                <w:sz w:val="20"/>
                <w:szCs w:val="20"/>
              </w:rPr>
              <w:t xml:space="preserve">Including a listed medicine on the prescriber bag, or varying an existing prescriber bag listing. </w:t>
            </w:r>
          </w:p>
          <w:p w14:paraId="7EF9BA42" w14:textId="77777777" w:rsidR="007F48F6" w:rsidRPr="00567D48" w:rsidRDefault="007F48F6" w:rsidP="005B583D">
            <w:pPr>
              <w:pStyle w:val="ListParagraph"/>
              <w:numPr>
                <w:ilvl w:val="0"/>
                <w:numId w:val="5"/>
              </w:numPr>
              <w:autoSpaceDE w:val="0"/>
              <w:autoSpaceDN w:val="0"/>
              <w:adjustRightInd w:val="0"/>
              <w:ind w:left="360"/>
              <w:rPr>
                <w:rFonts w:asciiTheme="minorHAnsi" w:hAnsiTheme="minorHAnsi" w:cs="Arial"/>
                <w:b/>
                <w:sz w:val="20"/>
                <w:szCs w:val="20"/>
              </w:rPr>
            </w:pPr>
            <w:r w:rsidRPr="00567D48">
              <w:rPr>
                <w:rFonts w:asciiTheme="minorHAnsi" w:hAnsiTheme="minorHAnsi" w:cs="Arial"/>
                <w:sz w:val="20"/>
                <w:szCs w:val="20"/>
              </w:rPr>
              <w:t xml:space="preserve">A change/new manner of administration of a listed medicine. </w:t>
            </w:r>
          </w:p>
          <w:p w14:paraId="4D6B65C5" w14:textId="77777777" w:rsidR="007F48F6" w:rsidRPr="00567D48" w:rsidRDefault="007F48F6" w:rsidP="005B583D">
            <w:pPr>
              <w:pStyle w:val="ListParagraph"/>
              <w:numPr>
                <w:ilvl w:val="0"/>
                <w:numId w:val="5"/>
              </w:numPr>
              <w:autoSpaceDE w:val="0"/>
              <w:autoSpaceDN w:val="0"/>
              <w:adjustRightInd w:val="0"/>
              <w:ind w:left="360"/>
              <w:rPr>
                <w:rFonts w:asciiTheme="minorHAnsi" w:hAnsiTheme="minorHAnsi" w:cs="Arial"/>
                <w:b/>
                <w:sz w:val="20"/>
                <w:szCs w:val="20"/>
              </w:rPr>
            </w:pPr>
            <w:r w:rsidRPr="00567D48">
              <w:rPr>
                <w:rFonts w:asciiTheme="minorHAnsi" w:hAnsiTheme="minorHAnsi" w:cs="Arial"/>
                <w:sz w:val="20"/>
                <w:szCs w:val="20"/>
              </w:rPr>
              <w:t xml:space="preserve">A change to the maximum quantity and/or number of repeats of a listed medicine. </w:t>
            </w:r>
          </w:p>
          <w:p w14:paraId="2C2C10B5" w14:textId="77777777" w:rsidR="007F48F6" w:rsidRPr="00567D48" w:rsidRDefault="007F48F6" w:rsidP="005B583D">
            <w:pPr>
              <w:pStyle w:val="ListParagraph"/>
              <w:numPr>
                <w:ilvl w:val="0"/>
                <w:numId w:val="5"/>
              </w:numPr>
              <w:autoSpaceDE w:val="0"/>
              <w:autoSpaceDN w:val="0"/>
              <w:adjustRightInd w:val="0"/>
              <w:ind w:left="360"/>
              <w:rPr>
                <w:rFonts w:asciiTheme="minorHAnsi" w:hAnsiTheme="minorHAnsi" w:cs="Arial"/>
                <w:b/>
                <w:sz w:val="20"/>
                <w:szCs w:val="20"/>
              </w:rPr>
            </w:pPr>
            <w:r w:rsidRPr="00567D48">
              <w:rPr>
                <w:rFonts w:asciiTheme="minorHAnsi" w:hAnsiTheme="minorHAnsi" w:cs="Arial"/>
                <w:sz w:val="20"/>
                <w:szCs w:val="20"/>
              </w:rPr>
              <w:t>A change or addition to the prescriber type(s) of a listed medicine.</w:t>
            </w:r>
          </w:p>
        </w:tc>
      </w:tr>
      <w:tr w:rsidR="009A1C75" w:rsidRPr="00567D48" w14:paraId="5129ECF2" w14:textId="77777777" w:rsidTr="009A1C75">
        <w:trPr>
          <w:trHeight w:val="1026"/>
        </w:trPr>
        <w:tc>
          <w:tcPr>
            <w:tcW w:w="1984" w:type="dxa"/>
          </w:tcPr>
          <w:p w14:paraId="4FD9FAAA" w14:textId="0063D706" w:rsidR="009A1C75" w:rsidRPr="00567D48" w:rsidRDefault="009A1C75" w:rsidP="005B583D">
            <w:pPr>
              <w:pStyle w:val="Default"/>
              <w:rPr>
                <w:rFonts w:asciiTheme="minorHAnsi" w:hAnsiTheme="minorHAnsi" w:cs="Arial"/>
                <w:sz w:val="20"/>
                <w:szCs w:val="20"/>
              </w:rPr>
            </w:pPr>
            <w:r w:rsidRPr="00567D48">
              <w:rPr>
                <w:rFonts w:asciiTheme="minorHAnsi" w:hAnsiTheme="minorHAnsi" w:cs="Arial"/>
                <w:b/>
                <w:sz w:val="20"/>
                <w:szCs w:val="20"/>
              </w:rPr>
              <w:t>Committee Secretariat</w:t>
            </w:r>
          </w:p>
        </w:tc>
        <w:tc>
          <w:tcPr>
            <w:tcW w:w="12474" w:type="dxa"/>
          </w:tcPr>
          <w:p w14:paraId="4E0E04D8" w14:textId="77777777" w:rsidR="009A1C75" w:rsidRPr="00567D48" w:rsidRDefault="009A1C75" w:rsidP="009A1C75">
            <w:pPr>
              <w:rPr>
                <w:rFonts w:asciiTheme="minorHAnsi" w:hAnsiTheme="minorHAnsi" w:cs="Arial"/>
                <w:color w:val="000000"/>
              </w:rPr>
            </w:pPr>
            <w:r w:rsidRPr="00567D48">
              <w:rPr>
                <w:rFonts w:asciiTheme="minorHAnsi" w:hAnsiTheme="minorHAnsi" w:cs="Arial"/>
                <w:color w:val="000000"/>
              </w:rPr>
              <w:t>Application is not in Categories 1, 2, 3 or 4 and requests for one or more of the following:</w:t>
            </w:r>
          </w:p>
          <w:p w14:paraId="0ADCA80A" w14:textId="77777777" w:rsidR="009A1C75" w:rsidRPr="00567D48" w:rsidRDefault="009A1C75" w:rsidP="009A1C75">
            <w:pPr>
              <w:pStyle w:val="ListParagraph"/>
              <w:numPr>
                <w:ilvl w:val="0"/>
                <w:numId w:val="8"/>
              </w:numPr>
              <w:rPr>
                <w:rFonts w:asciiTheme="minorHAnsi" w:eastAsia="Times New Roman" w:hAnsiTheme="minorHAnsi" w:cs="Arial"/>
                <w:sz w:val="20"/>
                <w:szCs w:val="20"/>
              </w:rPr>
            </w:pPr>
            <w:r w:rsidRPr="00567D48">
              <w:rPr>
                <w:rFonts w:asciiTheme="minorHAnsi" w:eastAsia="Times New Roman" w:hAnsiTheme="minorHAnsi" w:cs="Arial"/>
                <w:sz w:val="20"/>
                <w:szCs w:val="20"/>
              </w:rPr>
              <w:t>New or varied listed drugs, medicinal preparations and designated vaccines that pose no greater risk</w:t>
            </w:r>
          </w:p>
          <w:p w14:paraId="4E274BBE" w14:textId="47479696" w:rsidR="009A1C75" w:rsidRPr="00567D48" w:rsidRDefault="009A1C75" w:rsidP="009A1C75">
            <w:pPr>
              <w:pStyle w:val="ListParagraph"/>
              <w:numPr>
                <w:ilvl w:val="0"/>
                <w:numId w:val="8"/>
              </w:numPr>
              <w:rPr>
                <w:rFonts w:asciiTheme="minorHAnsi" w:eastAsia="Times New Roman" w:hAnsiTheme="minorHAnsi" w:cs="Arial"/>
                <w:sz w:val="20"/>
                <w:szCs w:val="20"/>
              </w:rPr>
            </w:pPr>
            <w:r w:rsidRPr="00567D48">
              <w:rPr>
                <w:rFonts w:asciiTheme="minorHAnsi" w:eastAsia="Times New Roman" w:hAnsiTheme="minorHAnsi" w:cs="Arial"/>
                <w:sz w:val="20"/>
                <w:szCs w:val="20"/>
              </w:rPr>
              <w:t>Pharmaceutical benefits that can no longer be supplied early</w:t>
            </w:r>
          </w:p>
          <w:p w14:paraId="78723A0D" w14:textId="4DE6AD96" w:rsidR="009A1C75" w:rsidRPr="00567D48" w:rsidRDefault="009A1C75" w:rsidP="009A1C75">
            <w:pPr>
              <w:pStyle w:val="ListParagraph"/>
              <w:numPr>
                <w:ilvl w:val="0"/>
                <w:numId w:val="8"/>
              </w:numPr>
              <w:rPr>
                <w:rFonts w:asciiTheme="minorHAnsi" w:eastAsia="Times New Roman" w:hAnsiTheme="minorHAnsi" w:cs="Arial"/>
                <w:sz w:val="20"/>
                <w:szCs w:val="20"/>
              </w:rPr>
            </w:pPr>
            <w:r w:rsidRPr="00567D48">
              <w:rPr>
                <w:rFonts w:asciiTheme="minorHAnsi" w:eastAsia="Times New Roman" w:hAnsiTheme="minorHAnsi" w:cs="Arial"/>
                <w:sz w:val="20"/>
                <w:szCs w:val="20"/>
              </w:rPr>
              <w:t>New brand of glucose indicator pharmaceutical item.</w:t>
            </w:r>
          </w:p>
        </w:tc>
      </w:tr>
    </w:tbl>
    <w:p w14:paraId="1A3326E0" w14:textId="77777777" w:rsidR="007F48F6" w:rsidRPr="00567D48" w:rsidRDefault="007F48F6" w:rsidP="00EF3B9C">
      <w:pPr>
        <w:rPr>
          <w:rFonts w:asciiTheme="minorHAnsi" w:hAnsiTheme="minorHAnsi" w:cs="Arial"/>
          <w:b/>
          <w:lang w:val="en-US"/>
        </w:rPr>
      </w:pPr>
    </w:p>
    <w:p w14:paraId="379497B6" w14:textId="77777777" w:rsidR="008D62B4" w:rsidRDefault="008D62B4">
      <w:pPr>
        <w:rPr>
          <w:rFonts w:asciiTheme="minorHAnsi" w:hAnsiTheme="minorHAnsi" w:cs="Arial"/>
          <w:b/>
          <w:lang w:val="en-US"/>
        </w:rPr>
      </w:pPr>
      <w:r>
        <w:rPr>
          <w:rFonts w:asciiTheme="minorHAnsi" w:hAnsiTheme="minorHAnsi" w:cs="Arial"/>
          <w:b/>
          <w:lang w:val="en-US"/>
        </w:rPr>
        <w:br w:type="page"/>
      </w:r>
    </w:p>
    <w:p w14:paraId="6CE3C41E" w14:textId="0367938F" w:rsidR="00640C80" w:rsidRPr="00567D48" w:rsidRDefault="005A0A21" w:rsidP="00EF3B9C">
      <w:pPr>
        <w:rPr>
          <w:rFonts w:asciiTheme="minorHAnsi" w:hAnsiTheme="minorHAnsi" w:cs="Arial"/>
          <w:b/>
          <w:lang w:val="en-US"/>
        </w:rPr>
      </w:pPr>
      <w:r w:rsidRPr="00567D48">
        <w:rPr>
          <w:rFonts w:asciiTheme="minorHAnsi" w:hAnsiTheme="minorHAnsi" w:cs="Arial"/>
          <w:b/>
          <w:lang w:val="en-US"/>
        </w:rPr>
        <w:lastRenderedPageBreak/>
        <w:t>Resubmission pathways</w:t>
      </w:r>
    </w:p>
    <w:p w14:paraId="025CE011" w14:textId="77777777" w:rsidR="005A0A21" w:rsidRPr="00567D48" w:rsidRDefault="005A0A21" w:rsidP="00640C80">
      <w:pPr>
        <w:tabs>
          <w:tab w:val="left" w:pos="5210"/>
        </w:tabs>
        <w:rPr>
          <w:rFonts w:asciiTheme="minorHAnsi" w:hAnsiTheme="minorHAnsi" w:cstheme="minorHAnsi"/>
          <w:b/>
          <w:lang w:val="en-US"/>
        </w:rPr>
      </w:pPr>
    </w:p>
    <w:tbl>
      <w:tblPr>
        <w:tblW w:w="4701" w:type="pct"/>
        <w:tblInd w:w="416" w:type="dxa"/>
        <w:tblCellMar>
          <w:left w:w="0" w:type="dxa"/>
          <w:right w:w="0" w:type="dxa"/>
        </w:tblCellMar>
        <w:tblLook w:val="04A0" w:firstRow="1" w:lastRow="0" w:firstColumn="1" w:lastColumn="0" w:noHBand="0" w:noVBand="1"/>
      </w:tblPr>
      <w:tblGrid>
        <w:gridCol w:w="2068"/>
        <w:gridCol w:w="12390"/>
      </w:tblGrid>
      <w:tr w:rsidR="004A3371" w:rsidRPr="00567D48" w14:paraId="1B32CA1F" w14:textId="77777777" w:rsidTr="00A159CA">
        <w:trPr>
          <w:cantSplit/>
        </w:trPr>
        <w:tc>
          <w:tcPr>
            <w:tcW w:w="14458" w:type="dxa"/>
            <w:gridSpan w:val="2"/>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vAlign w:val="center"/>
            <w:hideMark/>
          </w:tcPr>
          <w:p w14:paraId="16822E31" w14:textId="77777777" w:rsidR="004A3371" w:rsidRPr="00567D48" w:rsidRDefault="004A3371">
            <w:pPr>
              <w:rPr>
                <w:rFonts w:asciiTheme="minorHAnsi" w:hAnsiTheme="minorHAnsi" w:cs="Arial"/>
              </w:rPr>
            </w:pPr>
            <w:r w:rsidRPr="00567D48">
              <w:rPr>
                <w:rFonts w:asciiTheme="minorHAnsi" w:hAnsiTheme="minorHAnsi" w:cs="Arial"/>
                <w:color w:val="333333"/>
              </w:rPr>
              <w:t xml:space="preserve">*There are four different resubmission pathways available to applicants following a ‘not recommended’ PBAC outcome. Resubmission pathways are not available for submissions that receive a positive recommendation from the PBAC. </w:t>
            </w:r>
            <w:r w:rsidRPr="00567D48">
              <w:rPr>
                <w:rFonts w:asciiTheme="minorHAnsi" w:hAnsiTheme="minorHAnsi" w:cs="Arial"/>
              </w:rPr>
              <w:t>The resubmission pathways are classified into the following categories:</w:t>
            </w:r>
          </w:p>
        </w:tc>
      </w:tr>
      <w:tr w:rsidR="004A3371" w:rsidRPr="00567D48" w14:paraId="5A78A628" w14:textId="77777777" w:rsidTr="00A159CA">
        <w:trPr>
          <w:cantSplit/>
        </w:trPr>
        <w:tc>
          <w:tcPr>
            <w:tcW w:w="2068" w:type="dxa"/>
            <w:tcBorders>
              <w:top w:val="nil"/>
              <w:left w:val="single" w:sz="8" w:space="0" w:color="000000"/>
              <w:bottom w:val="single" w:sz="8" w:space="0" w:color="000000"/>
              <w:right w:val="single" w:sz="8" w:space="0" w:color="000000"/>
            </w:tcBorders>
            <w:tcMar>
              <w:top w:w="57" w:type="dxa"/>
              <w:left w:w="57" w:type="dxa"/>
              <w:bottom w:w="57" w:type="dxa"/>
              <w:right w:w="57" w:type="dxa"/>
            </w:tcMar>
            <w:vAlign w:val="center"/>
          </w:tcPr>
          <w:p w14:paraId="0680C335" w14:textId="77777777" w:rsidR="004A3371" w:rsidRPr="00567D48" w:rsidRDefault="004A3371">
            <w:pPr>
              <w:spacing w:after="160" w:line="252" w:lineRule="auto"/>
              <w:contextualSpacing/>
              <w:rPr>
                <w:rFonts w:asciiTheme="minorHAnsi" w:hAnsiTheme="minorHAnsi" w:cs="Arial"/>
                <w:b/>
                <w:bCs/>
              </w:rPr>
            </w:pPr>
            <w:r w:rsidRPr="00567D48">
              <w:rPr>
                <w:rFonts w:asciiTheme="minorHAnsi" w:hAnsiTheme="minorHAnsi" w:cs="Arial"/>
                <w:b/>
                <w:bCs/>
              </w:rPr>
              <w:t>Standard re-entry</w:t>
            </w:r>
          </w:p>
          <w:p w14:paraId="14CD87B9" w14:textId="77777777" w:rsidR="004A3371" w:rsidRPr="00567D48" w:rsidRDefault="004A3371">
            <w:pPr>
              <w:spacing w:line="252" w:lineRule="auto"/>
              <w:rPr>
                <w:rFonts w:asciiTheme="minorHAnsi" w:hAnsiTheme="minorHAnsi" w:cs="Arial"/>
                <w:b/>
                <w:bCs/>
              </w:rPr>
            </w:pPr>
          </w:p>
        </w:tc>
        <w:tc>
          <w:tcPr>
            <w:tcW w:w="12390" w:type="dxa"/>
            <w:tcBorders>
              <w:top w:val="nil"/>
              <w:left w:val="nil"/>
              <w:bottom w:val="single" w:sz="8" w:space="0" w:color="000000"/>
              <w:right w:val="single" w:sz="8" w:space="0" w:color="000000"/>
            </w:tcBorders>
            <w:tcMar>
              <w:top w:w="57" w:type="dxa"/>
              <w:left w:w="57" w:type="dxa"/>
              <w:bottom w:w="57" w:type="dxa"/>
              <w:right w:w="57" w:type="dxa"/>
            </w:tcMar>
            <w:vAlign w:val="center"/>
            <w:hideMark/>
          </w:tcPr>
          <w:p w14:paraId="2BDC71EA" w14:textId="77777777" w:rsidR="004A3371" w:rsidRPr="00567D48" w:rsidRDefault="004A3371">
            <w:pPr>
              <w:autoSpaceDE w:val="0"/>
              <w:autoSpaceDN w:val="0"/>
              <w:rPr>
                <w:rFonts w:asciiTheme="minorHAnsi" w:hAnsiTheme="minorHAnsi" w:cs="Arial"/>
                <w:color w:val="000000"/>
              </w:rPr>
            </w:pPr>
            <w:r w:rsidRPr="00567D48">
              <w:rPr>
                <w:rFonts w:asciiTheme="minorHAnsi" w:hAnsiTheme="minorHAnsi" w:cs="Arial"/>
                <w:color w:val="000000"/>
              </w:rPr>
              <w:t xml:space="preserve">The Standard Re-entry Pathway is the default pathway for resubmissions and also applies where: </w:t>
            </w:r>
          </w:p>
          <w:p w14:paraId="430AF034" w14:textId="77777777" w:rsidR="004A3371" w:rsidRPr="00567D48" w:rsidRDefault="004A3371" w:rsidP="00461045">
            <w:pPr>
              <w:pStyle w:val="ListParagraph"/>
              <w:numPr>
                <w:ilvl w:val="0"/>
                <w:numId w:val="1"/>
              </w:numPr>
              <w:autoSpaceDE w:val="0"/>
              <w:autoSpaceDN w:val="0"/>
              <w:contextualSpacing w:val="0"/>
              <w:rPr>
                <w:rFonts w:asciiTheme="minorHAnsi" w:hAnsiTheme="minorHAnsi" w:cs="Arial"/>
                <w:color w:val="000000"/>
                <w:sz w:val="20"/>
                <w:szCs w:val="20"/>
              </w:rPr>
            </w:pPr>
            <w:r w:rsidRPr="00567D48">
              <w:rPr>
                <w:rFonts w:asciiTheme="minorHAnsi" w:hAnsiTheme="minorHAnsi" w:cs="Arial"/>
                <w:color w:val="000000"/>
                <w:sz w:val="20"/>
                <w:szCs w:val="20"/>
              </w:rPr>
              <w:t xml:space="preserve">an applicant chooses not to accept the PBAC nominated resubmission pathway; or </w:t>
            </w:r>
          </w:p>
          <w:p w14:paraId="15ADDEB3" w14:textId="3C3608FE" w:rsidR="004A3371" w:rsidRPr="00567D48" w:rsidRDefault="004A3371" w:rsidP="00461045">
            <w:pPr>
              <w:pStyle w:val="ListParagraph"/>
              <w:numPr>
                <w:ilvl w:val="0"/>
                <w:numId w:val="1"/>
              </w:numPr>
              <w:autoSpaceDE w:val="0"/>
              <w:autoSpaceDN w:val="0"/>
              <w:contextualSpacing w:val="0"/>
              <w:rPr>
                <w:rFonts w:asciiTheme="minorHAnsi" w:hAnsiTheme="minorHAnsi" w:cs="Arial"/>
                <w:color w:val="000000"/>
                <w:sz w:val="20"/>
                <w:szCs w:val="20"/>
              </w:rPr>
            </w:pPr>
            <w:r w:rsidRPr="00567D48">
              <w:rPr>
                <w:rFonts w:asciiTheme="minorHAnsi" w:hAnsiTheme="minorHAnsi" w:cs="Arial"/>
                <w:color w:val="000000"/>
                <w:sz w:val="20"/>
                <w:szCs w:val="20"/>
              </w:rPr>
              <w:t xml:space="preserve">an Early Re-entry or Early Resolution Pathway has been nominated by the PBAC and an applicant decides to address issues other than those identified by the PBAC (including a subset of issues); or </w:t>
            </w:r>
          </w:p>
          <w:p w14:paraId="4A452A68" w14:textId="4740DC48" w:rsidR="004A3371" w:rsidRPr="00567D48" w:rsidRDefault="004A3371" w:rsidP="00461045">
            <w:pPr>
              <w:pStyle w:val="ListParagraph"/>
              <w:numPr>
                <w:ilvl w:val="0"/>
                <w:numId w:val="1"/>
              </w:numPr>
              <w:autoSpaceDE w:val="0"/>
              <w:autoSpaceDN w:val="0"/>
              <w:contextualSpacing w:val="0"/>
              <w:rPr>
                <w:rFonts w:asciiTheme="minorHAnsi" w:hAnsiTheme="minorHAnsi" w:cs="Arial"/>
                <w:color w:val="000000"/>
                <w:sz w:val="20"/>
                <w:szCs w:val="20"/>
              </w:rPr>
            </w:pPr>
            <w:r w:rsidRPr="00567D48">
              <w:rPr>
                <w:rFonts w:asciiTheme="minorHAnsi" w:hAnsiTheme="minorHAnsi" w:cs="Arial"/>
                <w:color w:val="000000"/>
                <w:sz w:val="20"/>
                <w:szCs w:val="20"/>
              </w:rPr>
              <w:t xml:space="preserve">an applicant decides to lodge later than the allowable timelines for the other pathways. </w:t>
            </w:r>
          </w:p>
        </w:tc>
      </w:tr>
      <w:tr w:rsidR="004A3371" w:rsidRPr="00567D48" w14:paraId="46BDFCAF" w14:textId="77777777" w:rsidTr="00A159CA">
        <w:trPr>
          <w:cantSplit/>
        </w:trPr>
        <w:tc>
          <w:tcPr>
            <w:tcW w:w="2068" w:type="dxa"/>
            <w:tcBorders>
              <w:top w:val="nil"/>
              <w:left w:val="single" w:sz="8" w:space="0" w:color="000000"/>
              <w:bottom w:val="single" w:sz="8" w:space="0" w:color="000000"/>
              <w:right w:val="single" w:sz="8" w:space="0" w:color="000000"/>
            </w:tcBorders>
            <w:tcMar>
              <w:top w:w="57" w:type="dxa"/>
              <w:left w:w="57" w:type="dxa"/>
              <w:bottom w:w="57" w:type="dxa"/>
              <w:right w:w="57" w:type="dxa"/>
            </w:tcMar>
            <w:vAlign w:val="center"/>
            <w:hideMark/>
          </w:tcPr>
          <w:p w14:paraId="618B2638" w14:textId="77777777" w:rsidR="004A3371" w:rsidRPr="00567D48" w:rsidRDefault="004A3371">
            <w:pPr>
              <w:spacing w:after="160" w:line="252" w:lineRule="auto"/>
              <w:contextualSpacing/>
              <w:rPr>
                <w:rFonts w:asciiTheme="minorHAnsi" w:hAnsiTheme="minorHAnsi" w:cs="Arial"/>
                <w:b/>
                <w:bCs/>
                <w:lang w:eastAsia="en-US"/>
              </w:rPr>
            </w:pPr>
            <w:r w:rsidRPr="00567D48">
              <w:rPr>
                <w:rFonts w:asciiTheme="minorHAnsi" w:hAnsiTheme="minorHAnsi" w:cs="Arial"/>
                <w:b/>
                <w:bCs/>
              </w:rPr>
              <w:t>Early re-entry pathway</w:t>
            </w:r>
          </w:p>
        </w:tc>
        <w:tc>
          <w:tcPr>
            <w:tcW w:w="12390" w:type="dxa"/>
            <w:tcBorders>
              <w:top w:val="nil"/>
              <w:left w:val="nil"/>
              <w:bottom w:val="single" w:sz="8" w:space="0" w:color="000000"/>
              <w:right w:val="single" w:sz="8" w:space="0" w:color="000000"/>
            </w:tcBorders>
            <w:tcMar>
              <w:top w:w="57" w:type="dxa"/>
              <w:left w:w="57" w:type="dxa"/>
              <w:bottom w:w="57" w:type="dxa"/>
              <w:right w:w="57" w:type="dxa"/>
            </w:tcMar>
            <w:vAlign w:val="center"/>
            <w:hideMark/>
          </w:tcPr>
          <w:p w14:paraId="32461C72" w14:textId="77777777" w:rsidR="004A3371" w:rsidRPr="00567D48" w:rsidRDefault="004A3371">
            <w:pPr>
              <w:spacing w:after="160" w:line="252" w:lineRule="auto"/>
              <w:contextualSpacing/>
              <w:rPr>
                <w:rFonts w:asciiTheme="minorHAnsi" w:hAnsiTheme="minorHAnsi" w:cs="Arial"/>
                <w:color w:val="000000"/>
              </w:rPr>
            </w:pPr>
            <w:r w:rsidRPr="00567D48">
              <w:rPr>
                <w:rFonts w:asciiTheme="minorHAnsi" w:hAnsiTheme="minorHAnsi" w:cs="Arial"/>
              </w:rPr>
              <w:t>An Early Re-entry Pathway may be nominated by the PBAC where the PBAC considers that the remaining issues could be easily resolved and the medicine or vaccine does not represent HATV for the proposed population. Applicants who accept this pathway are eligible for PBAC consideration at the immediate next meeting.</w:t>
            </w:r>
          </w:p>
        </w:tc>
      </w:tr>
      <w:tr w:rsidR="004A3371" w:rsidRPr="00567D48" w14:paraId="1A2475F2" w14:textId="77777777" w:rsidTr="00A159CA">
        <w:trPr>
          <w:cantSplit/>
        </w:trPr>
        <w:tc>
          <w:tcPr>
            <w:tcW w:w="2068" w:type="dxa"/>
            <w:tcBorders>
              <w:top w:val="nil"/>
              <w:left w:val="single" w:sz="8" w:space="0" w:color="000000"/>
              <w:bottom w:val="single" w:sz="8" w:space="0" w:color="000000"/>
              <w:right w:val="single" w:sz="8" w:space="0" w:color="000000"/>
            </w:tcBorders>
            <w:tcMar>
              <w:top w:w="57" w:type="dxa"/>
              <w:left w:w="57" w:type="dxa"/>
              <w:bottom w:w="57" w:type="dxa"/>
              <w:right w:w="57" w:type="dxa"/>
            </w:tcMar>
            <w:vAlign w:val="center"/>
          </w:tcPr>
          <w:p w14:paraId="0193930E" w14:textId="77777777" w:rsidR="004A3371" w:rsidRPr="00567D48" w:rsidRDefault="004A3371">
            <w:pPr>
              <w:spacing w:line="252" w:lineRule="auto"/>
              <w:rPr>
                <w:rFonts w:asciiTheme="minorHAnsi" w:hAnsiTheme="minorHAnsi" w:cs="Arial"/>
                <w:b/>
                <w:bCs/>
                <w:lang w:eastAsia="en-US"/>
              </w:rPr>
            </w:pPr>
            <w:r w:rsidRPr="00567D48">
              <w:rPr>
                <w:rFonts w:asciiTheme="minorHAnsi" w:hAnsiTheme="minorHAnsi" w:cs="Arial"/>
                <w:b/>
                <w:bCs/>
              </w:rPr>
              <w:t>Early resolution pathway</w:t>
            </w:r>
          </w:p>
          <w:p w14:paraId="157D2C85" w14:textId="77777777" w:rsidR="004A3371" w:rsidRPr="00567D48" w:rsidRDefault="004A3371">
            <w:pPr>
              <w:rPr>
                <w:rFonts w:asciiTheme="minorHAnsi" w:hAnsiTheme="minorHAnsi" w:cs="Arial"/>
              </w:rPr>
            </w:pPr>
          </w:p>
        </w:tc>
        <w:tc>
          <w:tcPr>
            <w:tcW w:w="12390" w:type="dxa"/>
            <w:tcBorders>
              <w:top w:val="nil"/>
              <w:left w:val="nil"/>
              <w:bottom w:val="single" w:sz="8" w:space="0" w:color="000000"/>
              <w:right w:val="single" w:sz="8" w:space="0" w:color="000000"/>
            </w:tcBorders>
            <w:tcMar>
              <w:top w:w="57" w:type="dxa"/>
              <w:left w:w="57" w:type="dxa"/>
              <w:bottom w:w="57" w:type="dxa"/>
              <w:right w:w="57" w:type="dxa"/>
            </w:tcMar>
            <w:vAlign w:val="center"/>
            <w:hideMark/>
          </w:tcPr>
          <w:p w14:paraId="7E21B924" w14:textId="77777777" w:rsidR="004A3371" w:rsidRPr="00567D48" w:rsidRDefault="004A3371">
            <w:pPr>
              <w:autoSpaceDE w:val="0"/>
              <w:autoSpaceDN w:val="0"/>
              <w:rPr>
                <w:rFonts w:asciiTheme="minorHAnsi" w:hAnsiTheme="minorHAnsi" w:cs="Arial"/>
                <w:color w:val="000000"/>
              </w:rPr>
            </w:pPr>
            <w:r w:rsidRPr="00567D48">
              <w:rPr>
                <w:rFonts w:asciiTheme="minorHAnsi" w:hAnsiTheme="minorHAnsi" w:cs="Arial"/>
                <w:color w:val="000000"/>
              </w:rPr>
              <w:t xml:space="preserve">For medicines or vaccines deemed by the PBAC to represent High Added Therapeutic Value (HATV) AND where the PBAC considers that the remaining issues could be easily resolved, including when: </w:t>
            </w:r>
          </w:p>
          <w:p w14:paraId="6EC882B7" w14:textId="77777777" w:rsidR="004A3371" w:rsidRPr="00567D48" w:rsidRDefault="004A3371" w:rsidP="00461045">
            <w:pPr>
              <w:pStyle w:val="ListParagraph"/>
              <w:numPr>
                <w:ilvl w:val="0"/>
                <w:numId w:val="2"/>
              </w:numPr>
              <w:autoSpaceDE w:val="0"/>
              <w:autoSpaceDN w:val="0"/>
              <w:contextualSpacing w:val="0"/>
              <w:rPr>
                <w:rFonts w:asciiTheme="minorHAnsi" w:hAnsiTheme="minorHAnsi" w:cs="Arial"/>
                <w:color w:val="000000"/>
                <w:sz w:val="20"/>
                <w:szCs w:val="20"/>
              </w:rPr>
            </w:pPr>
            <w:r w:rsidRPr="00567D48">
              <w:rPr>
                <w:rFonts w:asciiTheme="minorHAnsi" w:hAnsiTheme="minorHAnsi" w:cs="Arial"/>
                <w:color w:val="000000"/>
                <w:sz w:val="20"/>
                <w:szCs w:val="20"/>
              </w:rPr>
              <w:t xml:space="preserve">new clinical study data requiring evaluation is not considered necessary by the PBAC to support new clinical claims to be made in the resubmission; and </w:t>
            </w:r>
          </w:p>
          <w:p w14:paraId="1D4B869E" w14:textId="77777777" w:rsidR="004A3371" w:rsidRPr="00567D48" w:rsidRDefault="004A3371" w:rsidP="00461045">
            <w:pPr>
              <w:pStyle w:val="ListParagraph"/>
              <w:numPr>
                <w:ilvl w:val="0"/>
                <w:numId w:val="2"/>
              </w:numPr>
              <w:autoSpaceDE w:val="0"/>
              <w:autoSpaceDN w:val="0"/>
              <w:spacing w:after="120"/>
              <w:contextualSpacing w:val="0"/>
              <w:rPr>
                <w:rFonts w:asciiTheme="minorHAnsi" w:hAnsiTheme="minorHAnsi" w:cs="Arial"/>
                <w:color w:val="000000"/>
                <w:sz w:val="20"/>
                <w:szCs w:val="20"/>
              </w:rPr>
            </w:pPr>
            <w:r w:rsidRPr="00567D48">
              <w:rPr>
                <w:rFonts w:asciiTheme="minorHAnsi" w:hAnsiTheme="minorHAnsi" w:cs="Arial"/>
                <w:color w:val="000000"/>
                <w:sz w:val="20"/>
                <w:szCs w:val="20"/>
              </w:rPr>
              <w:t xml:space="preserve">a revised model structure or input variable changes (beyond those specified by the PBAC) are not necessary to support any new economic claims, or to estimate the utilisation and financial impacts to be made in the resubmission. </w:t>
            </w:r>
          </w:p>
          <w:p w14:paraId="757810AB" w14:textId="77777777" w:rsidR="004A3371" w:rsidRPr="00567D48" w:rsidRDefault="004A3371">
            <w:pPr>
              <w:pStyle w:val="NormalWeb"/>
              <w:spacing w:before="0" w:beforeAutospacing="0" w:after="0" w:afterAutospacing="0"/>
              <w:rPr>
                <w:rFonts w:asciiTheme="minorHAnsi" w:hAnsiTheme="minorHAnsi" w:cs="Arial"/>
                <w:sz w:val="20"/>
                <w:szCs w:val="20"/>
              </w:rPr>
            </w:pPr>
            <w:r w:rsidRPr="00567D48">
              <w:rPr>
                <w:rFonts w:asciiTheme="minorHAnsi" w:hAnsiTheme="minorHAnsi" w:cs="Arial"/>
                <w:sz w:val="20"/>
                <w:szCs w:val="20"/>
              </w:rPr>
              <w:t xml:space="preserve">Applicants who accept this pathway are eligible for PBAC consideration out-of-session (before the main meeting), unless the department, in consultation with the PBAC Chair, identifies an unexpected issue such that the resubmission needs consideration at the next main PBAC meeting. </w:t>
            </w:r>
          </w:p>
        </w:tc>
      </w:tr>
      <w:tr w:rsidR="004A3371" w:rsidRPr="00567D48" w14:paraId="1CF59836" w14:textId="77777777" w:rsidTr="00A159CA">
        <w:trPr>
          <w:cantSplit/>
        </w:trPr>
        <w:tc>
          <w:tcPr>
            <w:tcW w:w="2068" w:type="dxa"/>
            <w:tcBorders>
              <w:top w:val="nil"/>
              <w:left w:val="single" w:sz="8" w:space="0" w:color="000000"/>
              <w:bottom w:val="single" w:sz="8" w:space="0" w:color="000000"/>
              <w:right w:val="single" w:sz="8" w:space="0" w:color="000000"/>
            </w:tcBorders>
            <w:tcMar>
              <w:top w:w="57" w:type="dxa"/>
              <w:left w:w="57" w:type="dxa"/>
              <w:bottom w:w="57" w:type="dxa"/>
              <w:right w:w="57" w:type="dxa"/>
            </w:tcMar>
            <w:vAlign w:val="center"/>
            <w:hideMark/>
          </w:tcPr>
          <w:p w14:paraId="03CD8847" w14:textId="77777777" w:rsidR="004A3371" w:rsidRPr="00567D48" w:rsidRDefault="004A3371">
            <w:pPr>
              <w:rPr>
                <w:rFonts w:asciiTheme="minorHAnsi" w:hAnsiTheme="minorHAnsi" w:cs="Arial"/>
              </w:rPr>
            </w:pPr>
            <w:r w:rsidRPr="00567D48">
              <w:rPr>
                <w:rFonts w:asciiTheme="minorHAnsi" w:hAnsiTheme="minorHAnsi" w:cs="Arial"/>
                <w:b/>
                <w:bCs/>
              </w:rPr>
              <w:t>Facilitated resolution pathway</w:t>
            </w:r>
          </w:p>
        </w:tc>
        <w:tc>
          <w:tcPr>
            <w:tcW w:w="12390" w:type="dxa"/>
            <w:tcBorders>
              <w:top w:val="nil"/>
              <w:left w:val="nil"/>
              <w:bottom w:val="single" w:sz="8" w:space="0" w:color="000000"/>
              <w:right w:val="single" w:sz="8" w:space="0" w:color="000000"/>
            </w:tcBorders>
            <w:tcMar>
              <w:top w:w="57" w:type="dxa"/>
              <w:left w:w="57" w:type="dxa"/>
              <w:bottom w:w="57" w:type="dxa"/>
              <w:right w:w="57" w:type="dxa"/>
            </w:tcMar>
            <w:vAlign w:val="center"/>
            <w:hideMark/>
          </w:tcPr>
          <w:p w14:paraId="7EF1CA94" w14:textId="77777777" w:rsidR="004A3371" w:rsidRPr="00567D48" w:rsidRDefault="004A3371">
            <w:pPr>
              <w:autoSpaceDE w:val="0"/>
              <w:autoSpaceDN w:val="0"/>
              <w:rPr>
                <w:rFonts w:asciiTheme="minorHAnsi" w:hAnsiTheme="minorHAnsi" w:cs="Arial"/>
                <w:b/>
                <w:bCs/>
                <w:highlight w:val="green"/>
              </w:rPr>
            </w:pPr>
            <w:r w:rsidRPr="00567D48">
              <w:rPr>
                <w:rFonts w:asciiTheme="minorHAnsi" w:hAnsiTheme="minorHAnsi" w:cs="Arial"/>
                <w:color w:val="000000"/>
              </w:rPr>
              <w:t>A Facilitated Resolution Pathway may be nominated by the PBAC where the PBAC considers the issues for resolution could be explored through a workshop AND where the medicine or vaccine meets the HATV criteria. Applicants who accept this pathway are eligible for a solution-focussed workshop with one or more members of the PBAC. The workshop agenda will be based on the issues for resolution outlined in the PBAC Minutes. This can be further clarified during the post-PBAC meeting with the Chair.</w:t>
            </w:r>
          </w:p>
        </w:tc>
      </w:tr>
    </w:tbl>
    <w:p w14:paraId="4455E1A3" w14:textId="4F2BEE75" w:rsidR="00AD3477" w:rsidRDefault="00AD3477" w:rsidP="004A3371">
      <w:pPr>
        <w:tabs>
          <w:tab w:val="left" w:pos="5210"/>
        </w:tabs>
        <w:rPr>
          <w:rFonts w:asciiTheme="minorHAnsi" w:hAnsiTheme="minorHAnsi" w:cstheme="minorHAnsi"/>
          <w:sz w:val="18"/>
          <w:szCs w:val="18"/>
          <w:lang w:val="en-US"/>
        </w:rPr>
      </w:pPr>
    </w:p>
    <w:p w14:paraId="6C9BA0D5" w14:textId="77777777" w:rsidR="00461045" w:rsidRPr="001D4E5E" w:rsidRDefault="00461045" w:rsidP="004A3371">
      <w:pPr>
        <w:tabs>
          <w:tab w:val="left" w:pos="5210"/>
        </w:tabs>
        <w:rPr>
          <w:rFonts w:asciiTheme="minorHAnsi" w:hAnsiTheme="minorHAnsi" w:cstheme="minorHAnsi"/>
          <w:sz w:val="18"/>
          <w:szCs w:val="18"/>
          <w:lang w:val="en-US"/>
        </w:rPr>
      </w:pPr>
    </w:p>
    <w:sectPr w:rsidR="00461045" w:rsidRPr="001D4E5E" w:rsidSect="00257615">
      <w:headerReference w:type="default" r:id="rId8"/>
      <w:footerReference w:type="even" r:id="rId9"/>
      <w:footerReference w:type="default" r:id="rId10"/>
      <w:pgSz w:w="16838" w:h="11906" w:orient="landscape" w:code="9"/>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F910F" w14:textId="77777777" w:rsidR="00D96083" w:rsidRDefault="00D96083">
      <w:r>
        <w:separator/>
      </w:r>
    </w:p>
  </w:endnote>
  <w:endnote w:type="continuationSeparator" w:id="0">
    <w:p w14:paraId="0B94B43F" w14:textId="77777777" w:rsidR="00D96083" w:rsidRDefault="00D9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67BCB" w14:textId="77777777" w:rsidR="00D96083" w:rsidRDefault="00D96083" w:rsidP="00FE2A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481329" w14:textId="77777777" w:rsidR="00D96083" w:rsidRDefault="00D96083" w:rsidP="00FE2A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9180A" w14:textId="16C1CD68" w:rsidR="00D96083" w:rsidRPr="00287C89" w:rsidRDefault="00D96083" w:rsidP="00FE2A81">
    <w:pPr>
      <w:pStyle w:val="Footer"/>
      <w:framePr w:wrap="around" w:vAnchor="text" w:hAnchor="margin" w:xAlign="right" w:y="1"/>
      <w:rPr>
        <w:rStyle w:val="PageNumber"/>
        <w:rFonts w:ascii="Arial" w:hAnsi="Arial" w:cs="Arial"/>
      </w:rPr>
    </w:pPr>
    <w:r w:rsidRPr="00287C89">
      <w:rPr>
        <w:rStyle w:val="PageNumber"/>
        <w:rFonts w:ascii="Arial" w:hAnsi="Arial" w:cs="Arial"/>
      </w:rPr>
      <w:fldChar w:fldCharType="begin"/>
    </w:r>
    <w:r w:rsidRPr="00287C89">
      <w:rPr>
        <w:rStyle w:val="PageNumber"/>
        <w:rFonts w:ascii="Arial" w:hAnsi="Arial" w:cs="Arial"/>
      </w:rPr>
      <w:instrText xml:space="preserve">PAGE  </w:instrText>
    </w:r>
    <w:r w:rsidRPr="00287C89">
      <w:rPr>
        <w:rStyle w:val="PageNumber"/>
        <w:rFonts w:ascii="Arial" w:hAnsi="Arial" w:cs="Arial"/>
      </w:rPr>
      <w:fldChar w:fldCharType="separate"/>
    </w:r>
    <w:r w:rsidR="000F14EE">
      <w:rPr>
        <w:rStyle w:val="PageNumber"/>
        <w:rFonts w:ascii="Arial" w:hAnsi="Arial" w:cs="Arial"/>
        <w:noProof/>
      </w:rPr>
      <w:t>49</w:t>
    </w:r>
    <w:r w:rsidRPr="00287C89">
      <w:rPr>
        <w:rStyle w:val="PageNumber"/>
        <w:rFonts w:ascii="Arial" w:hAnsi="Arial" w:cs="Arial"/>
      </w:rPr>
      <w:fldChar w:fldCharType="end"/>
    </w:r>
  </w:p>
  <w:p w14:paraId="5DEC0542" w14:textId="77777777" w:rsidR="00D96083" w:rsidRDefault="00D96083" w:rsidP="00FE2A81">
    <w:pPr>
      <w:pStyle w:val="Footer"/>
      <w:ind w:right="360"/>
    </w:pPr>
  </w:p>
  <w:p w14:paraId="429295B6" w14:textId="77777777" w:rsidR="00D96083" w:rsidRDefault="00D96083" w:rsidP="00FE2A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1AF80" w14:textId="77777777" w:rsidR="00D96083" w:rsidRDefault="00D96083">
      <w:r>
        <w:separator/>
      </w:r>
    </w:p>
  </w:footnote>
  <w:footnote w:type="continuationSeparator" w:id="0">
    <w:p w14:paraId="7F846E8F" w14:textId="77777777" w:rsidR="00D96083" w:rsidRDefault="00D96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86D89" w14:textId="77777777" w:rsidR="00D96083" w:rsidRPr="00571206" w:rsidRDefault="00D96083" w:rsidP="00571206">
    <w:pPr>
      <w:autoSpaceDE w:val="0"/>
      <w:autoSpaceDN w:val="0"/>
      <w:adjustRightInd w:val="0"/>
      <w:rPr>
        <w:rFonts w:ascii="Arial" w:hAnsi="Arial" w:cs="Arial"/>
        <w:color w:val="000000"/>
        <w:sz w:val="24"/>
        <w:szCs w:val="24"/>
      </w:rPr>
    </w:pPr>
  </w:p>
  <w:p w14:paraId="117035EF" w14:textId="1E14CCFB" w:rsidR="00D96083" w:rsidRDefault="00D96083" w:rsidP="00571206">
    <w:pPr>
      <w:pStyle w:val="Header"/>
      <w:jc w:val="center"/>
      <w:rPr>
        <w:rFonts w:ascii="Arial" w:hAnsi="Arial" w:cs="Arial"/>
        <w:b/>
      </w:rPr>
    </w:pPr>
    <w:r w:rsidRPr="00571206">
      <w:rPr>
        <w:rFonts w:ascii="Arial" w:hAnsi="Arial" w:cs="Arial"/>
        <w:color w:val="000000"/>
        <w:sz w:val="24"/>
        <w:szCs w:val="24"/>
      </w:rPr>
      <w:t xml:space="preserve"> </w:t>
    </w:r>
    <w:r w:rsidRPr="00571206">
      <w:rPr>
        <w:rFonts w:ascii="Arial" w:hAnsi="Arial" w:cs="Arial"/>
        <w:b/>
        <w:bCs/>
        <w:color w:val="000000"/>
      </w:rPr>
      <w:t xml:space="preserve">PHARMACEUTICAL BENEFITS ADVISORY COMMITTEE (PBAC) MEETING </w:t>
    </w:r>
    <w:r w:rsidRPr="0071356F">
      <w:rPr>
        <w:rFonts w:ascii="Arial" w:hAnsi="Arial" w:cs="Arial"/>
        <w:b/>
      </w:rPr>
      <w:t>OUTCOMES</w:t>
    </w:r>
  </w:p>
  <w:p w14:paraId="69737A53" w14:textId="2F1ED96A" w:rsidR="00D96083" w:rsidRDefault="00D96083" w:rsidP="00571206">
    <w:pPr>
      <w:pStyle w:val="Header"/>
      <w:jc w:val="center"/>
      <w:rPr>
        <w:rFonts w:ascii="Arial" w:hAnsi="Arial" w:cs="Arial"/>
        <w:b/>
      </w:rPr>
    </w:pPr>
    <w:r>
      <w:rPr>
        <w:rFonts w:ascii="Arial" w:hAnsi="Arial" w:cs="Arial"/>
        <w:b/>
      </w:rPr>
      <w:t>NOVEMBER 2021 PBAC MEETING</w:t>
    </w:r>
  </w:p>
  <w:p w14:paraId="0E28AC1B" w14:textId="77777777" w:rsidR="00D96083" w:rsidRPr="0071356F" w:rsidRDefault="00D96083" w:rsidP="0071356F">
    <w:pPr>
      <w:pStyle w:val="Header"/>
      <w:jc w:val="center"/>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75F17"/>
    <w:multiLevelType w:val="hybridMultilevel"/>
    <w:tmpl w:val="A22ACE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5551E6"/>
    <w:multiLevelType w:val="hybridMultilevel"/>
    <w:tmpl w:val="F3E2EB94"/>
    <w:lvl w:ilvl="0" w:tplc="4894AF4A">
      <w:start w:val="1"/>
      <w:numFmt w:val="decimal"/>
      <w:lvlText w:val="%1."/>
      <w:lvlJc w:val="left"/>
      <w:pPr>
        <w:ind w:left="720" w:hanging="360"/>
      </w:pPr>
      <w:rPr>
        <w:rFonts w:hint="default"/>
        <w:b w:val="0"/>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D30749"/>
    <w:multiLevelType w:val="hybridMultilevel"/>
    <w:tmpl w:val="33ACD6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4F0D99"/>
    <w:multiLevelType w:val="hybridMultilevel"/>
    <w:tmpl w:val="3110C4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6CF0056"/>
    <w:multiLevelType w:val="hybridMultilevel"/>
    <w:tmpl w:val="A4142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233" w:hanging="360"/>
      </w:pPr>
      <w:rPr>
        <w:rFonts w:ascii="Courier New" w:hAnsi="Courier New" w:cs="Courier New" w:hint="default"/>
      </w:rPr>
    </w:lvl>
    <w:lvl w:ilvl="2" w:tplc="0C090005" w:tentative="1">
      <w:start w:val="1"/>
      <w:numFmt w:val="bullet"/>
      <w:lvlText w:val=""/>
      <w:lvlJc w:val="left"/>
      <w:pPr>
        <w:ind w:left="1953" w:hanging="360"/>
      </w:pPr>
      <w:rPr>
        <w:rFonts w:ascii="Wingdings" w:hAnsi="Wingdings" w:hint="default"/>
      </w:rPr>
    </w:lvl>
    <w:lvl w:ilvl="3" w:tplc="0C090001" w:tentative="1">
      <w:start w:val="1"/>
      <w:numFmt w:val="bullet"/>
      <w:lvlText w:val=""/>
      <w:lvlJc w:val="left"/>
      <w:pPr>
        <w:ind w:left="2673" w:hanging="360"/>
      </w:pPr>
      <w:rPr>
        <w:rFonts w:ascii="Symbol" w:hAnsi="Symbol" w:hint="default"/>
      </w:rPr>
    </w:lvl>
    <w:lvl w:ilvl="4" w:tplc="0C090003" w:tentative="1">
      <w:start w:val="1"/>
      <w:numFmt w:val="bullet"/>
      <w:lvlText w:val="o"/>
      <w:lvlJc w:val="left"/>
      <w:pPr>
        <w:ind w:left="3393" w:hanging="360"/>
      </w:pPr>
      <w:rPr>
        <w:rFonts w:ascii="Courier New" w:hAnsi="Courier New" w:cs="Courier New" w:hint="default"/>
      </w:rPr>
    </w:lvl>
    <w:lvl w:ilvl="5" w:tplc="0C090005" w:tentative="1">
      <w:start w:val="1"/>
      <w:numFmt w:val="bullet"/>
      <w:lvlText w:val=""/>
      <w:lvlJc w:val="left"/>
      <w:pPr>
        <w:ind w:left="4113" w:hanging="360"/>
      </w:pPr>
      <w:rPr>
        <w:rFonts w:ascii="Wingdings" w:hAnsi="Wingdings" w:hint="default"/>
      </w:rPr>
    </w:lvl>
    <w:lvl w:ilvl="6" w:tplc="0C090001" w:tentative="1">
      <w:start w:val="1"/>
      <w:numFmt w:val="bullet"/>
      <w:lvlText w:val=""/>
      <w:lvlJc w:val="left"/>
      <w:pPr>
        <w:ind w:left="4833" w:hanging="360"/>
      </w:pPr>
      <w:rPr>
        <w:rFonts w:ascii="Symbol" w:hAnsi="Symbol" w:hint="default"/>
      </w:rPr>
    </w:lvl>
    <w:lvl w:ilvl="7" w:tplc="0C090003" w:tentative="1">
      <w:start w:val="1"/>
      <w:numFmt w:val="bullet"/>
      <w:lvlText w:val="o"/>
      <w:lvlJc w:val="left"/>
      <w:pPr>
        <w:ind w:left="5553" w:hanging="360"/>
      </w:pPr>
      <w:rPr>
        <w:rFonts w:ascii="Courier New" w:hAnsi="Courier New" w:cs="Courier New" w:hint="default"/>
      </w:rPr>
    </w:lvl>
    <w:lvl w:ilvl="8" w:tplc="0C090005" w:tentative="1">
      <w:start w:val="1"/>
      <w:numFmt w:val="bullet"/>
      <w:lvlText w:val=""/>
      <w:lvlJc w:val="left"/>
      <w:pPr>
        <w:ind w:left="6273" w:hanging="360"/>
      </w:pPr>
      <w:rPr>
        <w:rFonts w:ascii="Wingdings" w:hAnsi="Wingdings" w:hint="default"/>
      </w:rPr>
    </w:lvl>
  </w:abstractNum>
  <w:abstractNum w:abstractNumId="5" w15:restartNumberingAfterBreak="0">
    <w:nsid w:val="3098052F"/>
    <w:multiLevelType w:val="multilevel"/>
    <w:tmpl w:val="473EA67C"/>
    <w:lvl w:ilvl="0">
      <w:start w:val="1"/>
      <w:numFmt w:val="decimal"/>
      <w:lvlText w:val="%1."/>
      <w:lvlJc w:val="left"/>
      <w:pPr>
        <w:ind w:left="369" w:hanging="369"/>
      </w:pPr>
      <w:rPr>
        <w:rFonts w:hint="default"/>
      </w:rPr>
    </w:lvl>
    <w:lvl w:ilvl="1">
      <w:start w:val="1"/>
      <w:numFmt w:val="none"/>
      <w:lvlText w:val="-"/>
      <w:lvlJc w:val="left"/>
      <w:pPr>
        <w:ind w:left="737" w:hanging="368"/>
      </w:pPr>
      <w:rPr>
        <w:rFonts w:hint="default"/>
      </w:rPr>
    </w:lvl>
    <w:lvl w:ilvl="2">
      <w:start w:val="1"/>
      <w:numFmt w:val="none"/>
      <w:lvlText w:val=":"/>
      <w:lvlJc w:val="left"/>
      <w:pPr>
        <w:ind w:left="1106" w:hanging="369"/>
      </w:pPr>
      <w:rPr>
        <w:rFonts w:hint="default"/>
      </w:rPr>
    </w:lvl>
    <w:lvl w:ilvl="3">
      <w:start w:val="1"/>
      <w:numFmt w:val="none"/>
      <w:lvlText w:val=""/>
      <w:lvlJc w:val="left"/>
      <w:pPr>
        <w:ind w:left="1474" w:hanging="36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E3B13B7"/>
    <w:multiLevelType w:val="hybridMultilevel"/>
    <w:tmpl w:val="D6B45E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92B2D4C"/>
    <w:multiLevelType w:val="multilevel"/>
    <w:tmpl w:val="34F04474"/>
    <w:lvl w:ilvl="0">
      <w:start w:val="1"/>
      <w:numFmt w:val="bullet"/>
      <w:lvlText w:val=""/>
      <w:lvlJc w:val="left"/>
      <w:pPr>
        <w:ind w:left="369" w:hanging="369"/>
      </w:pPr>
      <w:rPr>
        <w:rFonts w:ascii="Symbol" w:hAnsi="Symbol" w:hint="default"/>
        <w:i w:val="0"/>
        <w:color w:val="auto"/>
        <w:sz w:val="24"/>
        <w:szCs w:val="24"/>
      </w:rPr>
    </w:lvl>
    <w:lvl w:ilvl="1">
      <w:start w:val="1"/>
      <w:numFmt w:val="bullet"/>
      <w:lvlText w:val=""/>
      <w:lvlJc w:val="left"/>
      <w:pPr>
        <w:ind w:left="738" w:hanging="369"/>
      </w:pPr>
      <w:rPr>
        <w:rFonts w:ascii="Symbol" w:hAnsi="Symbol" w:hint="default"/>
      </w:rPr>
    </w:lvl>
    <w:lvl w:ilvl="2">
      <w:start w:val="1"/>
      <w:numFmt w:val="bullet"/>
      <w:lvlText w:val=""/>
      <w:lvlJc w:val="left"/>
      <w:pPr>
        <w:ind w:left="1107" w:hanging="369"/>
      </w:pPr>
      <w:rPr>
        <w:rFonts w:ascii="Symbol" w:hAnsi="Symbol" w:hint="default"/>
      </w:rPr>
    </w:lvl>
    <w:lvl w:ilvl="3">
      <w:start w:val="1"/>
      <w:numFmt w:val="none"/>
      <w:lvlText w:val="%4"/>
      <w:lvlJc w:val="left"/>
      <w:pPr>
        <w:ind w:left="1476" w:hanging="369"/>
      </w:pPr>
    </w:lvl>
    <w:lvl w:ilvl="4">
      <w:start w:val="1"/>
      <w:numFmt w:val="none"/>
      <w:lvlText w:val=""/>
      <w:lvlJc w:val="left"/>
      <w:pPr>
        <w:ind w:left="1845" w:hanging="369"/>
      </w:pPr>
    </w:lvl>
    <w:lvl w:ilvl="5">
      <w:start w:val="1"/>
      <w:numFmt w:val="none"/>
      <w:lvlText w:val=""/>
      <w:lvlJc w:val="left"/>
      <w:pPr>
        <w:ind w:left="2214" w:hanging="369"/>
      </w:pPr>
    </w:lvl>
    <w:lvl w:ilvl="6">
      <w:start w:val="1"/>
      <w:numFmt w:val="none"/>
      <w:lvlText w:val=""/>
      <w:lvlJc w:val="left"/>
      <w:pPr>
        <w:ind w:left="2583" w:hanging="369"/>
      </w:pPr>
    </w:lvl>
    <w:lvl w:ilvl="7">
      <w:start w:val="1"/>
      <w:numFmt w:val="none"/>
      <w:lvlText w:val=""/>
      <w:lvlJc w:val="left"/>
      <w:pPr>
        <w:ind w:left="2952" w:hanging="369"/>
      </w:pPr>
    </w:lvl>
    <w:lvl w:ilvl="8">
      <w:start w:val="1"/>
      <w:numFmt w:val="none"/>
      <w:lvlText w:val=""/>
      <w:lvlJc w:val="left"/>
      <w:pPr>
        <w:ind w:left="3321" w:hanging="369"/>
      </w:pPr>
    </w:lvl>
  </w:abstractNum>
  <w:abstractNum w:abstractNumId="8" w15:restartNumberingAfterBreak="0">
    <w:nsid w:val="4DA92195"/>
    <w:multiLevelType w:val="multilevel"/>
    <w:tmpl w:val="E1CE3240"/>
    <w:lvl w:ilvl="0">
      <w:start w:val="1"/>
      <w:numFmt w:val="bullet"/>
      <w:lvlText w:val=""/>
      <w:lvlJc w:val="left"/>
      <w:pPr>
        <w:ind w:left="369" w:hanging="369"/>
      </w:pPr>
      <w:rPr>
        <w:rFonts w:ascii="Symbol" w:hAnsi="Symbol" w:hint="default"/>
        <w:i w:val="0"/>
        <w:color w:val="auto"/>
        <w:sz w:val="24"/>
        <w:szCs w:val="24"/>
      </w:rPr>
    </w:lvl>
    <w:lvl w:ilvl="1">
      <w:start w:val="1"/>
      <w:numFmt w:val="bullet"/>
      <w:lvlText w:val=""/>
      <w:lvlJc w:val="left"/>
      <w:pPr>
        <w:ind w:left="738" w:hanging="369"/>
      </w:pPr>
      <w:rPr>
        <w:rFonts w:ascii="Symbol" w:hAnsi="Symbol" w:hint="default"/>
      </w:rPr>
    </w:lvl>
    <w:lvl w:ilvl="2">
      <w:start w:val="1"/>
      <w:numFmt w:val="bullet"/>
      <w:lvlText w:val=""/>
      <w:lvlJc w:val="left"/>
      <w:pPr>
        <w:ind w:left="1107" w:hanging="369"/>
      </w:pPr>
      <w:rPr>
        <w:rFonts w:ascii="Symbol" w:hAnsi="Symbol" w:hint="default"/>
      </w:rPr>
    </w:lvl>
    <w:lvl w:ilvl="3">
      <w:start w:val="1"/>
      <w:numFmt w:val="none"/>
      <w:lvlText w:val="%4"/>
      <w:lvlJc w:val="left"/>
      <w:pPr>
        <w:ind w:left="1476" w:hanging="369"/>
      </w:pPr>
    </w:lvl>
    <w:lvl w:ilvl="4">
      <w:start w:val="1"/>
      <w:numFmt w:val="none"/>
      <w:lvlText w:val=""/>
      <w:lvlJc w:val="left"/>
      <w:pPr>
        <w:ind w:left="1845" w:hanging="369"/>
      </w:pPr>
    </w:lvl>
    <w:lvl w:ilvl="5">
      <w:start w:val="1"/>
      <w:numFmt w:val="none"/>
      <w:lvlText w:val=""/>
      <w:lvlJc w:val="left"/>
      <w:pPr>
        <w:ind w:left="2214" w:hanging="369"/>
      </w:pPr>
    </w:lvl>
    <w:lvl w:ilvl="6">
      <w:start w:val="1"/>
      <w:numFmt w:val="none"/>
      <w:lvlText w:val=""/>
      <w:lvlJc w:val="left"/>
      <w:pPr>
        <w:ind w:left="2583" w:hanging="369"/>
      </w:pPr>
    </w:lvl>
    <w:lvl w:ilvl="7">
      <w:start w:val="1"/>
      <w:numFmt w:val="none"/>
      <w:lvlText w:val=""/>
      <w:lvlJc w:val="left"/>
      <w:pPr>
        <w:ind w:left="2952" w:hanging="369"/>
      </w:pPr>
    </w:lvl>
    <w:lvl w:ilvl="8">
      <w:start w:val="1"/>
      <w:numFmt w:val="none"/>
      <w:lvlText w:val=""/>
      <w:lvlJc w:val="left"/>
      <w:pPr>
        <w:ind w:left="3321" w:hanging="369"/>
      </w:pPr>
    </w:lvl>
  </w:abstractNum>
  <w:abstractNum w:abstractNumId="9" w15:restartNumberingAfterBreak="0">
    <w:nsid w:val="57C97701"/>
    <w:multiLevelType w:val="hybridMultilevel"/>
    <w:tmpl w:val="522A98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6E6F75A3"/>
    <w:multiLevelType w:val="hybridMultilevel"/>
    <w:tmpl w:val="617420AC"/>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449763E"/>
    <w:multiLevelType w:val="hybridMultilevel"/>
    <w:tmpl w:val="880491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84D033C"/>
    <w:multiLevelType w:val="multilevel"/>
    <w:tmpl w:val="CC92A716"/>
    <w:lvl w:ilvl="0">
      <w:start w:val="1"/>
      <w:numFmt w:val="decimal"/>
      <w:pStyle w:val="2-SectionHeading"/>
      <w:lvlText w:val="%1"/>
      <w:lvlJc w:val="left"/>
      <w:pPr>
        <w:ind w:left="720" w:hanging="720"/>
      </w:pPr>
      <w:rPr>
        <w:b/>
      </w:rPr>
    </w:lvl>
    <w:lvl w:ilvl="1">
      <w:start w:val="1"/>
      <w:numFmt w:val="decimal"/>
      <w:pStyle w:val="ExecSumBodyText"/>
      <w:lvlText w:val="%1.%2"/>
      <w:lvlJc w:val="left"/>
      <w:pPr>
        <w:ind w:left="720" w:hanging="72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webHidden w:val="0"/>
        <w:color w:val="auto"/>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2"/>
  </w:num>
  <w:num w:numId="5">
    <w:abstractNumId w:val="4"/>
  </w:num>
  <w:num w:numId="6">
    <w:abstractNumId w:val="0"/>
  </w:num>
  <w:num w:numId="7">
    <w:abstractNumId w:val="5"/>
  </w:num>
  <w:num w:numId="8">
    <w:abstractNumId w:val="9"/>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3"/>
  </w:num>
  <w:num w:numId="12">
    <w:abstractNumId w:val="11"/>
  </w:num>
  <w:num w:numId="13">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457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C8A"/>
    <w:rsid w:val="0000091B"/>
    <w:rsid w:val="0000099E"/>
    <w:rsid w:val="00000C2B"/>
    <w:rsid w:val="00001364"/>
    <w:rsid w:val="0000162D"/>
    <w:rsid w:val="000017CE"/>
    <w:rsid w:val="00002288"/>
    <w:rsid w:val="00002E16"/>
    <w:rsid w:val="000034C3"/>
    <w:rsid w:val="00003584"/>
    <w:rsid w:val="00004628"/>
    <w:rsid w:val="0000462B"/>
    <w:rsid w:val="00004D33"/>
    <w:rsid w:val="00004D75"/>
    <w:rsid w:val="00004F9D"/>
    <w:rsid w:val="00005F17"/>
    <w:rsid w:val="00005FA7"/>
    <w:rsid w:val="000063DB"/>
    <w:rsid w:val="00006BB1"/>
    <w:rsid w:val="0000733C"/>
    <w:rsid w:val="000074BD"/>
    <w:rsid w:val="00007D69"/>
    <w:rsid w:val="000102AF"/>
    <w:rsid w:val="00010379"/>
    <w:rsid w:val="00010886"/>
    <w:rsid w:val="00010920"/>
    <w:rsid w:val="0001152D"/>
    <w:rsid w:val="000118E3"/>
    <w:rsid w:val="00011EA7"/>
    <w:rsid w:val="000120D3"/>
    <w:rsid w:val="000129ED"/>
    <w:rsid w:val="00013284"/>
    <w:rsid w:val="0001362E"/>
    <w:rsid w:val="00013785"/>
    <w:rsid w:val="00014746"/>
    <w:rsid w:val="00014B96"/>
    <w:rsid w:val="00014DC1"/>
    <w:rsid w:val="00014FF8"/>
    <w:rsid w:val="000155A7"/>
    <w:rsid w:val="00015748"/>
    <w:rsid w:val="00015DFE"/>
    <w:rsid w:val="00016092"/>
    <w:rsid w:val="0001617C"/>
    <w:rsid w:val="00016211"/>
    <w:rsid w:val="0001634D"/>
    <w:rsid w:val="00016707"/>
    <w:rsid w:val="00016F44"/>
    <w:rsid w:val="00017050"/>
    <w:rsid w:val="00017870"/>
    <w:rsid w:val="000179CE"/>
    <w:rsid w:val="00017CDE"/>
    <w:rsid w:val="00020127"/>
    <w:rsid w:val="000210EB"/>
    <w:rsid w:val="000220E8"/>
    <w:rsid w:val="00022361"/>
    <w:rsid w:val="000223D3"/>
    <w:rsid w:val="00022435"/>
    <w:rsid w:val="00022686"/>
    <w:rsid w:val="000228B1"/>
    <w:rsid w:val="00022BDB"/>
    <w:rsid w:val="00022BF5"/>
    <w:rsid w:val="0002300F"/>
    <w:rsid w:val="0002305C"/>
    <w:rsid w:val="00023228"/>
    <w:rsid w:val="000235A6"/>
    <w:rsid w:val="00023817"/>
    <w:rsid w:val="0002401C"/>
    <w:rsid w:val="00024248"/>
    <w:rsid w:val="000245BC"/>
    <w:rsid w:val="0002470A"/>
    <w:rsid w:val="00024CE2"/>
    <w:rsid w:val="0002564D"/>
    <w:rsid w:val="00025967"/>
    <w:rsid w:val="00025F56"/>
    <w:rsid w:val="0002716D"/>
    <w:rsid w:val="00027346"/>
    <w:rsid w:val="00027672"/>
    <w:rsid w:val="00030320"/>
    <w:rsid w:val="00030A49"/>
    <w:rsid w:val="00031946"/>
    <w:rsid w:val="000322EC"/>
    <w:rsid w:val="00032AB9"/>
    <w:rsid w:val="00033D0B"/>
    <w:rsid w:val="00034086"/>
    <w:rsid w:val="00034121"/>
    <w:rsid w:val="000350A9"/>
    <w:rsid w:val="00035472"/>
    <w:rsid w:val="00035622"/>
    <w:rsid w:val="00035CFA"/>
    <w:rsid w:val="000365B0"/>
    <w:rsid w:val="00036CF7"/>
    <w:rsid w:val="00037175"/>
    <w:rsid w:val="00037F52"/>
    <w:rsid w:val="0004019D"/>
    <w:rsid w:val="000407E0"/>
    <w:rsid w:val="00041467"/>
    <w:rsid w:val="0004160D"/>
    <w:rsid w:val="00041F3D"/>
    <w:rsid w:val="00042593"/>
    <w:rsid w:val="00043755"/>
    <w:rsid w:val="00043C1D"/>
    <w:rsid w:val="00044146"/>
    <w:rsid w:val="00044BB4"/>
    <w:rsid w:val="00046725"/>
    <w:rsid w:val="000468C0"/>
    <w:rsid w:val="00046DA2"/>
    <w:rsid w:val="00050762"/>
    <w:rsid w:val="000507B9"/>
    <w:rsid w:val="0005150B"/>
    <w:rsid w:val="00051AF5"/>
    <w:rsid w:val="000548C7"/>
    <w:rsid w:val="00055866"/>
    <w:rsid w:val="0005661F"/>
    <w:rsid w:val="00057006"/>
    <w:rsid w:val="000575B4"/>
    <w:rsid w:val="000601EA"/>
    <w:rsid w:val="000603CB"/>
    <w:rsid w:val="0006084C"/>
    <w:rsid w:val="000608FE"/>
    <w:rsid w:val="00060E7B"/>
    <w:rsid w:val="000615B0"/>
    <w:rsid w:val="00061E01"/>
    <w:rsid w:val="0006239E"/>
    <w:rsid w:val="0006295A"/>
    <w:rsid w:val="00062EE7"/>
    <w:rsid w:val="000643D0"/>
    <w:rsid w:val="00065195"/>
    <w:rsid w:val="000672D3"/>
    <w:rsid w:val="0006744F"/>
    <w:rsid w:val="00067A06"/>
    <w:rsid w:val="00067E91"/>
    <w:rsid w:val="00070204"/>
    <w:rsid w:val="00070612"/>
    <w:rsid w:val="0007061C"/>
    <w:rsid w:val="000714CE"/>
    <w:rsid w:val="00071D67"/>
    <w:rsid w:val="00072584"/>
    <w:rsid w:val="000728AC"/>
    <w:rsid w:val="00072F02"/>
    <w:rsid w:val="00074126"/>
    <w:rsid w:val="0007567B"/>
    <w:rsid w:val="00075B7E"/>
    <w:rsid w:val="00076287"/>
    <w:rsid w:val="00076297"/>
    <w:rsid w:val="00076AED"/>
    <w:rsid w:val="00077555"/>
    <w:rsid w:val="00077A40"/>
    <w:rsid w:val="00077F45"/>
    <w:rsid w:val="00080510"/>
    <w:rsid w:val="00081153"/>
    <w:rsid w:val="00081DCD"/>
    <w:rsid w:val="00082053"/>
    <w:rsid w:val="00082507"/>
    <w:rsid w:val="000834C8"/>
    <w:rsid w:val="00083789"/>
    <w:rsid w:val="00083792"/>
    <w:rsid w:val="000839D5"/>
    <w:rsid w:val="00083A63"/>
    <w:rsid w:val="00083BE8"/>
    <w:rsid w:val="00083E6A"/>
    <w:rsid w:val="00084012"/>
    <w:rsid w:val="00084264"/>
    <w:rsid w:val="000842BB"/>
    <w:rsid w:val="00084CED"/>
    <w:rsid w:val="00084D37"/>
    <w:rsid w:val="000855C9"/>
    <w:rsid w:val="00085F9C"/>
    <w:rsid w:val="00086013"/>
    <w:rsid w:val="0008687E"/>
    <w:rsid w:val="000868A3"/>
    <w:rsid w:val="00086D66"/>
    <w:rsid w:val="000872FA"/>
    <w:rsid w:val="00090385"/>
    <w:rsid w:val="00090D21"/>
    <w:rsid w:val="00090F42"/>
    <w:rsid w:val="00091262"/>
    <w:rsid w:val="00091269"/>
    <w:rsid w:val="00092523"/>
    <w:rsid w:val="00093960"/>
    <w:rsid w:val="0009470A"/>
    <w:rsid w:val="00095C30"/>
    <w:rsid w:val="00096B9F"/>
    <w:rsid w:val="00096E39"/>
    <w:rsid w:val="000972AC"/>
    <w:rsid w:val="00097C0E"/>
    <w:rsid w:val="00097ED4"/>
    <w:rsid w:val="000A1E1C"/>
    <w:rsid w:val="000A2697"/>
    <w:rsid w:val="000A29FA"/>
    <w:rsid w:val="000A2A86"/>
    <w:rsid w:val="000A2C2D"/>
    <w:rsid w:val="000A2DE4"/>
    <w:rsid w:val="000A2FEC"/>
    <w:rsid w:val="000A3BB7"/>
    <w:rsid w:val="000A418B"/>
    <w:rsid w:val="000A46FC"/>
    <w:rsid w:val="000A4955"/>
    <w:rsid w:val="000A570D"/>
    <w:rsid w:val="000A59CC"/>
    <w:rsid w:val="000A64C7"/>
    <w:rsid w:val="000A7C8A"/>
    <w:rsid w:val="000A7F23"/>
    <w:rsid w:val="000B1170"/>
    <w:rsid w:val="000B1811"/>
    <w:rsid w:val="000B1A6E"/>
    <w:rsid w:val="000B21DD"/>
    <w:rsid w:val="000B2F97"/>
    <w:rsid w:val="000B2FF6"/>
    <w:rsid w:val="000B3004"/>
    <w:rsid w:val="000B3043"/>
    <w:rsid w:val="000B3252"/>
    <w:rsid w:val="000B34FA"/>
    <w:rsid w:val="000B3688"/>
    <w:rsid w:val="000B36FE"/>
    <w:rsid w:val="000B372D"/>
    <w:rsid w:val="000B38D3"/>
    <w:rsid w:val="000B5120"/>
    <w:rsid w:val="000B5B24"/>
    <w:rsid w:val="000B6487"/>
    <w:rsid w:val="000B7528"/>
    <w:rsid w:val="000B7A91"/>
    <w:rsid w:val="000B7F45"/>
    <w:rsid w:val="000C040A"/>
    <w:rsid w:val="000C0497"/>
    <w:rsid w:val="000C0E21"/>
    <w:rsid w:val="000C1A94"/>
    <w:rsid w:val="000C1BA1"/>
    <w:rsid w:val="000C219D"/>
    <w:rsid w:val="000C22B0"/>
    <w:rsid w:val="000C2786"/>
    <w:rsid w:val="000C2E72"/>
    <w:rsid w:val="000C2FFA"/>
    <w:rsid w:val="000C3369"/>
    <w:rsid w:val="000C339F"/>
    <w:rsid w:val="000C3CAA"/>
    <w:rsid w:val="000C3F2C"/>
    <w:rsid w:val="000C45E3"/>
    <w:rsid w:val="000C494F"/>
    <w:rsid w:val="000C56B4"/>
    <w:rsid w:val="000C586F"/>
    <w:rsid w:val="000C5A78"/>
    <w:rsid w:val="000C5B48"/>
    <w:rsid w:val="000C661A"/>
    <w:rsid w:val="000C77A9"/>
    <w:rsid w:val="000D0D8B"/>
    <w:rsid w:val="000D14F1"/>
    <w:rsid w:val="000D1C61"/>
    <w:rsid w:val="000D2AFE"/>
    <w:rsid w:val="000D2D84"/>
    <w:rsid w:val="000D3190"/>
    <w:rsid w:val="000D3ECA"/>
    <w:rsid w:val="000D418F"/>
    <w:rsid w:val="000D4551"/>
    <w:rsid w:val="000D5D71"/>
    <w:rsid w:val="000D5EFB"/>
    <w:rsid w:val="000D6416"/>
    <w:rsid w:val="000D7F3B"/>
    <w:rsid w:val="000E055E"/>
    <w:rsid w:val="000E0C55"/>
    <w:rsid w:val="000E1259"/>
    <w:rsid w:val="000E12D5"/>
    <w:rsid w:val="000E15F8"/>
    <w:rsid w:val="000E1E84"/>
    <w:rsid w:val="000E21D8"/>
    <w:rsid w:val="000E2360"/>
    <w:rsid w:val="000E2C73"/>
    <w:rsid w:val="000E2C8F"/>
    <w:rsid w:val="000E2EA3"/>
    <w:rsid w:val="000E31F7"/>
    <w:rsid w:val="000E4B3E"/>
    <w:rsid w:val="000E539F"/>
    <w:rsid w:val="000E5563"/>
    <w:rsid w:val="000E5739"/>
    <w:rsid w:val="000E58C5"/>
    <w:rsid w:val="000E6CF9"/>
    <w:rsid w:val="000E73BD"/>
    <w:rsid w:val="000F069C"/>
    <w:rsid w:val="000F0B27"/>
    <w:rsid w:val="000F0D73"/>
    <w:rsid w:val="000F0DFC"/>
    <w:rsid w:val="000F14EE"/>
    <w:rsid w:val="000F1D4F"/>
    <w:rsid w:val="000F26BE"/>
    <w:rsid w:val="000F2E82"/>
    <w:rsid w:val="000F305F"/>
    <w:rsid w:val="000F3A4F"/>
    <w:rsid w:val="000F3D50"/>
    <w:rsid w:val="000F5D35"/>
    <w:rsid w:val="000F5DDE"/>
    <w:rsid w:val="000F6F0D"/>
    <w:rsid w:val="000F7390"/>
    <w:rsid w:val="000F7D67"/>
    <w:rsid w:val="001000EA"/>
    <w:rsid w:val="00100B0B"/>
    <w:rsid w:val="001025E7"/>
    <w:rsid w:val="0010275F"/>
    <w:rsid w:val="0010316E"/>
    <w:rsid w:val="001038BB"/>
    <w:rsid w:val="00103F76"/>
    <w:rsid w:val="001049E3"/>
    <w:rsid w:val="00104C50"/>
    <w:rsid w:val="00105880"/>
    <w:rsid w:val="00107038"/>
    <w:rsid w:val="00107219"/>
    <w:rsid w:val="001074AC"/>
    <w:rsid w:val="001101E1"/>
    <w:rsid w:val="00110379"/>
    <w:rsid w:val="001103CF"/>
    <w:rsid w:val="00111F4C"/>
    <w:rsid w:val="00112561"/>
    <w:rsid w:val="001129E8"/>
    <w:rsid w:val="00112BA9"/>
    <w:rsid w:val="0011385A"/>
    <w:rsid w:val="00113C76"/>
    <w:rsid w:val="00114588"/>
    <w:rsid w:val="001149B9"/>
    <w:rsid w:val="00114A58"/>
    <w:rsid w:val="00114D12"/>
    <w:rsid w:val="00115629"/>
    <w:rsid w:val="001158B6"/>
    <w:rsid w:val="00115B67"/>
    <w:rsid w:val="001171CB"/>
    <w:rsid w:val="00117210"/>
    <w:rsid w:val="0011744C"/>
    <w:rsid w:val="00117AF4"/>
    <w:rsid w:val="00120A89"/>
    <w:rsid w:val="00120FAC"/>
    <w:rsid w:val="00121311"/>
    <w:rsid w:val="00121A8E"/>
    <w:rsid w:val="00121BF6"/>
    <w:rsid w:val="00124585"/>
    <w:rsid w:val="00124D80"/>
    <w:rsid w:val="00125074"/>
    <w:rsid w:val="001261A9"/>
    <w:rsid w:val="001267DB"/>
    <w:rsid w:val="001275A6"/>
    <w:rsid w:val="001276FB"/>
    <w:rsid w:val="00130C57"/>
    <w:rsid w:val="0013141F"/>
    <w:rsid w:val="001317E4"/>
    <w:rsid w:val="00131CB1"/>
    <w:rsid w:val="00132052"/>
    <w:rsid w:val="0013270B"/>
    <w:rsid w:val="001329B7"/>
    <w:rsid w:val="00132A3A"/>
    <w:rsid w:val="00132DAB"/>
    <w:rsid w:val="00132FA5"/>
    <w:rsid w:val="001334F9"/>
    <w:rsid w:val="001335DA"/>
    <w:rsid w:val="00133B4C"/>
    <w:rsid w:val="00133D7F"/>
    <w:rsid w:val="00134ECB"/>
    <w:rsid w:val="00134F08"/>
    <w:rsid w:val="001357A1"/>
    <w:rsid w:val="00135E47"/>
    <w:rsid w:val="001362A6"/>
    <w:rsid w:val="00136B3F"/>
    <w:rsid w:val="00136DF8"/>
    <w:rsid w:val="0013745F"/>
    <w:rsid w:val="00137894"/>
    <w:rsid w:val="00137CB8"/>
    <w:rsid w:val="00140035"/>
    <w:rsid w:val="00140465"/>
    <w:rsid w:val="00140E09"/>
    <w:rsid w:val="0014101A"/>
    <w:rsid w:val="0014142D"/>
    <w:rsid w:val="0014148A"/>
    <w:rsid w:val="00141FEB"/>
    <w:rsid w:val="00142EED"/>
    <w:rsid w:val="00143743"/>
    <w:rsid w:val="001437D5"/>
    <w:rsid w:val="00143E66"/>
    <w:rsid w:val="00143FEE"/>
    <w:rsid w:val="00144CCA"/>
    <w:rsid w:val="00145D66"/>
    <w:rsid w:val="00146059"/>
    <w:rsid w:val="00146F0E"/>
    <w:rsid w:val="0014776D"/>
    <w:rsid w:val="00147845"/>
    <w:rsid w:val="00147FC1"/>
    <w:rsid w:val="001500C8"/>
    <w:rsid w:val="001502B0"/>
    <w:rsid w:val="00150381"/>
    <w:rsid w:val="0015080E"/>
    <w:rsid w:val="00151705"/>
    <w:rsid w:val="00151C88"/>
    <w:rsid w:val="00151D35"/>
    <w:rsid w:val="00152387"/>
    <w:rsid w:val="00152A0C"/>
    <w:rsid w:val="00153424"/>
    <w:rsid w:val="00153C15"/>
    <w:rsid w:val="00153EE1"/>
    <w:rsid w:val="0015402E"/>
    <w:rsid w:val="001546E8"/>
    <w:rsid w:val="00154828"/>
    <w:rsid w:val="00155698"/>
    <w:rsid w:val="00155809"/>
    <w:rsid w:val="00155BC9"/>
    <w:rsid w:val="00155C11"/>
    <w:rsid w:val="00157D22"/>
    <w:rsid w:val="00157F62"/>
    <w:rsid w:val="001600EB"/>
    <w:rsid w:val="00160327"/>
    <w:rsid w:val="00160423"/>
    <w:rsid w:val="00160AB7"/>
    <w:rsid w:val="00161C25"/>
    <w:rsid w:val="00161CC6"/>
    <w:rsid w:val="00161CD7"/>
    <w:rsid w:val="0016312E"/>
    <w:rsid w:val="00163182"/>
    <w:rsid w:val="0016341E"/>
    <w:rsid w:val="00163694"/>
    <w:rsid w:val="00164303"/>
    <w:rsid w:val="00164EA4"/>
    <w:rsid w:val="001654A9"/>
    <w:rsid w:val="00165A05"/>
    <w:rsid w:val="00165E5D"/>
    <w:rsid w:val="00166297"/>
    <w:rsid w:val="001663D5"/>
    <w:rsid w:val="0016683E"/>
    <w:rsid w:val="00166F24"/>
    <w:rsid w:val="00167277"/>
    <w:rsid w:val="00170573"/>
    <w:rsid w:val="001707C4"/>
    <w:rsid w:val="001711A9"/>
    <w:rsid w:val="001712DE"/>
    <w:rsid w:val="00171570"/>
    <w:rsid w:val="00171DC1"/>
    <w:rsid w:val="00171E1D"/>
    <w:rsid w:val="00171EF7"/>
    <w:rsid w:val="00174067"/>
    <w:rsid w:val="0017449B"/>
    <w:rsid w:val="00174944"/>
    <w:rsid w:val="00175139"/>
    <w:rsid w:val="00175BA1"/>
    <w:rsid w:val="00176067"/>
    <w:rsid w:val="00176645"/>
    <w:rsid w:val="001766A8"/>
    <w:rsid w:val="0017687A"/>
    <w:rsid w:val="00176E59"/>
    <w:rsid w:val="001772D4"/>
    <w:rsid w:val="0017743E"/>
    <w:rsid w:val="00177845"/>
    <w:rsid w:val="001806A2"/>
    <w:rsid w:val="001810C8"/>
    <w:rsid w:val="001812AE"/>
    <w:rsid w:val="00182E45"/>
    <w:rsid w:val="00183DEE"/>
    <w:rsid w:val="0018419E"/>
    <w:rsid w:val="00184E8A"/>
    <w:rsid w:val="0018519A"/>
    <w:rsid w:val="00190B9C"/>
    <w:rsid w:val="00190D52"/>
    <w:rsid w:val="0019138B"/>
    <w:rsid w:val="001919D3"/>
    <w:rsid w:val="001925E9"/>
    <w:rsid w:val="00192900"/>
    <w:rsid w:val="0019395E"/>
    <w:rsid w:val="00193C35"/>
    <w:rsid w:val="0019441C"/>
    <w:rsid w:val="001950D9"/>
    <w:rsid w:val="00195379"/>
    <w:rsid w:val="00195A6E"/>
    <w:rsid w:val="00196144"/>
    <w:rsid w:val="001971B1"/>
    <w:rsid w:val="001971EA"/>
    <w:rsid w:val="00197975"/>
    <w:rsid w:val="001A0DC8"/>
    <w:rsid w:val="001A0F43"/>
    <w:rsid w:val="001A14F5"/>
    <w:rsid w:val="001A1777"/>
    <w:rsid w:val="001A1A8A"/>
    <w:rsid w:val="001A2649"/>
    <w:rsid w:val="001A307D"/>
    <w:rsid w:val="001A3986"/>
    <w:rsid w:val="001A3E19"/>
    <w:rsid w:val="001A4242"/>
    <w:rsid w:val="001A48FD"/>
    <w:rsid w:val="001A6DEF"/>
    <w:rsid w:val="001A7A6A"/>
    <w:rsid w:val="001A7A87"/>
    <w:rsid w:val="001B049D"/>
    <w:rsid w:val="001B04E4"/>
    <w:rsid w:val="001B0553"/>
    <w:rsid w:val="001B0636"/>
    <w:rsid w:val="001B1577"/>
    <w:rsid w:val="001B16C3"/>
    <w:rsid w:val="001B1838"/>
    <w:rsid w:val="001B1C67"/>
    <w:rsid w:val="001B2234"/>
    <w:rsid w:val="001B22B4"/>
    <w:rsid w:val="001B2C7D"/>
    <w:rsid w:val="001B3984"/>
    <w:rsid w:val="001B3C3B"/>
    <w:rsid w:val="001B3E1C"/>
    <w:rsid w:val="001B3FE9"/>
    <w:rsid w:val="001B46AE"/>
    <w:rsid w:val="001B5009"/>
    <w:rsid w:val="001B54F0"/>
    <w:rsid w:val="001B5950"/>
    <w:rsid w:val="001B5DCE"/>
    <w:rsid w:val="001B6AAD"/>
    <w:rsid w:val="001B71B5"/>
    <w:rsid w:val="001B77E9"/>
    <w:rsid w:val="001B78E2"/>
    <w:rsid w:val="001B7BF2"/>
    <w:rsid w:val="001B7EED"/>
    <w:rsid w:val="001C00A8"/>
    <w:rsid w:val="001C0289"/>
    <w:rsid w:val="001C11E4"/>
    <w:rsid w:val="001C181C"/>
    <w:rsid w:val="001C27AF"/>
    <w:rsid w:val="001C3033"/>
    <w:rsid w:val="001C30BA"/>
    <w:rsid w:val="001C3403"/>
    <w:rsid w:val="001C3AAA"/>
    <w:rsid w:val="001C3D80"/>
    <w:rsid w:val="001C43B3"/>
    <w:rsid w:val="001C4834"/>
    <w:rsid w:val="001C4C95"/>
    <w:rsid w:val="001C5BA6"/>
    <w:rsid w:val="001D0229"/>
    <w:rsid w:val="001D028A"/>
    <w:rsid w:val="001D0868"/>
    <w:rsid w:val="001D1636"/>
    <w:rsid w:val="001D181F"/>
    <w:rsid w:val="001D2755"/>
    <w:rsid w:val="001D2F4D"/>
    <w:rsid w:val="001D30A0"/>
    <w:rsid w:val="001D3816"/>
    <w:rsid w:val="001D39E8"/>
    <w:rsid w:val="001D4075"/>
    <w:rsid w:val="001D4E5E"/>
    <w:rsid w:val="001D600F"/>
    <w:rsid w:val="001D6843"/>
    <w:rsid w:val="001D79BC"/>
    <w:rsid w:val="001E092F"/>
    <w:rsid w:val="001E0947"/>
    <w:rsid w:val="001E152C"/>
    <w:rsid w:val="001E17F9"/>
    <w:rsid w:val="001E24EA"/>
    <w:rsid w:val="001E25FF"/>
    <w:rsid w:val="001E35D6"/>
    <w:rsid w:val="001E411C"/>
    <w:rsid w:val="001E5979"/>
    <w:rsid w:val="001E59E8"/>
    <w:rsid w:val="001E5C38"/>
    <w:rsid w:val="001E70C9"/>
    <w:rsid w:val="001E776D"/>
    <w:rsid w:val="001E777A"/>
    <w:rsid w:val="001E77D9"/>
    <w:rsid w:val="001E79E9"/>
    <w:rsid w:val="001F0D67"/>
    <w:rsid w:val="001F1A00"/>
    <w:rsid w:val="001F1B8A"/>
    <w:rsid w:val="001F2058"/>
    <w:rsid w:val="001F23BC"/>
    <w:rsid w:val="001F29C8"/>
    <w:rsid w:val="001F2E04"/>
    <w:rsid w:val="001F3474"/>
    <w:rsid w:val="001F391D"/>
    <w:rsid w:val="001F49C4"/>
    <w:rsid w:val="001F5561"/>
    <w:rsid w:val="001F5939"/>
    <w:rsid w:val="001F5B96"/>
    <w:rsid w:val="001F67F2"/>
    <w:rsid w:val="001F6895"/>
    <w:rsid w:val="001F6A3C"/>
    <w:rsid w:val="001F6DCB"/>
    <w:rsid w:val="001F7055"/>
    <w:rsid w:val="001F716B"/>
    <w:rsid w:val="001F7B95"/>
    <w:rsid w:val="001F7E44"/>
    <w:rsid w:val="001F7FE1"/>
    <w:rsid w:val="002010D3"/>
    <w:rsid w:val="002017E3"/>
    <w:rsid w:val="00201885"/>
    <w:rsid w:val="002024B2"/>
    <w:rsid w:val="002028FF"/>
    <w:rsid w:val="0020322B"/>
    <w:rsid w:val="002032C8"/>
    <w:rsid w:val="00203A75"/>
    <w:rsid w:val="0020409B"/>
    <w:rsid w:val="00205C7C"/>
    <w:rsid w:val="002060A5"/>
    <w:rsid w:val="002068F5"/>
    <w:rsid w:val="002070E4"/>
    <w:rsid w:val="002070E6"/>
    <w:rsid w:val="0020721C"/>
    <w:rsid w:val="002072C3"/>
    <w:rsid w:val="00207813"/>
    <w:rsid w:val="0020790A"/>
    <w:rsid w:val="00207C47"/>
    <w:rsid w:val="00207E86"/>
    <w:rsid w:val="00210594"/>
    <w:rsid w:val="00210F65"/>
    <w:rsid w:val="002114F0"/>
    <w:rsid w:val="00212939"/>
    <w:rsid w:val="00212B8B"/>
    <w:rsid w:val="002133B8"/>
    <w:rsid w:val="0021371C"/>
    <w:rsid w:val="002139E7"/>
    <w:rsid w:val="002144A1"/>
    <w:rsid w:val="002147A6"/>
    <w:rsid w:val="00214D4B"/>
    <w:rsid w:val="00214DAE"/>
    <w:rsid w:val="00215739"/>
    <w:rsid w:val="002157B5"/>
    <w:rsid w:val="00216869"/>
    <w:rsid w:val="0021720D"/>
    <w:rsid w:val="0022016A"/>
    <w:rsid w:val="00220F03"/>
    <w:rsid w:val="00221057"/>
    <w:rsid w:val="002212CB"/>
    <w:rsid w:val="00221B4C"/>
    <w:rsid w:val="002226A9"/>
    <w:rsid w:val="0022277E"/>
    <w:rsid w:val="00223034"/>
    <w:rsid w:val="00223614"/>
    <w:rsid w:val="002238E6"/>
    <w:rsid w:val="00225CB8"/>
    <w:rsid w:val="00226E88"/>
    <w:rsid w:val="00226F8B"/>
    <w:rsid w:val="0022715D"/>
    <w:rsid w:val="00230AF7"/>
    <w:rsid w:val="00230B76"/>
    <w:rsid w:val="00231068"/>
    <w:rsid w:val="00231F8F"/>
    <w:rsid w:val="00234DBA"/>
    <w:rsid w:val="00234FCD"/>
    <w:rsid w:val="00234FD9"/>
    <w:rsid w:val="00236374"/>
    <w:rsid w:val="00236F49"/>
    <w:rsid w:val="00237E07"/>
    <w:rsid w:val="00237F8D"/>
    <w:rsid w:val="002400A1"/>
    <w:rsid w:val="00240222"/>
    <w:rsid w:val="002411C9"/>
    <w:rsid w:val="0024218B"/>
    <w:rsid w:val="002425FE"/>
    <w:rsid w:val="00242CD9"/>
    <w:rsid w:val="0024349D"/>
    <w:rsid w:val="00243967"/>
    <w:rsid w:val="002440F8"/>
    <w:rsid w:val="0024424C"/>
    <w:rsid w:val="002444C2"/>
    <w:rsid w:val="00244BE9"/>
    <w:rsid w:val="0024530D"/>
    <w:rsid w:val="00245A74"/>
    <w:rsid w:val="00246A8F"/>
    <w:rsid w:val="0024723D"/>
    <w:rsid w:val="0024727D"/>
    <w:rsid w:val="00247783"/>
    <w:rsid w:val="00250912"/>
    <w:rsid w:val="00250DBA"/>
    <w:rsid w:val="00251087"/>
    <w:rsid w:val="00251294"/>
    <w:rsid w:val="00251AD5"/>
    <w:rsid w:val="002523E5"/>
    <w:rsid w:val="00253058"/>
    <w:rsid w:val="00253764"/>
    <w:rsid w:val="002550D8"/>
    <w:rsid w:val="00256078"/>
    <w:rsid w:val="002564FB"/>
    <w:rsid w:val="00256907"/>
    <w:rsid w:val="00257615"/>
    <w:rsid w:val="00257EB8"/>
    <w:rsid w:val="0026049B"/>
    <w:rsid w:val="00260EFA"/>
    <w:rsid w:val="00261377"/>
    <w:rsid w:val="00261EFF"/>
    <w:rsid w:val="00262160"/>
    <w:rsid w:val="00262814"/>
    <w:rsid w:val="002629E0"/>
    <w:rsid w:val="00262E2E"/>
    <w:rsid w:val="00263457"/>
    <w:rsid w:val="00263727"/>
    <w:rsid w:val="00263EF4"/>
    <w:rsid w:val="00264A64"/>
    <w:rsid w:val="00265FE9"/>
    <w:rsid w:val="0026773E"/>
    <w:rsid w:val="00267F1F"/>
    <w:rsid w:val="00271BEB"/>
    <w:rsid w:val="0027218C"/>
    <w:rsid w:val="002723FD"/>
    <w:rsid w:val="00272E01"/>
    <w:rsid w:val="00273015"/>
    <w:rsid w:val="0027463A"/>
    <w:rsid w:val="0027487A"/>
    <w:rsid w:val="00274D0D"/>
    <w:rsid w:val="00274D8B"/>
    <w:rsid w:val="00275318"/>
    <w:rsid w:val="002766B0"/>
    <w:rsid w:val="00277572"/>
    <w:rsid w:val="00277812"/>
    <w:rsid w:val="002802A1"/>
    <w:rsid w:val="002803B8"/>
    <w:rsid w:val="002808CA"/>
    <w:rsid w:val="00280926"/>
    <w:rsid w:val="00281269"/>
    <w:rsid w:val="00281922"/>
    <w:rsid w:val="00281B0A"/>
    <w:rsid w:val="00282CDE"/>
    <w:rsid w:val="00283073"/>
    <w:rsid w:val="0028348A"/>
    <w:rsid w:val="00283C7F"/>
    <w:rsid w:val="00285478"/>
    <w:rsid w:val="0028663C"/>
    <w:rsid w:val="00287C89"/>
    <w:rsid w:val="002905B5"/>
    <w:rsid w:val="002911D8"/>
    <w:rsid w:val="0029294F"/>
    <w:rsid w:val="00293203"/>
    <w:rsid w:val="0029322C"/>
    <w:rsid w:val="0029329A"/>
    <w:rsid w:val="00293A15"/>
    <w:rsid w:val="00295693"/>
    <w:rsid w:val="002960C3"/>
    <w:rsid w:val="002969C0"/>
    <w:rsid w:val="002972D4"/>
    <w:rsid w:val="00297AEF"/>
    <w:rsid w:val="00297F02"/>
    <w:rsid w:val="002A06E1"/>
    <w:rsid w:val="002A21E8"/>
    <w:rsid w:val="002A3220"/>
    <w:rsid w:val="002A3596"/>
    <w:rsid w:val="002A37BE"/>
    <w:rsid w:val="002A3AA9"/>
    <w:rsid w:val="002A58F4"/>
    <w:rsid w:val="002A5AA2"/>
    <w:rsid w:val="002A5C85"/>
    <w:rsid w:val="002A5C87"/>
    <w:rsid w:val="002A5D50"/>
    <w:rsid w:val="002A5DE5"/>
    <w:rsid w:val="002A6503"/>
    <w:rsid w:val="002A659A"/>
    <w:rsid w:val="002A7542"/>
    <w:rsid w:val="002A7BE8"/>
    <w:rsid w:val="002B04C5"/>
    <w:rsid w:val="002B0687"/>
    <w:rsid w:val="002B09C6"/>
    <w:rsid w:val="002B0F52"/>
    <w:rsid w:val="002B1071"/>
    <w:rsid w:val="002B129B"/>
    <w:rsid w:val="002B1B49"/>
    <w:rsid w:val="002B1C33"/>
    <w:rsid w:val="002B29E2"/>
    <w:rsid w:val="002B3708"/>
    <w:rsid w:val="002B4D46"/>
    <w:rsid w:val="002B4FB2"/>
    <w:rsid w:val="002B5625"/>
    <w:rsid w:val="002B5F9C"/>
    <w:rsid w:val="002B6147"/>
    <w:rsid w:val="002B6282"/>
    <w:rsid w:val="002B6BB5"/>
    <w:rsid w:val="002C0170"/>
    <w:rsid w:val="002C0B1F"/>
    <w:rsid w:val="002C0E18"/>
    <w:rsid w:val="002C2427"/>
    <w:rsid w:val="002C2773"/>
    <w:rsid w:val="002C2A4F"/>
    <w:rsid w:val="002C3502"/>
    <w:rsid w:val="002C35B9"/>
    <w:rsid w:val="002C397B"/>
    <w:rsid w:val="002C3B01"/>
    <w:rsid w:val="002C3BA0"/>
    <w:rsid w:val="002C436C"/>
    <w:rsid w:val="002C47C4"/>
    <w:rsid w:val="002C5CD2"/>
    <w:rsid w:val="002C6E41"/>
    <w:rsid w:val="002C748E"/>
    <w:rsid w:val="002C7BFF"/>
    <w:rsid w:val="002C7D3C"/>
    <w:rsid w:val="002D04DB"/>
    <w:rsid w:val="002D0DDF"/>
    <w:rsid w:val="002D17A5"/>
    <w:rsid w:val="002D1AC7"/>
    <w:rsid w:val="002D347E"/>
    <w:rsid w:val="002D37D6"/>
    <w:rsid w:val="002D3C72"/>
    <w:rsid w:val="002D3D17"/>
    <w:rsid w:val="002D42A0"/>
    <w:rsid w:val="002D440D"/>
    <w:rsid w:val="002D4C8C"/>
    <w:rsid w:val="002D4EF6"/>
    <w:rsid w:val="002D5367"/>
    <w:rsid w:val="002D545A"/>
    <w:rsid w:val="002D550B"/>
    <w:rsid w:val="002D59E5"/>
    <w:rsid w:val="002D5C23"/>
    <w:rsid w:val="002D5CBC"/>
    <w:rsid w:val="002D5DC3"/>
    <w:rsid w:val="002D6B4D"/>
    <w:rsid w:val="002E0FD6"/>
    <w:rsid w:val="002E1388"/>
    <w:rsid w:val="002E16E6"/>
    <w:rsid w:val="002E1AD3"/>
    <w:rsid w:val="002E1B83"/>
    <w:rsid w:val="002E1C1F"/>
    <w:rsid w:val="002E2688"/>
    <w:rsid w:val="002E307D"/>
    <w:rsid w:val="002E34A3"/>
    <w:rsid w:val="002E36E1"/>
    <w:rsid w:val="002E3BF5"/>
    <w:rsid w:val="002E3E6F"/>
    <w:rsid w:val="002E3F75"/>
    <w:rsid w:val="002E45B7"/>
    <w:rsid w:val="002E4721"/>
    <w:rsid w:val="002E486A"/>
    <w:rsid w:val="002E4DC4"/>
    <w:rsid w:val="002E5281"/>
    <w:rsid w:val="002E5E0E"/>
    <w:rsid w:val="002E5E2F"/>
    <w:rsid w:val="002E5F1C"/>
    <w:rsid w:val="002E5F3E"/>
    <w:rsid w:val="002E736D"/>
    <w:rsid w:val="002E78AC"/>
    <w:rsid w:val="002F0875"/>
    <w:rsid w:val="002F0884"/>
    <w:rsid w:val="002F1A5B"/>
    <w:rsid w:val="002F1B87"/>
    <w:rsid w:val="002F3470"/>
    <w:rsid w:val="002F4CA2"/>
    <w:rsid w:val="002F51B3"/>
    <w:rsid w:val="002F527B"/>
    <w:rsid w:val="002F5306"/>
    <w:rsid w:val="002F5570"/>
    <w:rsid w:val="002F5792"/>
    <w:rsid w:val="002F5C9A"/>
    <w:rsid w:val="002F6254"/>
    <w:rsid w:val="002F6432"/>
    <w:rsid w:val="002F64A0"/>
    <w:rsid w:val="002F69EB"/>
    <w:rsid w:val="002F6D11"/>
    <w:rsid w:val="002F6FC4"/>
    <w:rsid w:val="002F7255"/>
    <w:rsid w:val="002F7D6F"/>
    <w:rsid w:val="00300450"/>
    <w:rsid w:val="003005AA"/>
    <w:rsid w:val="0030078C"/>
    <w:rsid w:val="00300E4E"/>
    <w:rsid w:val="00300EA5"/>
    <w:rsid w:val="003022B8"/>
    <w:rsid w:val="003023C4"/>
    <w:rsid w:val="003023EB"/>
    <w:rsid w:val="003026B9"/>
    <w:rsid w:val="00302C73"/>
    <w:rsid w:val="003035B2"/>
    <w:rsid w:val="00303733"/>
    <w:rsid w:val="00303A2F"/>
    <w:rsid w:val="00303C94"/>
    <w:rsid w:val="00304BF7"/>
    <w:rsid w:val="00304F0A"/>
    <w:rsid w:val="00304FE8"/>
    <w:rsid w:val="0030527B"/>
    <w:rsid w:val="00305FA4"/>
    <w:rsid w:val="0030617A"/>
    <w:rsid w:val="00306989"/>
    <w:rsid w:val="00310015"/>
    <w:rsid w:val="00310992"/>
    <w:rsid w:val="00311387"/>
    <w:rsid w:val="00311EEA"/>
    <w:rsid w:val="0031351E"/>
    <w:rsid w:val="00313537"/>
    <w:rsid w:val="003135CD"/>
    <w:rsid w:val="003138AC"/>
    <w:rsid w:val="00313C59"/>
    <w:rsid w:val="00314373"/>
    <w:rsid w:val="00314425"/>
    <w:rsid w:val="003146EE"/>
    <w:rsid w:val="003153EA"/>
    <w:rsid w:val="003160B4"/>
    <w:rsid w:val="00316745"/>
    <w:rsid w:val="00316CCF"/>
    <w:rsid w:val="00316D1E"/>
    <w:rsid w:val="00320015"/>
    <w:rsid w:val="00320263"/>
    <w:rsid w:val="003209C7"/>
    <w:rsid w:val="00320AB2"/>
    <w:rsid w:val="003219EA"/>
    <w:rsid w:val="003225D5"/>
    <w:rsid w:val="0032271E"/>
    <w:rsid w:val="003229A0"/>
    <w:rsid w:val="003232F1"/>
    <w:rsid w:val="0032378E"/>
    <w:rsid w:val="00323C12"/>
    <w:rsid w:val="00323C80"/>
    <w:rsid w:val="00323D04"/>
    <w:rsid w:val="003243CB"/>
    <w:rsid w:val="003245FB"/>
    <w:rsid w:val="003250E2"/>
    <w:rsid w:val="0032569E"/>
    <w:rsid w:val="00325BC7"/>
    <w:rsid w:val="00326522"/>
    <w:rsid w:val="003270BF"/>
    <w:rsid w:val="003277B3"/>
    <w:rsid w:val="00327A0C"/>
    <w:rsid w:val="003301A3"/>
    <w:rsid w:val="00330353"/>
    <w:rsid w:val="0033063D"/>
    <w:rsid w:val="00331DCA"/>
    <w:rsid w:val="00332129"/>
    <w:rsid w:val="00332736"/>
    <w:rsid w:val="0033322F"/>
    <w:rsid w:val="00334912"/>
    <w:rsid w:val="00335779"/>
    <w:rsid w:val="00336FF2"/>
    <w:rsid w:val="003376B5"/>
    <w:rsid w:val="003376DF"/>
    <w:rsid w:val="003402DF"/>
    <w:rsid w:val="00340D16"/>
    <w:rsid w:val="00340D94"/>
    <w:rsid w:val="00340EB5"/>
    <w:rsid w:val="00341361"/>
    <w:rsid w:val="00342A29"/>
    <w:rsid w:val="00343D26"/>
    <w:rsid w:val="00343D77"/>
    <w:rsid w:val="00345308"/>
    <w:rsid w:val="003455FE"/>
    <w:rsid w:val="00345652"/>
    <w:rsid w:val="00345B4F"/>
    <w:rsid w:val="00346216"/>
    <w:rsid w:val="0034672E"/>
    <w:rsid w:val="00346BB9"/>
    <w:rsid w:val="00347577"/>
    <w:rsid w:val="0034782B"/>
    <w:rsid w:val="00347C46"/>
    <w:rsid w:val="00350DDB"/>
    <w:rsid w:val="00351A7F"/>
    <w:rsid w:val="003525C0"/>
    <w:rsid w:val="0035262D"/>
    <w:rsid w:val="00352CFB"/>
    <w:rsid w:val="00352F20"/>
    <w:rsid w:val="003530B9"/>
    <w:rsid w:val="00353174"/>
    <w:rsid w:val="00353798"/>
    <w:rsid w:val="003541D1"/>
    <w:rsid w:val="003548D7"/>
    <w:rsid w:val="003548F0"/>
    <w:rsid w:val="00354D94"/>
    <w:rsid w:val="003550C7"/>
    <w:rsid w:val="003566E9"/>
    <w:rsid w:val="00357214"/>
    <w:rsid w:val="0035791D"/>
    <w:rsid w:val="00360CBD"/>
    <w:rsid w:val="00361072"/>
    <w:rsid w:val="00361851"/>
    <w:rsid w:val="00362461"/>
    <w:rsid w:val="003628AA"/>
    <w:rsid w:val="00362D37"/>
    <w:rsid w:val="00363DA3"/>
    <w:rsid w:val="00364B18"/>
    <w:rsid w:val="00364D63"/>
    <w:rsid w:val="00365105"/>
    <w:rsid w:val="0036579C"/>
    <w:rsid w:val="003657E7"/>
    <w:rsid w:val="00365E78"/>
    <w:rsid w:val="00366857"/>
    <w:rsid w:val="00370449"/>
    <w:rsid w:val="003708DD"/>
    <w:rsid w:val="00370EE0"/>
    <w:rsid w:val="003713B0"/>
    <w:rsid w:val="00371B3D"/>
    <w:rsid w:val="00372F44"/>
    <w:rsid w:val="00374783"/>
    <w:rsid w:val="003750B5"/>
    <w:rsid w:val="00375135"/>
    <w:rsid w:val="003763FF"/>
    <w:rsid w:val="00377224"/>
    <w:rsid w:val="00377360"/>
    <w:rsid w:val="0037737B"/>
    <w:rsid w:val="003777B8"/>
    <w:rsid w:val="00377A8B"/>
    <w:rsid w:val="00377BAD"/>
    <w:rsid w:val="00381DCB"/>
    <w:rsid w:val="00381F87"/>
    <w:rsid w:val="003821D7"/>
    <w:rsid w:val="00383FF3"/>
    <w:rsid w:val="00384485"/>
    <w:rsid w:val="00384833"/>
    <w:rsid w:val="00384B1C"/>
    <w:rsid w:val="00384EA5"/>
    <w:rsid w:val="0038505C"/>
    <w:rsid w:val="00385BBE"/>
    <w:rsid w:val="00385D5C"/>
    <w:rsid w:val="00386843"/>
    <w:rsid w:val="00386C4E"/>
    <w:rsid w:val="00386E5D"/>
    <w:rsid w:val="00387E97"/>
    <w:rsid w:val="003902C1"/>
    <w:rsid w:val="00390919"/>
    <w:rsid w:val="00390A7C"/>
    <w:rsid w:val="00390A91"/>
    <w:rsid w:val="00390AFB"/>
    <w:rsid w:val="0039142B"/>
    <w:rsid w:val="00391A35"/>
    <w:rsid w:val="00391E07"/>
    <w:rsid w:val="00392721"/>
    <w:rsid w:val="00393110"/>
    <w:rsid w:val="00393DD4"/>
    <w:rsid w:val="003946AC"/>
    <w:rsid w:val="00395338"/>
    <w:rsid w:val="00395600"/>
    <w:rsid w:val="00395B97"/>
    <w:rsid w:val="00397340"/>
    <w:rsid w:val="00397572"/>
    <w:rsid w:val="003A0717"/>
    <w:rsid w:val="003A074E"/>
    <w:rsid w:val="003A1CFF"/>
    <w:rsid w:val="003A2BB7"/>
    <w:rsid w:val="003A312D"/>
    <w:rsid w:val="003A4AB4"/>
    <w:rsid w:val="003A4C61"/>
    <w:rsid w:val="003A4D4A"/>
    <w:rsid w:val="003A546F"/>
    <w:rsid w:val="003A565B"/>
    <w:rsid w:val="003A5C29"/>
    <w:rsid w:val="003A5DEB"/>
    <w:rsid w:val="003A5F75"/>
    <w:rsid w:val="003A61D4"/>
    <w:rsid w:val="003A6240"/>
    <w:rsid w:val="003A648B"/>
    <w:rsid w:val="003A6A14"/>
    <w:rsid w:val="003A72E4"/>
    <w:rsid w:val="003A7535"/>
    <w:rsid w:val="003A7616"/>
    <w:rsid w:val="003A799B"/>
    <w:rsid w:val="003A7D18"/>
    <w:rsid w:val="003B00C2"/>
    <w:rsid w:val="003B07D1"/>
    <w:rsid w:val="003B0A3B"/>
    <w:rsid w:val="003B1AF6"/>
    <w:rsid w:val="003B1B75"/>
    <w:rsid w:val="003B2FBC"/>
    <w:rsid w:val="003B32CC"/>
    <w:rsid w:val="003B35CB"/>
    <w:rsid w:val="003B497D"/>
    <w:rsid w:val="003B4DA2"/>
    <w:rsid w:val="003B4DDF"/>
    <w:rsid w:val="003B4E68"/>
    <w:rsid w:val="003B545C"/>
    <w:rsid w:val="003B57B7"/>
    <w:rsid w:val="003B5E19"/>
    <w:rsid w:val="003B64D8"/>
    <w:rsid w:val="003B78AC"/>
    <w:rsid w:val="003C08BD"/>
    <w:rsid w:val="003C1A62"/>
    <w:rsid w:val="003C27F3"/>
    <w:rsid w:val="003C2F43"/>
    <w:rsid w:val="003C32FC"/>
    <w:rsid w:val="003C3FD4"/>
    <w:rsid w:val="003C49A9"/>
    <w:rsid w:val="003C4EBE"/>
    <w:rsid w:val="003C558C"/>
    <w:rsid w:val="003C66C3"/>
    <w:rsid w:val="003C6F87"/>
    <w:rsid w:val="003C75BD"/>
    <w:rsid w:val="003C7E0E"/>
    <w:rsid w:val="003D0802"/>
    <w:rsid w:val="003D098A"/>
    <w:rsid w:val="003D0B7A"/>
    <w:rsid w:val="003D17E4"/>
    <w:rsid w:val="003D1A6C"/>
    <w:rsid w:val="003D1AEC"/>
    <w:rsid w:val="003D23D5"/>
    <w:rsid w:val="003D2533"/>
    <w:rsid w:val="003D3CD1"/>
    <w:rsid w:val="003D489A"/>
    <w:rsid w:val="003D4EA6"/>
    <w:rsid w:val="003D5944"/>
    <w:rsid w:val="003D5D05"/>
    <w:rsid w:val="003D5ECA"/>
    <w:rsid w:val="003D5FB6"/>
    <w:rsid w:val="003D6CBF"/>
    <w:rsid w:val="003D72CC"/>
    <w:rsid w:val="003D7D05"/>
    <w:rsid w:val="003E03C3"/>
    <w:rsid w:val="003E067B"/>
    <w:rsid w:val="003E11A4"/>
    <w:rsid w:val="003E1AD1"/>
    <w:rsid w:val="003E230A"/>
    <w:rsid w:val="003E236D"/>
    <w:rsid w:val="003E2CFE"/>
    <w:rsid w:val="003E2E8C"/>
    <w:rsid w:val="003E3009"/>
    <w:rsid w:val="003E308A"/>
    <w:rsid w:val="003E367A"/>
    <w:rsid w:val="003E37A4"/>
    <w:rsid w:val="003E4136"/>
    <w:rsid w:val="003E4E45"/>
    <w:rsid w:val="003E61CB"/>
    <w:rsid w:val="003E7AFC"/>
    <w:rsid w:val="003E7C04"/>
    <w:rsid w:val="003E7C95"/>
    <w:rsid w:val="003E7FDA"/>
    <w:rsid w:val="003F01F7"/>
    <w:rsid w:val="003F0570"/>
    <w:rsid w:val="003F0D15"/>
    <w:rsid w:val="003F1283"/>
    <w:rsid w:val="003F13F6"/>
    <w:rsid w:val="003F174E"/>
    <w:rsid w:val="003F1F13"/>
    <w:rsid w:val="003F29E1"/>
    <w:rsid w:val="003F2DAF"/>
    <w:rsid w:val="003F2ED2"/>
    <w:rsid w:val="003F3772"/>
    <w:rsid w:val="003F3ED2"/>
    <w:rsid w:val="003F4627"/>
    <w:rsid w:val="003F4ABA"/>
    <w:rsid w:val="003F53B6"/>
    <w:rsid w:val="003F6169"/>
    <w:rsid w:val="003F6645"/>
    <w:rsid w:val="003F72D7"/>
    <w:rsid w:val="003F77A6"/>
    <w:rsid w:val="003F77DA"/>
    <w:rsid w:val="003F7B2D"/>
    <w:rsid w:val="003F7C7A"/>
    <w:rsid w:val="00400BA3"/>
    <w:rsid w:val="00400D40"/>
    <w:rsid w:val="0040144A"/>
    <w:rsid w:val="004014C9"/>
    <w:rsid w:val="00401B46"/>
    <w:rsid w:val="00401DDB"/>
    <w:rsid w:val="00402B5F"/>
    <w:rsid w:val="00402C3D"/>
    <w:rsid w:val="00403087"/>
    <w:rsid w:val="00403EDA"/>
    <w:rsid w:val="00403F44"/>
    <w:rsid w:val="0040409C"/>
    <w:rsid w:val="00404A45"/>
    <w:rsid w:val="00405576"/>
    <w:rsid w:val="004058B8"/>
    <w:rsid w:val="00405B3F"/>
    <w:rsid w:val="00406113"/>
    <w:rsid w:val="004063C4"/>
    <w:rsid w:val="0040647F"/>
    <w:rsid w:val="004072FC"/>
    <w:rsid w:val="004074CB"/>
    <w:rsid w:val="00407D7D"/>
    <w:rsid w:val="00407EDD"/>
    <w:rsid w:val="00410247"/>
    <w:rsid w:val="00410B00"/>
    <w:rsid w:val="00410B24"/>
    <w:rsid w:val="00410E12"/>
    <w:rsid w:val="00410E3B"/>
    <w:rsid w:val="004115C8"/>
    <w:rsid w:val="00413BE9"/>
    <w:rsid w:val="00413E03"/>
    <w:rsid w:val="00414E73"/>
    <w:rsid w:val="00415367"/>
    <w:rsid w:val="004161C2"/>
    <w:rsid w:val="004170A6"/>
    <w:rsid w:val="004176BC"/>
    <w:rsid w:val="004177A1"/>
    <w:rsid w:val="00417CB0"/>
    <w:rsid w:val="00417FB8"/>
    <w:rsid w:val="00420584"/>
    <w:rsid w:val="00421048"/>
    <w:rsid w:val="0042164F"/>
    <w:rsid w:val="00422A93"/>
    <w:rsid w:val="00422BB1"/>
    <w:rsid w:val="00423EA1"/>
    <w:rsid w:val="00424D21"/>
    <w:rsid w:val="00424F3C"/>
    <w:rsid w:val="00425C24"/>
    <w:rsid w:val="004273BF"/>
    <w:rsid w:val="004311FF"/>
    <w:rsid w:val="004314B6"/>
    <w:rsid w:val="00432447"/>
    <w:rsid w:val="00432D97"/>
    <w:rsid w:val="00432F21"/>
    <w:rsid w:val="00433964"/>
    <w:rsid w:val="004349D9"/>
    <w:rsid w:val="004353AE"/>
    <w:rsid w:val="0043544F"/>
    <w:rsid w:val="004362C0"/>
    <w:rsid w:val="00436425"/>
    <w:rsid w:val="004364E6"/>
    <w:rsid w:val="00436B27"/>
    <w:rsid w:val="00437069"/>
    <w:rsid w:val="0043712E"/>
    <w:rsid w:val="004400BC"/>
    <w:rsid w:val="004412E8"/>
    <w:rsid w:val="00441947"/>
    <w:rsid w:val="00443331"/>
    <w:rsid w:val="00443561"/>
    <w:rsid w:val="00443591"/>
    <w:rsid w:val="00444C04"/>
    <w:rsid w:val="0044501E"/>
    <w:rsid w:val="00445B35"/>
    <w:rsid w:val="00445DFA"/>
    <w:rsid w:val="004462BD"/>
    <w:rsid w:val="004462FA"/>
    <w:rsid w:val="0044692E"/>
    <w:rsid w:val="0044732A"/>
    <w:rsid w:val="00450BC1"/>
    <w:rsid w:val="00451103"/>
    <w:rsid w:val="00451F2C"/>
    <w:rsid w:val="0045203F"/>
    <w:rsid w:val="004520DB"/>
    <w:rsid w:val="00452550"/>
    <w:rsid w:val="004525A5"/>
    <w:rsid w:val="00453228"/>
    <w:rsid w:val="00453DB2"/>
    <w:rsid w:val="00453E81"/>
    <w:rsid w:val="00453F45"/>
    <w:rsid w:val="00454471"/>
    <w:rsid w:val="00454D4D"/>
    <w:rsid w:val="00454F1D"/>
    <w:rsid w:val="00455817"/>
    <w:rsid w:val="00455982"/>
    <w:rsid w:val="00455AE4"/>
    <w:rsid w:val="00457034"/>
    <w:rsid w:val="00457BAA"/>
    <w:rsid w:val="00460981"/>
    <w:rsid w:val="004609DE"/>
    <w:rsid w:val="00461045"/>
    <w:rsid w:val="00461A3E"/>
    <w:rsid w:val="00461DC0"/>
    <w:rsid w:val="00462787"/>
    <w:rsid w:val="004628F0"/>
    <w:rsid w:val="00462D54"/>
    <w:rsid w:val="00462D63"/>
    <w:rsid w:val="00463886"/>
    <w:rsid w:val="00464E03"/>
    <w:rsid w:val="00464F36"/>
    <w:rsid w:val="0046507A"/>
    <w:rsid w:val="0046568B"/>
    <w:rsid w:val="0046569B"/>
    <w:rsid w:val="00466121"/>
    <w:rsid w:val="00466912"/>
    <w:rsid w:val="004670C3"/>
    <w:rsid w:val="00467686"/>
    <w:rsid w:val="00467792"/>
    <w:rsid w:val="004679AB"/>
    <w:rsid w:val="00471665"/>
    <w:rsid w:val="0047195F"/>
    <w:rsid w:val="00471A9E"/>
    <w:rsid w:val="00471B86"/>
    <w:rsid w:val="00472227"/>
    <w:rsid w:val="00472E9C"/>
    <w:rsid w:val="004732E6"/>
    <w:rsid w:val="00474927"/>
    <w:rsid w:val="00474FBE"/>
    <w:rsid w:val="0047540F"/>
    <w:rsid w:val="00476F8F"/>
    <w:rsid w:val="004772FF"/>
    <w:rsid w:val="00480310"/>
    <w:rsid w:val="0048048A"/>
    <w:rsid w:val="004807FF"/>
    <w:rsid w:val="00481705"/>
    <w:rsid w:val="00481966"/>
    <w:rsid w:val="00482044"/>
    <w:rsid w:val="00482254"/>
    <w:rsid w:val="004823C6"/>
    <w:rsid w:val="00482F51"/>
    <w:rsid w:val="00483166"/>
    <w:rsid w:val="0048365C"/>
    <w:rsid w:val="004837B4"/>
    <w:rsid w:val="00483E46"/>
    <w:rsid w:val="00484915"/>
    <w:rsid w:val="00484EEF"/>
    <w:rsid w:val="004853D8"/>
    <w:rsid w:val="0048589F"/>
    <w:rsid w:val="00486552"/>
    <w:rsid w:val="00486AEA"/>
    <w:rsid w:val="00486B59"/>
    <w:rsid w:val="00486EEE"/>
    <w:rsid w:val="0048735B"/>
    <w:rsid w:val="004875E6"/>
    <w:rsid w:val="00487AD4"/>
    <w:rsid w:val="00490275"/>
    <w:rsid w:val="00490628"/>
    <w:rsid w:val="0049071D"/>
    <w:rsid w:val="0049103F"/>
    <w:rsid w:val="00491532"/>
    <w:rsid w:val="00491F80"/>
    <w:rsid w:val="0049239D"/>
    <w:rsid w:val="004925C9"/>
    <w:rsid w:val="00493577"/>
    <w:rsid w:val="004942A0"/>
    <w:rsid w:val="00494307"/>
    <w:rsid w:val="00494B3B"/>
    <w:rsid w:val="00495665"/>
    <w:rsid w:val="004963FE"/>
    <w:rsid w:val="00497AE7"/>
    <w:rsid w:val="004A020A"/>
    <w:rsid w:val="004A036F"/>
    <w:rsid w:val="004A04FE"/>
    <w:rsid w:val="004A0859"/>
    <w:rsid w:val="004A0C71"/>
    <w:rsid w:val="004A0CF6"/>
    <w:rsid w:val="004A18E6"/>
    <w:rsid w:val="004A18FA"/>
    <w:rsid w:val="004A1B4E"/>
    <w:rsid w:val="004A20DA"/>
    <w:rsid w:val="004A2509"/>
    <w:rsid w:val="004A294E"/>
    <w:rsid w:val="004A3371"/>
    <w:rsid w:val="004A3391"/>
    <w:rsid w:val="004A3C39"/>
    <w:rsid w:val="004A3FAE"/>
    <w:rsid w:val="004A4291"/>
    <w:rsid w:val="004A4D02"/>
    <w:rsid w:val="004A4F2D"/>
    <w:rsid w:val="004A5AFA"/>
    <w:rsid w:val="004B17CE"/>
    <w:rsid w:val="004B1903"/>
    <w:rsid w:val="004B1A9C"/>
    <w:rsid w:val="004B1B15"/>
    <w:rsid w:val="004B1CB3"/>
    <w:rsid w:val="004B2241"/>
    <w:rsid w:val="004B27D6"/>
    <w:rsid w:val="004B2EBB"/>
    <w:rsid w:val="004B36DF"/>
    <w:rsid w:val="004B3C81"/>
    <w:rsid w:val="004B47F4"/>
    <w:rsid w:val="004B4E4F"/>
    <w:rsid w:val="004B50CC"/>
    <w:rsid w:val="004B5825"/>
    <w:rsid w:val="004B61C8"/>
    <w:rsid w:val="004B622F"/>
    <w:rsid w:val="004B6415"/>
    <w:rsid w:val="004B64FA"/>
    <w:rsid w:val="004B758A"/>
    <w:rsid w:val="004B7F9F"/>
    <w:rsid w:val="004C03EA"/>
    <w:rsid w:val="004C06CE"/>
    <w:rsid w:val="004C099B"/>
    <w:rsid w:val="004C0BAC"/>
    <w:rsid w:val="004C0DB4"/>
    <w:rsid w:val="004C10A2"/>
    <w:rsid w:val="004C13F1"/>
    <w:rsid w:val="004C16F5"/>
    <w:rsid w:val="004C2E64"/>
    <w:rsid w:val="004C33E8"/>
    <w:rsid w:val="004C44DD"/>
    <w:rsid w:val="004C4A96"/>
    <w:rsid w:val="004C4E5F"/>
    <w:rsid w:val="004C5875"/>
    <w:rsid w:val="004C5F28"/>
    <w:rsid w:val="004C6997"/>
    <w:rsid w:val="004C6CDB"/>
    <w:rsid w:val="004C723F"/>
    <w:rsid w:val="004C7C36"/>
    <w:rsid w:val="004C7D16"/>
    <w:rsid w:val="004D0132"/>
    <w:rsid w:val="004D080F"/>
    <w:rsid w:val="004D138E"/>
    <w:rsid w:val="004D185E"/>
    <w:rsid w:val="004D2556"/>
    <w:rsid w:val="004D29F9"/>
    <w:rsid w:val="004D4B61"/>
    <w:rsid w:val="004D606D"/>
    <w:rsid w:val="004D6B20"/>
    <w:rsid w:val="004D6C2F"/>
    <w:rsid w:val="004D71FE"/>
    <w:rsid w:val="004D72CE"/>
    <w:rsid w:val="004D7A80"/>
    <w:rsid w:val="004D7CA3"/>
    <w:rsid w:val="004E0388"/>
    <w:rsid w:val="004E04C7"/>
    <w:rsid w:val="004E0894"/>
    <w:rsid w:val="004E135A"/>
    <w:rsid w:val="004E1C50"/>
    <w:rsid w:val="004E20EE"/>
    <w:rsid w:val="004E23BB"/>
    <w:rsid w:val="004E251F"/>
    <w:rsid w:val="004E2B23"/>
    <w:rsid w:val="004E3390"/>
    <w:rsid w:val="004E416F"/>
    <w:rsid w:val="004E424D"/>
    <w:rsid w:val="004E5F45"/>
    <w:rsid w:val="004E64DC"/>
    <w:rsid w:val="004E6F86"/>
    <w:rsid w:val="004E706A"/>
    <w:rsid w:val="004F0671"/>
    <w:rsid w:val="004F0C01"/>
    <w:rsid w:val="004F126D"/>
    <w:rsid w:val="004F24B5"/>
    <w:rsid w:val="004F2B02"/>
    <w:rsid w:val="004F2D1B"/>
    <w:rsid w:val="004F2E11"/>
    <w:rsid w:val="004F31BD"/>
    <w:rsid w:val="004F378C"/>
    <w:rsid w:val="004F3B34"/>
    <w:rsid w:val="004F3E23"/>
    <w:rsid w:val="004F4722"/>
    <w:rsid w:val="004F4767"/>
    <w:rsid w:val="004F498A"/>
    <w:rsid w:val="004F51B2"/>
    <w:rsid w:val="004F59C4"/>
    <w:rsid w:val="004F5D65"/>
    <w:rsid w:val="004F70F8"/>
    <w:rsid w:val="004F7230"/>
    <w:rsid w:val="004F7D65"/>
    <w:rsid w:val="004F7D7B"/>
    <w:rsid w:val="00501659"/>
    <w:rsid w:val="00501733"/>
    <w:rsid w:val="00501B75"/>
    <w:rsid w:val="00501C39"/>
    <w:rsid w:val="00502203"/>
    <w:rsid w:val="005027B8"/>
    <w:rsid w:val="00503286"/>
    <w:rsid w:val="00503F42"/>
    <w:rsid w:val="0050449C"/>
    <w:rsid w:val="00504D6F"/>
    <w:rsid w:val="00505378"/>
    <w:rsid w:val="00505A66"/>
    <w:rsid w:val="00506576"/>
    <w:rsid w:val="00506710"/>
    <w:rsid w:val="00506E86"/>
    <w:rsid w:val="0050702C"/>
    <w:rsid w:val="0050723E"/>
    <w:rsid w:val="005072DD"/>
    <w:rsid w:val="00507403"/>
    <w:rsid w:val="00507430"/>
    <w:rsid w:val="005101E5"/>
    <w:rsid w:val="00511D75"/>
    <w:rsid w:val="00511FF2"/>
    <w:rsid w:val="00512232"/>
    <w:rsid w:val="00513B7E"/>
    <w:rsid w:val="00514597"/>
    <w:rsid w:val="005150AB"/>
    <w:rsid w:val="0051520F"/>
    <w:rsid w:val="005159F9"/>
    <w:rsid w:val="0051769B"/>
    <w:rsid w:val="0052052F"/>
    <w:rsid w:val="00520571"/>
    <w:rsid w:val="005212B6"/>
    <w:rsid w:val="00522C8A"/>
    <w:rsid w:val="00523AF8"/>
    <w:rsid w:val="00523F57"/>
    <w:rsid w:val="00523F8F"/>
    <w:rsid w:val="005248F8"/>
    <w:rsid w:val="00524E1E"/>
    <w:rsid w:val="0052565F"/>
    <w:rsid w:val="0052654A"/>
    <w:rsid w:val="00526E9C"/>
    <w:rsid w:val="005278F8"/>
    <w:rsid w:val="005300ED"/>
    <w:rsid w:val="005314D8"/>
    <w:rsid w:val="00531706"/>
    <w:rsid w:val="00532121"/>
    <w:rsid w:val="00532429"/>
    <w:rsid w:val="00532850"/>
    <w:rsid w:val="005328A9"/>
    <w:rsid w:val="00532C7A"/>
    <w:rsid w:val="005331D3"/>
    <w:rsid w:val="005332FA"/>
    <w:rsid w:val="005335ED"/>
    <w:rsid w:val="00534668"/>
    <w:rsid w:val="005346BF"/>
    <w:rsid w:val="0053472D"/>
    <w:rsid w:val="00535189"/>
    <w:rsid w:val="005356B6"/>
    <w:rsid w:val="00535D75"/>
    <w:rsid w:val="00535FF9"/>
    <w:rsid w:val="0053609B"/>
    <w:rsid w:val="0053655A"/>
    <w:rsid w:val="00536ECF"/>
    <w:rsid w:val="0053740F"/>
    <w:rsid w:val="00540D9E"/>
    <w:rsid w:val="0054171A"/>
    <w:rsid w:val="005420CF"/>
    <w:rsid w:val="00542C2A"/>
    <w:rsid w:val="0054337D"/>
    <w:rsid w:val="005438E3"/>
    <w:rsid w:val="00543CAC"/>
    <w:rsid w:val="005440E4"/>
    <w:rsid w:val="00545BEC"/>
    <w:rsid w:val="005468A5"/>
    <w:rsid w:val="00546A1D"/>
    <w:rsid w:val="00546C8E"/>
    <w:rsid w:val="00546CB9"/>
    <w:rsid w:val="00546E83"/>
    <w:rsid w:val="00547725"/>
    <w:rsid w:val="00550292"/>
    <w:rsid w:val="005506E5"/>
    <w:rsid w:val="00551309"/>
    <w:rsid w:val="00551D80"/>
    <w:rsid w:val="00552426"/>
    <w:rsid w:val="00552F1A"/>
    <w:rsid w:val="0055363B"/>
    <w:rsid w:val="00553693"/>
    <w:rsid w:val="005536D5"/>
    <w:rsid w:val="00553934"/>
    <w:rsid w:val="00553B71"/>
    <w:rsid w:val="00553D3C"/>
    <w:rsid w:val="00554C4D"/>
    <w:rsid w:val="00555241"/>
    <w:rsid w:val="00555C08"/>
    <w:rsid w:val="00556A43"/>
    <w:rsid w:val="0056087F"/>
    <w:rsid w:val="0056121A"/>
    <w:rsid w:val="00562195"/>
    <w:rsid w:val="0056261D"/>
    <w:rsid w:val="005627E1"/>
    <w:rsid w:val="00562918"/>
    <w:rsid w:val="00563269"/>
    <w:rsid w:val="00564169"/>
    <w:rsid w:val="00564643"/>
    <w:rsid w:val="00564772"/>
    <w:rsid w:val="00566518"/>
    <w:rsid w:val="005669DA"/>
    <w:rsid w:val="00567613"/>
    <w:rsid w:val="00567D48"/>
    <w:rsid w:val="00571206"/>
    <w:rsid w:val="00571640"/>
    <w:rsid w:val="00571902"/>
    <w:rsid w:val="0057194C"/>
    <w:rsid w:val="00571D62"/>
    <w:rsid w:val="005720AF"/>
    <w:rsid w:val="00572283"/>
    <w:rsid w:val="00572F6B"/>
    <w:rsid w:val="00573604"/>
    <w:rsid w:val="00573DE2"/>
    <w:rsid w:val="00573F29"/>
    <w:rsid w:val="00574949"/>
    <w:rsid w:val="00574AD1"/>
    <w:rsid w:val="0057501B"/>
    <w:rsid w:val="005767F1"/>
    <w:rsid w:val="00576A92"/>
    <w:rsid w:val="00577417"/>
    <w:rsid w:val="005779BD"/>
    <w:rsid w:val="00580009"/>
    <w:rsid w:val="00580850"/>
    <w:rsid w:val="00580912"/>
    <w:rsid w:val="00580D6B"/>
    <w:rsid w:val="00580F14"/>
    <w:rsid w:val="005812AE"/>
    <w:rsid w:val="0058144C"/>
    <w:rsid w:val="0058159E"/>
    <w:rsid w:val="00581F46"/>
    <w:rsid w:val="00581F5D"/>
    <w:rsid w:val="00582234"/>
    <w:rsid w:val="005824FB"/>
    <w:rsid w:val="00582686"/>
    <w:rsid w:val="005829C4"/>
    <w:rsid w:val="00582D45"/>
    <w:rsid w:val="00582E8D"/>
    <w:rsid w:val="00582FA1"/>
    <w:rsid w:val="005843DF"/>
    <w:rsid w:val="005860BC"/>
    <w:rsid w:val="00587129"/>
    <w:rsid w:val="0058724D"/>
    <w:rsid w:val="0058725A"/>
    <w:rsid w:val="005879CE"/>
    <w:rsid w:val="0059000C"/>
    <w:rsid w:val="00590136"/>
    <w:rsid w:val="00590B24"/>
    <w:rsid w:val="00590B6C"/>
    <w:rsid w:val="00590E74"/>
    <w:rsid w:val="00591392"/>
    <w:rsid w:val="00591429"/>
    <w:rsid w:val="005915E6"/>
    <w:rsid w:val="00591BEC"/>
    <w:rsid w:val="00591C20"/>
    <w:rsid w:val="005921E8"/>
    <w:rsid w:val="005924E3"/>
    <w:rsid w:val="00592DE3"/>
    <w:rsid w:val="00594948"/>
    <w:rsid w:val="005950B2"/>
    <w:rsid w:val="00595154"/>
    <w:rsid w:val="00595296"/>
    <w:rsid w:val="00595917"/>
    <w:rsid w:val="005969F6"/>
    <w:rsid w:val="00596FEB"/>
    <w:rsid w:val="00597A00"/>
    <w:rsid w:val="00597AB3"/>
    <w:rsid w:val="00597DBB"/>
    <w:rsid w:val="005A050E"/>
    <w:rsid w:val="005A0A21"/>
    <w:rsid w:val="005A118A"/>
    <w:rsid w:val="005A1897"/>
    <w:rsid w:val="005A252B"/>
    <w:rsid w:val="005A3B97"/>
    <w:rsid w:val="005A45EC"/>
    <w:rsid w:val="005A4A89"/>
    <w:rsid w:val="005A55F6"/>
    <w:rsid w:val="005A57D4"/>
    <w:rsid w:val="005A5C31"/>
    <w:rsid w:val="005A5DB4"/>
    <w:rsid w:val="005A600A"/>
    <w:rsid w:val="005A74D9"/>
    <w:rsid w:val="005A7E88"/>
    <w:rsid w:val="005B01F4"/>
    <w:rsid w:val="005B05BE"/>
    <w:rsid w:val="005B0692"/>
    <w:rsid w:val="005B07C7"/>
    <w:rsid w:val="005B14C2"/>
    <w:rsid w:val="005B1B4F"/>
    <w:rsid w:val="005B2564"/>
    <w:rsid w:val="005B2E53"/>
    <w:rsid w:val="005B2F26"/>
    <w:rsid w:val="005B3076"/>
    <w:rsid w:val="005B389B"/>
    <w:rsid w:val="005B426C"/>
    <w:rsid w:val="005B4B88"/>
    <w:rsid w:val="005B4C25"/>
    <w:rsid w:val="005B52D8"/>
    <w:rsid w:val="005B57E9"/>
    <w:rsid w:val="005B583D"/>
    <w:rsid w:val="005B5DAD"/>
    <w:rsid w:val="005B659A"/>
    <w:rsid w:val="005B65CA"/>
    <w:rsid w:val="005B79C6"/>
    <w:rsid w:val="005C04C0"/>
    <w:rsid w:val="005C0912"/>
    <w:rsid w:val="005C1B46"/>
    <w:rsid w:val="005C1F7E"/>
    <w:rsid w:val="005C2057"/>
    <w:rsid w:val="005C20A0"/>
    <w:rsid w:val="005C2EF2"/>
    <w:rsid w:val="005C3AE2"/>
    <w:rsid w:val="005C5258"/>
    <w:rsid w:val="005C57F7"/>
    <w:rsid w:val="005C64B4"/>
    <w:rsid w:val="005C76FD"/>
    <w:rsid w:val="005C7A6D"/>
    <w:rsid w:val="005C7DC3"/>
    <w:rsid w:val="005D0DAF"/>
    <w:rsid w:val="005D0E2B"/>
    <w:rsid w:val="005D14A4"/>
    <w:rsid w:val="005D1D83"/>
    <w:rsid w:val="005D2E2B"/>
    <w:rsid w:val="005D3D10"/>
    <w:rsid w:val="005D63D9"/>
    <w:rsid w:val="005D6E2B"/>
    <w:rsid w:val="005D71BB"/>
    <w:rsid w:val="005D7D0E"/>
    <w:rsid w:val="005E07F3"/>
    <w:rsid w:val="005E0823"/>
    <w:rsid w:val="005E1008"/>
    <w:rsid w:val="005E11E2"/>
    <w:rsid w:val="005E170E"/>
    <w:rsid w:val="005E1DDB"/>
    <w:rsid w:val="005E1F3B"/>
    <w:rsid w:val="005E1F3F"/>
    <w:rsid w:val="005E250E"/>
    <w:rsid w:val="005E2FF7"/>
    <w:rsid w:val="005E3769"/>
    <w:rsid w:val="005E3B68"/>
    <w:rsid w:val="005E4148"/>
    <w:rsid w:val="005E4455"/>
    <w:rsid w:val="005E4674"/>
    <w:rsid w:val="005E4AF5"/>
    <w:rsid w:val="005E4F30"/>
    <w:rsid w:val="005E511D"/>
    <w:rsid w:val="005E56C4"/>
    <w:rsid w:val="005E5BEB"/>
    <w:rsid w:val="005E6369"/>
    <w:rsid w:val="005E652A"/>
    <w:rsid w:val="005E68B2"/>
    <w:rsid w:val="005E6C14"/>
    <w:rsid w:val="005E6F87"/>
    <w:rsid w:val="005E7038"/>
    <w:rsid w:val="005E79FE"/>
    <w:rsid w:val="005F043C"/>
    <w:rsid w:val="005F0593"/>
    <w:rsid w:val="005F1BE8"/>
    <w:rsid w:val="005F1C1F"/>
    <w:rsid w:val="005F267F"/>
    <w:rsid w:val="005F2ABB"/>
    <w:rsid w:val="005F3375"/>
    <w:rsid w:val="005F354A"/>
    <w:rsid w:val="005F74BD"/>
    <w:rsid w:val="005F7D2F"/>
    <w:rsid w:val="006003A9"/>
    <w:rsid w:val="00600E8E"/>
    <w:rsid w:val="006018CA"/>
    <w:rsid w:val="006019E6"/>
    <w:rsid w:val="00601AA5"/>
    <w:rsid w:val="006021EE"/>
    <w:rsid w:val="0060270D"/>
    <w:rsid w:val="006034A7"/>
    <w:rsid w:val="006037CC"/>
    <w:rsid w:val="00603A6B"/>
    <w:rsid w:val="006040F2"/>
    <w:rsid w:val="0060449A"/>
    <w:rsid w:val="00604805"/>
    <w:rsid w:val="0060529E"/>
    <w:rsid w:val="00605384"/>
    <w:rsid w:val="00606CD7"/>
    <w:rsid w:val="006072E8"/>
    <w:rsid w:val="00607C2D"/>
    <w:rsid w:val="006103A4"/>
    <w:rsid w:val="00610922"/>
    <w:rsid w:val="00611250"/>
    <w:rsid w:val="00611D8D"/>
    <w:rsid w:val="006122E2"/>
    <w:rsid w:val="006125AA"/>
    <w:rsid w:val="00613E9D"/>
    <w:rsid w:val="0061423C"/>
    <w:rsid w:val="0061427C"/>
    <w:rsid w:val="00615DED"/>
    <w:rsid w:val="00615FAB"/>
    <w:rsid w:val="006169BB"/>
    <w:rsid w:val="00616B50"/>
    <w:rsid w:val="00616F11"/>
    <w:rsid w:val="006177F0"/>
    <w:rsid w:val="0062005F"/>
    <w:rsid w:val="00620165"/>
    <w:rsid w:val="006201DC"/>
    <w:rsid w:val="0062039B"/>
    <w:rsid w:val="00620985"/>
    <w:rsid w:val="00620BD5"/>
    <w:rsid w:val="00621B17"/>
    <w:rsid w:val="00622289"/>
    <w:rsid w:val="00622543"/>
    <w:rsid w:val="0062261D"/>
    <w:rsid w:val="00622643"/>
    <w:rsid w:val="00623312"/>
    <w:rsid w:val="0062351E"/>
    <w:rsid w:val="00623E92"/>
    <w:rsid w:val="00623E93"/>
    <w:rsid w:val="00624322"/>
    <w:rsid w:val="00624406"/>
    <w:rsid w:val="006248E3"/>
    <w:rsid w:val="00625D3D"/>
    <w:rsid w:val="00625DB6"/>
    <w:rsid w:val="00626280"/>
    <w:rsid w:val="00626CAC"/>
    <w:rsid w:val="00627AD4"/>
    <w:rsid w:val="00630F33"/>
    <w:rsid w:val="006312A4"/>
    <w:rsid w:val="006312F8"/>
    <w:rsid w:val="006313C9"/>
    <w:rsid w:val="006317D2"/>
    <w:rsid w:val="00631C0F"/>
    <w:rsid w:val="006337EA"/>
    <w:rsid w:val="006348ED"/>
    <w:rsid w:val="00634DF1"/>
    <w:rsid w:val="006355E6"/>
    <w:rsid w:val="00635EFB"/>
    <w:rsid w:val="00636A18"/>
    <w:rsid w:val="00636C52"/>
    <w:rsid w:val="0063771E"/>
    <w:rsid w:val="006406A6"/>
    <w:rsid w:val="00640A5A"/>
    <w:rsid w:val="00640BE3"/>
    <w:rsid w:val="00640C80"/>
    <w:rsid w:val="00640E6C"/>
    <w:rsid w:val="00642351"/>
    <w:rsid w:val="006424F7"/>
    <w:rsid w:val="00642A2C"/>
    <w:rsid w:val="00642B51"/>
    <w:rsid w:val="00642C32"/>
    <w:rsid w:val="006433D0"/>
    <w:rsid w:val="00643467"/>
    <w:rsid w:val="00643A31"/>
    <w:rsid w:val="00643AAE"/>
    <w:rsid w:val="00644A9F"/>
    <w:rsid w:val="00646BA0"/>
    <w:rsid w:val="00646F54"/>
    <w:rsid w:val="0065002D"/>
    <w:rsid w:val="00650254"/>
    <w:rsid w:val="006502BB"/>
    <w:rsid w:val="006515EF"/>
    <w:rsid w:val="0065234B"/>
    <w:rsid w:val="006530E2"/>
    <w:rsid w:val="006535DE"/>
    <w:rsid w:val="0065453F"/>
    <w:rsid w:val="00654758"/>
    <w:rsid w:val="006563FC"/>
    <w:rsid w:val="00656EAE"/>
    <w:rsid w:val="00657344"/>
    <w:rsid w:val="006602CF"/>
    <w:rsid w:val="00660FB0"/>
    <w:rsid w:val="00661356"/>
    <w:rsid w:val="00662399"/>
    <w:rsid w:val="006628D0"/>
    <w:rsid w:val="00663E53"/>
    <w:rsid w:val="00664A30"/>
    <w:rsid w:val="00664B40"/>
    <w:rsid w:val="006652FD"/>
    <w:rsid w:val="00665679"/>
    <w:rsid w:val="0066568C"/>
    <w:rsid w:val="0066590A"/>
    <w:rsid w:val="00665DB7"/>
    <w:rsid w:val="00666038"/>
    <w:rsid w:val="00666370"/>
    <w:rsid w:val="0066646F"/>
    <w:rsid w:val="00666775"/>
    <w:rsid w:val="00666A5B"/>
    <w:rsid w:val="00670EFB"/>
    <w:rsid w:val="00671380"/>
    <w:rsid w:val="006713F9"/>
    <w:rsid w:val="00672F3E"/>
    <w:rsid w:val="00673BF2"/>
    <w:rsid w:val="00673C58"/>
    <w:rsid w:val="0067494B"/>
    <w:rsid w:val="00674DB0"/>
    <w:rsid w:val="00675296"/>
    <w:rsid w:val="006766B8"/>
    <w:rsid w:val="00677143"/>
    <w:rsid w:val="006807E1"/>
    <w:rsid w:val="00680DE4"/>
    <w:rsid w:val="0068116A"/>
    <w:rsid w:val="00681663"/>
    <w:rsid w:val="006823D9"/>
    <w:rsid w:val="00682434"/>
    <w:rsid w:val="00683367"/>
    <w:rsid w:val="00683B8F"/>
    <w:rsid w:val="006841B1"/>
    <w:rsid w:val="0068436A"/>
    <w:rsid w:val="0068523F"/>
    <w:rsid w:val="006855A0"/>
    <w:rsid w:val="006861C4"/>
    <w:rsid w:val="00686C23"/>
    <w:rsid w:val="00687033"/>
    <w:rsid w:val="00687774"/>
    <w:rsid w:val="00687D28"/>
    <w:rsid w:val="00687EC6"/>
    <w:rsid w:val="00690AC8"/>
    <w:rsid w:val="00690CCF"/>
    <w:rsid w:val="00690E24"/>
    <w:rsid w:val="00691626"/>
    <w:rsid w:val="006936CD"/>
    <w:rsid w:val="0069391C"/>
    <w:rsid w:val="00693EA8"/>
    <w:rsid w:val="0069493D"/>
    <w:rsid w:val="00694C13"/>
    <w:rsid w:val="00694FF9"/>
    <w:rsid w:val="0069620B"/>
    <w:rsid w:val="0069659F"/>
    <w:rsid w:val="00696801"/>
    <w:rsid w:val="0069758F"/>
    <w:rsid w:val="006978DB"/>
    <w:rsid w:val="00697989"/>
    <w:rsid w:val="006979EF"/>
    <w:rsid w:val="006A049D"/>
    <w:rsid w:val="006A0623"/>
    <w:rsid w:val="006A12AE"/>
    <w:rsid w:val="006A12E9"/>
    <w:rsid w:val="006A1BC6"/>
    <w:rsid w:val="006A272F"/>
    <w:rsid w:val="006A2842"/>
    <w:rsid w:val="006A393F"/>
    <w:rsid w:val="006A54EF"/>
    <w:rsid w:val="006A58A2"/>
    <w:rsid w:val="006A5A39"/>
    <w:rsid w:val="006A5C7F"/>
    <w:rsid w:val="006A6263"/>
    <w:rsid w:val="006A6484"/>
    <w:rsid w:val="006A652E"/>
    <w:rsid w:val="006A7EA3"/>
    <w:rsid w:val="006B022C"/>
    <w:rsid w:val="006B07D8"/>
    <w:rsid w:val="006B0CEB"/>
    <w:rsid w:val="006B13C1"/>
    <w:rsid w:val="006B1707"/>
    <w:rsid w:val="006B2194"/>
    <w:rsid w:val="006B2489"/>
    <w:rsid w:val="006B3215"/>
    <w:rsid w:val="006B3348"/>
    <w:rsid w:val="006B3448"/>
    <w:rsid w:val="006B4F5C"/>
    <w:rsid w:val="006B5062"/>
    <w:rsid w:val="006B50A3"/>
    <w:rsid w:val="006B5725"/>
    <w:rsid w:val="006B6BDE"/>
    <w:rsid w:val="006B6CBE"/>
    <w:rsid w:val="006B71E4"/>
    <w:rsid w:val="006B721D"/>
    <w:rsid w:val="006C00B5"/>
    <w:rsid w:val="006C1170"/>
    <w:rsid w:val="006C17D4"/>
    <w:rsid w:val="006C2506"/>
    <w:rsid w:val="006C2952"/>
    <w:rsid w:val="006C348B"/>
    <w:rsid w:val="006C34C1"/>
    <w:rsid w:val="006C374C"/>
    <w:rsid w:val="006C441B"/>
    <w:rsid w:val="006C4E73"/>
    <w:rsid w:val="006C4EB7"/>
    <w:rsid w:val="006C5014"/>
    <w:rsid w:val="006C565B"/>
    <w:rsid w:val="006C5D35"/>
    <w:rsid w:val="006C6470"/>
    <w:rsid w:val="006C75FA"/>
    <w:rsid w:val="006C7FAC"/>
    <w:rsid w:val="006D002D"/>
    <w:rsid w:val="006D0421"/>
    <w:rsid w:val="006D047B"/>
    <w:rsid w:val="006D1D18"/>
    <w:rsid w:val="006D2594"/>
    <w:rsid w:val="006D2BD4"/>
    <w:rsid w:val="006D3530"/>
    <w:rsid w:val="006D3BF4"/>
    <w:rsid w:val="006D407D"/>
    <w:rsid w:val="006D477F"/>
    <w:rsid w:val="006D47BC"/>
    <w:rsid w:val="006D4ACA"/>
    <w:rsid w:val="006D5843"/>
    <w:rsid w:val="006D6871"/>
    <w:rsid w:val="006D6CA2"/>
    <w:rsid w:val="006D71D3"/>
    <w:rsid w:val="006E02F2"/>
    <w:rsid w:val="006E1FB4"/>
    <w:rsid w:val="006E24D7"/>
    <w:rsid w:val="006E3415"/>
    <w:rsid w:val="006E3962"/>
    <w:rsid w:val="006E464C"/>
    <w:rsid w:val="006E4970"/>
    <w:rsid w:val="006E4A6B"/>
    <w:rsid w:val="006E4CCB"/>
    <w:rsid w:val="006E4CCC"/>
    <w:rsid w:val="006E516B"/>
    <w:rsid w:val="006E64FC"/>
    <w:rsid w:val="006E6536"/>
    <w:rsid w:val="006E78A4"/>
    <w:rsid w:val="006E7A04"/>
    <w:rsid w:val="006F065D"/>
    <w:rsid w:val="006F0C10"/>
    <w:rsid w:val="006F29B4"/>
    <w:rsid w:val="006F533D"/>
    <w:rsid w:val="006F6D3E"/>
    <w:rsid w:val="006F6DDA"/>
    <w:rsid w:val="006F7041"/>
    <w:rsid w:val="006F726F"/>
    <w:rsid w:val="006F7BBD"/>
    <w:rsid w:val="0070068B"/>
    <w:rsid w:val="00700990"/>
    <w:rsid w:val="00700CF4"/>
    <w:rsid w:val="007016BE"/>
    <w:rsid w:val="007025A3"/>
    <w:rsid w:val="007030B9"/>
    <w:rsid w:val="00703181"/>
    <w:rsid w:val="007042E7"/>
    <w:rsid w:val="007044EC"/>
    <w:rsid w:val="00704571"/>
    <w:rsid w:val="007048F0"/>
    <w:rsid w:val="00705362"/>
    <w:rsid w:val="0070604E"/>
    <w:rsid w:val="0070718C"/>
    <w:rsid w:val="00710630"/>
    <w:rsid w:val="00711526"/>
    <w:rsid w:val="0071165C"/>
    <w:rsid w:val="00711CAD"/>
    <w:rsid w:val="0071201B"/>
    <w:rsid w:val="0071320C"/>
    <w:rsid w:val="0071356F"/>
    <w:rsid w:val="00714166"/>
    <w:rsid w:val="007153F0"/>
    <w:rsid w:val="007154CF"/>
    <w:rsid w:val="007159A1"/>
    <w:rsid w:val="00716812"/>
    <w:rsid w:val="00716C0F"/>
    <w:rsid w:val="007171DB"/>
    <w:rsid w:val="00717651"/>
    <w:rsid w:val="0071796A"/>
    <w:rsid w:val="00717A8D"/>
    <w:rsid w:val="00717BF6"/>
    <w:rsid w:val="00717C21"/>
    <w:rsid w:val="00717F9F"/>
    <w:rsid w:val="00720493"/>
    <w:rsid w:val="00720B9E"/>
    <w:rsid w:val="00721887"/>
    <w:rsid w:val="00721962"/>
    <w:rsid w:val="00721CC5"/>
    <w:rsid w:val="00721DE0"/>
    <w:rsid w:val="007224ED"/>
    <w:rsid w:val="00722FD8"/>
    <w:rsid w:val="0072366C"/>
    <w:rsid w:val="00724291"/>
    <w:rsid w:val="00724D0C"/>
    <w:rsid w:val="0072590A"/>
    <w:rsid w:val="00725996"/>
    <w:rsid w:val="00726886"/>
    <w:rsid w:val="0072724E"/>
    <w:rsid w:val="00727381"/>
    <w:rsid w:val="00727924"/>
    <w:rsid w:val="00730896"/>
    <w:rsid w:val="007314BA"/>
    <w:rsid w:val="00732A2D"/>
    <w:rsid w:val="00732D06"/>
    <w:rsid w:val="00733E70"/>
    <w:rsid w:val="00733FFC"/>
    <w:rsid w:val="0073438B"/>
    <w:rsid w:val="007343F1"/>
    <w:rsid w:val="007347C7"/>
    <w:rsid w:val="0073490E"/>
    <w:rsid w:val="0073536C"/>
    <w:rsid w:val="007359A2"/>
    <w:rsid w:val="007360A9"/>
    <w:rsid w:val="0073699B"/>
    <w:rsid w:val="0073710F"/>
    <w:rsid w:val="00737362"/>
    <w:rsid w:val="00737753"/>
    <w:rsid w:val="007409AA"/>
    <w:rsid w:val="00740EE3"/>
    <w:rsid w:val="007411F4"/>
    <w:rsid w:val="007413BF"/>
    <w:rsid w:val="00741968"/>
    <w:rsid w:val="00741BDD"/>
    <w:rsid w:val="007423E9"/>
    <w:rsid w:val="007438D0"/>
    <w:rsid w:val="00743A58"/>
    <w:rsid w:val="00743D1C"/>
    <w:rsid w:val="00743D29"/>
    <w:rsid w:val="0074406C"/>
    <w:rsid w:val="00744146"/>
    <w:rsid w:val="00744B1B"/>
    <w:rsid w:val="00745153"/>
    <w:rsid w:val="00745844"/>
    <w:rsid w:val="007460ED"/>
    <w:rsid w:val="0074661C"/>
    <w:rsid w:val="00746A2F"/>
    <w:rsid w:val="007472EF"/>
    <w:rsid w:val="00747669"/>
    <w:rsid w:val="0074771E"/>
    <w:rsid w:val="00751097"/>
    <w:rsid w:val="007519F6"/>
    <w:rsid w:val="00751E1F"/>
    <w:rsid w:val="0075296E"/>
    <w:rsid w:val="00752F33"/>
    <w:rsid w:val="0075319C"/>
    <w:rsid w:val="007531A5"/>
    <w:rsid w:val="007535E3"/>
    <w:rsid w:val="00753FCB"/>
    <w:rsid w:val="007542B1"/>
    <w:rsid w:val="007550FE"/>
    <w:rsid w:val="00755EE8"/>
    <w:rsid w:val="0075603B"/>
    <w:rsid w:val="00756609"/>
    <w:rsid w:val="007566A7"/>
    <w:rsid w:val="007567D2"/>
    <w:rsid w:val="00756E30"/>
    <w:rsid w:val="0075707E"/>
    <w:rsid w:val="00757941"/>
    <w:rsid w:val="00762FCA"/>
    <w:rsid w:val="007639A5"/>
    <w:rsid w:val="00763EE9"/>
    <w:rsid w:val="00764375"/>
    <w:rsid w:val="007653BF"/>
    <w:rsid w:val="00765630"/>
    <w:rsid w:val="00765919"/>
    <w:rsid w:val="007661BB"/>
    <w:rsid w:val="0076653E"/>
    <w:rsid w:val="00766647"/>
    <w:rsid w:val="0076786D"/>
    <w:rsid w:val="0077094D"/>
    <w:rsid w:val="00770E63"/>
    <w:rsid w:val="00774469"/>
    <w:rsid w:val="00774752"/>
    <w:rsid w:val="00775291"/>
    <w:rsid w:val="0077594E"/>
    <w:rsid w:val="00775FB9"/>
    <w:rsid w:val="00776268"/>
    <w:rsid w:val="00777495"/>
    <w:rsid w:val="0078016F"/>
    <w:rsid w:val="007805EC"/>
    <w:rsid w:val="007808A4"/>
    <w:rsid w:val="00780928"/>
    <w:rsid w:val="00780B0E"/>
    <w:rsid w:val="00781689"/>
    <w:rsid w:val="00782394"/>
    <w:rsid w:val="00782848"/>
    <w:rsid w:val="007829B1"/>
    <w:rsid w:val="00782C5A"/>
    <w:rsid w:val="007834C1"/>
    <w:rsid w:val="00783873"/>
    <w:rsid w:val="007847D1"/>
    <w:rsid w:val="00784924"/>
    <w:rsid w:val="00785B0C"/>
    <w:rsid w:val="00785D82"/>
    <w:rsid w:val="00785DE4"/>
    <w:rsid w:val="0078647B"/>
    <w:rsid w:val="00786ED4"/>
    <w:rsid w:val="0078716F"/>
    <w:rsid w:val="00787256"/>
    <w:rsid w:val="007873C8"/>
    <w:rsid w:val="0078793D"/>
    <w:rsid w:val="00787F80"/>
    <w:rsid w:val="00790F50"/>
    <w:rsid w:val="00791374"/>
    <w:rsid w:val="0079263D"/>
    <w:rsid w:val="00792B66"/>
    <w:rsid w:val="0079352C"/>
    <w:rsid w:val="00793B34"/>
    <w:rsid w:val="00793B84"/>
    <w:rsid w:val="00793D87"/>
    <w:rsid w:val="00794795"/>
    <w:rsid w:val="007949E6"/>
    <w:rsid w:val="00794CC2"/>
    <w:rsid w:val="00794D98"/>
    <w:rsid w:val="00794F29"/>
    <w:rsid w:val="00795A2A"/>
    <w:rsid w:val="00795E7E"/>
    <w:rsid w:val="007964B5"/>
    <w:rsid w:val="007972FB"/>
    <w:rsid w:val="007977AD"/>
    <w:rsid w:val="007A02BC"/>
    <w:rsid w:val="007A099F"/>
    <w:rsid w:val="007A0ADA"/>
    <w:rsid w:val="007A0F0F"/>
    <w:rsid w:val="007A16EB"/>
    <w:rsid w:val="007A26C4"/>
    <w:rsid w:val="007A2742"/>
    <w:rsid w:val="007A2F96"/>
    <w:rsid w:val="007A33C4"/>
    <w:rsid w:val="007A49D9"/>
    <w:rsid w:val="007A5620"/>
    <w:rsid w:val="007B01E7"/>
    <w:rsid w:val="007B0810"/>
    <w:rsid w:val="007B104F"/>
    <w:rsid w:val="007B120B"/>
    <w:rsid w:val="007B1418"/>
    <w:rsid w:val="007B1C29"/>
    <w:rsid w:val="007B2177"/>
    <w:rsid w:val="007B2FF1"/>
    <w:rsid w:val="007B3F86"/>
    <w:rsid w:val="007B56E1"/>
    <w:rsid w:val="007B7BB1"/>
    <w:rsid w:val="007C0B47"/>
    <w:rsid w:val="007C1229"/>
    <w:rsid w:val="007C17AB"/>
    <w:rsid w:val="007C1DFF"/>
    <w:rsid w:val="007C1E1D"/>
    <w:rsid w:val="007C2145"/>
    <w:rsid w:val="007C2349"/>
    <w:rsid w:val="007C377C"/>
    <w:rsid w:val="007C378F"/>
    <w:rsid w:val="007C3815"/>
    <w:rsid w:val="007C3B7F"/>
    <w:rsid w:val="007C5B20"/>
    <w:rsid w:val="007C65FA"/>
    <w:rsid w:val="007C685F"/>
    <w:rsid w:val="007D069C"/>
    <w:rsid w:val="007D1AFD"/>
    <w:rsid w:val="007D1E73"/>
    <w:rsid w:val="007D23C4"/>
    <w:rsid w:val="007D2FC8"/>
    <w:rsid w:val="007D310A"/>
    <w:rsid w:val="007D408D"/>
    <w:rsid w:val="007D4CD5"/>
    <w:rsid w:val="007D52A7"/>
    <w:rsid w:val="007D619D"/>
    <w:rsid w:val="007D658F"/>
    <w:rsid w:val="007D6B04"/>
    <w:rsid w:val="007D6D6F"/>
    <w:rsid w:val="007D6E6D"/>
    <w:rsid w:val="007D6F5D"/>
    <w:rsid w:val="007D7604"/>
    <w:rsid w:val="007D7729"/>
    <w:rsid w:val="007D7AA9"/>
    <w:rsid w:val="007E075D"/>
    <w:rsid w:val="007E0D86"/>
    <w:rsid w:val="007E170B"/>
    <w:rsid w:val="007E18BA"/>
    <w:rsid w:val="007E18FA"/>
    <w:rsid w:val="007E1DF2"/>
    <w:rsid w:val="007E2888"/>
    <w:rsid w:val="007E2BA4"/>
    <w:rsid w:val="007E32D4"/>
    <w:rsid w:val="007E3514"/>
    <w:rsid w:val="007E3829"/>
    <w:rsid w:val="007E402B"/>
    <w:rsid w:val="007E495E"/>
    <w:rsid w:val="007E5FF3"/>
    <w:rsid w:val="007E6257"/>
    <w:rsid w:val="007E65FE"/>
    <w:rsid w:val="007E6782"/>
    <w:rsid w:val="007E6B64"/>
    <w:rsid w:val="007E6F9A"/>
    <w:rsid w:val="007E7679"/>
    <w:rsid w:val="007E79F5"/>
    <w:rsid w:val="007E7AF0"/>
    <w:rsid w:val="007F02BF"/>
    <w:rsid w:val="007F10B5"/>
    <w:rsid w:val="007F10D0"/>
    <w:rsid w:val="007F1BC2"/>
    <w:rsid w:val="007F1CCC"/>
    <w:rsid w:val="007F25B4"/>
    <w:rsid w:val="007F2C38"/>
    <w:rsid w:val="007F2EFF"/>
    <w:rsid w:val="007F3395"/>
    <w:rsid w:val="007F3683"/>
    <w:rsid w:val="007F39D7"/>
    <w:rsid w:val="007F3A04"/>
    <w:rsid w:val="007F48F6"/>
    <w:rsid w:val="007F51FF"/>
    <w:rsid w:val="007F5557"/>
    <w:rsid w:val="007F5CD4"/>
    <w:rsid w:val="007F61AB"/>
    <w:rsid w:val="007F61E2"/>
    <w:rsid w:val="007F6460"/>
    <w:rsid w:val="007F6C16"/>
    <w:rsid w:val="007F730F"/>
    <w:rsid w:val="007F7563"/>
    <w:rsid w:val="007F7A54"/>
    <w:rsid w:val="007F7AB8"/>
    <w:rsid w:val="00800125"/>
    <w:rsid w:val="0080026A"/>
    <w:rsid w:val="00800FCD"/>
    <w:rsid w:val="00801057"/>
    <w:rsid w:val="00801387"/>
    <w:rsid w:val="00801BFF"/>
    <w:rsid w:val="0080250E"/>
    <w:rsid w:val="0080281E"/>
    <w:rsid w:val="0080288E"/>
    <w:rsid w:val="00803DDF"/>
    <w:rsid w:val="00805261"/>
    <w:rsid w:val="0080563D"/>
    <w:rsid w:val="00805F75"/>
    <w:rsid w:val="00806071"/>
    <w:rsid w:val="00807692"/>
    <w:rsid w:val="00807C1B"/>
    <w:rsid w:val="00807E3E"/>
    <w:rsid w:val="00810489"/>
    <w:rsid w:val="00810B18"/>
    <w:rsid w:val="00811026"/>
    <w:rsid w:val="0081143A"/>
    <w:rsid w:val="00811982"/>
    <w:rsid w:val="00811B7A"/>
    <w:rsid w:val="00811E77"/>
    <w:rsid w:val="0081206F"/>
    <w:rsid w:val="00812638"/>
    <w:rsid w:val="00812656"/>
    <w:rsid w:val="00812720"/>
    <w:rsid w:val="00812AE2"/>
    <w:rsid w:val="00812CD4"/>
    <w:rsid w:val="00814892"/>
    <w:rsid w:val="00814D78"/>
    <w:rsid w:val="00815167"/>
    <w:rsid w:val="008151B0"/>
    <w:rsid w:val="00816744"/>
    <w:rsid w:val="0081696D"/>
    <w:rsid w:val="00816B36"/>
    <w:rsid w:val="00817452"/>
    <w:rsid w:val="0081758D"/>
    <w:rsid w:val="00817C39"/>
    <w:rsid w:val="00817C8A"/>
    <w:rsid w:val="0082098B"/>
    <w:rsid w:val="00821601"/>
    <w:rsid w:val="00821923"/>
    <w:rsid w:val="00821E84"/>
    <w:rsid w:val="00822005"/>
    <w:rsid w:val="0082256B"/>
    <w:rsid w:val="00822609"/>
    <w:rsid w:val="00822B0C"/>
    <w:rsid w:val="00822C45"/>
    <w:rsid w:val="00822F66"/>
    <w:rsid w:val="008241E4"/>
    <w:rsid w:val="00824394"/>
    <w:rsid w:val="00824912"/>
    <w:rsid w:val="00824F1A"/>
    <w:rsid w:val="00825B07"/>
    <w:rsid w:val="008265E8"/>
    <w:rsid w:val="00826634"/>
    <w:rsid w:val="00826C0C"/>
    <w:rsid w:val="00827E75"/>
    <w:rsid w:val="00830810"/>
    <w:rsid w:val="008309CF"/>
    <w:rsid w:val="00830AF8"/>
    <w:rsid w:val="00830B5F"/>
    <w:rsid w:val="00830DC0"/>
    <w:rsid w:val="00831427"/>
    <w:rsid w:val="00831C09"/>
    <w:rsid w:val="00831C68"/>
    <w:rsid w:val="008322FB"/>
    <w:rsid w:val="0083272D"/>
    <w:rsid w:val="00832E6A"/>
    <w:rsid w:val="0083351E"/>
    <w:rsid w:val="00833E4E"/>
    <w:rsid w:val="0083473D"/>
    <w:rsid w:val="00834AF4"/>
    <w:rsid w:val="00834BEC"/>
    <w:rsid w:val="00834D47"/>
    <w:rsid w:val="00834DC9"/>
    <w:rsid w:val="00835389"/>
    <w:rsid w:val="00835459"/>
    <w:rsid w:val="008356D1"/>
    <w:rsid w:val="008358DA"/>
    <w:rsid w:val="00836F1C"/>
    <w:rsid w:val="00837060"/>
    <w:rsid w:val="008373F3"/>
    <w:rsid w:val="00837C5C"/>
    <w:rsid w:val="00840350"/>
    <w:rsid w:val="00840409"/>
    <w:rsid w:val="0084055F"/>
    <w:rsid w:val="0084098C"/>
    <w:rsid w:val="008411FD"/>
    <w:rsid w:val="0084138C"/>
    <w:rsid w:val="00842584"/>
    <w:rsid w:val="008429DB"/>
    <w:rsid w:val="00842BA8"/>
    <w:rsid w:val="0084324E"/>
    <w:rsid w:val="00844B2A"/>
    <w:rsid w:val="00844ED2"/>
    <w:rsid w:val="0084562E"/>
    <w:rsid w:val="008470E8"/>
    <w:rsid w:val="0084736D"/>
    <w:rsid w:val="008479BC"/>
    <w:rsid w:val="00847C79"/>
    <w:rsid w:val="00850A19"/>
    <w:rsid w:val="00850AFC"/>
    <w:rsid w:val="0085106C"/>
    <w:rsid w:val="008514EC"/>
    <w:rsid w:val="00851F31"/>
    <w:rsid w:val="0085233E"/>
    <w:rsid w:val="008524F7"/>
    <w:rsid w:val="00852A9A"/>
    <w:rsid w:val="00852F34"/>
    <w:rsid w:val="008534FA"/>
    <w:rsid w:val="00853616"/>
    <w:rsid w:val="00853704"/>
    <w:rsid w:val="00853C23"/>
    <w:rsid w:val="00853EFD"/>
    <w:rsid w:val="0085413E"/>
    <w:rsid w:val="00854674"/>
    <w:rsid w:val="00854784"/>
    <w:rsid w:val="00854C8E"/>
    <w:rsid w:val="00856542"/>
    <w:rsid w:val="0085729A"/>
    <w:rsid w:val="008575ED"/>
    <w:rsid w:val="00857F3D"/>
    <w:rsid w:val="00860F08"/>
    <w:rsid w:val="008611C8"/>
    <w:rsid w:val="008612F5"/>
    <w:rsid w:val="00861376"/>
    <w:rsid w:val="00861D5B"/>
    <w:rsid w:val="00861F9D"/>
    <w:rsid w:val="0086307F"/>
    <w:rsid w:val="008639AD"/>
    <w:rsid w:val="00863C1F"/>
    <w:rsid w:val="0086425E"/>
    <w:rsid w:val="00866BCC"/>
    <w:rsid w:val="00870856"/>
    <w:rsid w:val="0087157B"/>
    <w:rsid w:val="00873845"/>
    <w:rsid w:val="00876522"/>
    <w:rsid w:val="00876AE3"/>
    <w:rsid w:val="008775DB"/>
    <w:rsid w:val="00877B07"/>
    <w:rsid w:val="00877B7A"/>
    <w:rsid w:val="00880EFA"/>
    <w:rsid w:val="00881EBC"/>
    <w:rsid w:val="008828DF"/>
    <w:rsid w:val="00882E91"/>
    <w:rsid w:val="00882EA8"/>
    <w:rsid w:val="00883EE1"/>
    <w:rsid w:val="0088421A"/>
    <w:rsid w:val="00884ED2"/>
    <w:rsid w:val="00885317"/>
    <w:rsid w:val="0088567D"/>
    <w:rsid w:val="00885D0E"/>
    <w:rsid w:val="008863EC"/>
    <w:rsid w:val="00886995"/>
    <w:rsid w:val="00887227"/>
    <w:rsid w:val="008900AA"/>
    <w:rsid w:val="00890427"/>
    <w:rsid w:val="008905B4"/>
    <w:rsid w:val="0089096B"/>
    <w:rsid w:val="008919D4"/>
    <w:rsid w:val="00892157"/>
    <w:rsid w:val="0089225A"/>
    <w:rsid w:val="00892AC0"/>
    <w:rsid w:val="008934FE"/>
    <w:rsid w:val="00893B5D"/>
    <w:rsid w:val="00893E2F"/>
    <w:rsid w:val="008944DB"/>
    <w:rsid w:val="00895260"/>
    <w:rsid w:val="00895570"/>
    <w:rsid w:val="0089594E"/>
    <w:rsid w:val="008968C4"/>
    <w:rsid w:val="00897463"/>
    <w:rsid w:val="0089753B"/>
    <w:rsid w:val="00897911"/>
    <w:rsid w:val="00897B11"/>
    <w:rsid w:val="008A03BE"/>
    <w:rsid w:val="008A1C8E"/>
    <w:rsid w:val="008A2377"/>
    <w:rsid w:val="008A2A21"/>
    <w:rsid w:val="008A2E17"/>
    <w:rsid w:val="008A344E"/>
    <w:rsid w:val="008A3721"/>
    <w:rsid w:val="008A382F"/>
    <w:rsid w:val="008A39A0"/>
    <w:rsid w:val="008A39AD"/>
    <w:rsid w:val="008A3DB6"/>
    <w:rsid w:val="008A4715"/>
    <w:rsid w:val="008A56ED"/>
    <w:rsid w:val="008A5BE4"/>
    <w:rsid w:val="008A7E3B"/>
    <w:rsid w:val="008B0364"/>
    <w:rsid w:val="008B0379"/>
    <w:rsid w:val="008B0D70"/>
    <w:rsid w:val="008B0EA7"/>
    <w:rsid w:val="008B18C5"/>
    <w:rsid w:val="008B480A"/>
    <w:rsid w:val="008B4F76"/>
    <w:rsid w:val="008B58D9"/>
    <w:rsid w:val="008B64DC"/>
    <w:rsid w:val="008B6AFD"/>
    <w:rsid w:val="008B6B42"/>
    <w:rsid w:val="008B70D9"/>
    <w:rsid w:val="008C07A9"/>
    <w:rsid w:val="008C0A39"/>
    <w:rsid w:val="008C1814"/>
    <w:rsid w:val="008C3CCC"/>
    <w:rsid w:val="008C4084"/>
    <w:rsid w:val="008C4116"/>
    <w:rsid w:val="008C4162"/>
    <w:rsid w:val="008C43A5"/>
    <w:rsid w:val="008C5C81"/>
    <w:rsid w:val="008C5CDF"/>
    <w:rsid w:val="008C6580"/>
    <w:rsid w:val="008C7162"/>
    <w:rsid w:val="008C7375"/>
    <w:rsid w:val="008C79F3"/>
    <w:rsid w:val="008D0267"/>
    <w:rsid w:val="008D04D0"/>
    <w:rsid w:val="008D1097"/>
    <w:rsid w:val="008D11A8"/>
    <w:rsid w:val="008D1417"/>
    <w:rsid w:val="008D1DF5"/>
    <w:rsid w:val="008D1F27"/>
    <w:rsid w:val="008D2F95"/>
    <w:rsid w:val="008D384C"/>
    <w:rsid w:val="008D3EF5"/>
    <w:rsid w:val="008D483E"/>
    <w:rsid w:val="008D4B98"/>
    <w:rsid w:val="008D4BD7"/>
    <w:rsid w:val="008D5469"/>
    <w:rsid w:val="008D56F1"/>
    <w:rsid w:val="008D62B4"/>
    <w:rsid w:val="008D6375"/>
    <w:rsid w:val="008D7D36"/>
    <w:rsid w:val="008E02E0"/>
    <w:rsid w:val="008E0670"/>
    <w:rsid w:val="008E114F"/>
    <w:rsid w:val="008E1153"/>
    <w:rsid w:val="008E1D76"/>
    <w:rsid w:val="008E2594"/>
    <w:rsid w:val="008E2DD0"/>
    <w:rsid w:val="008E3455"/>
    <w:rsid w:val="008E3BFB"/>
    <w:rsid w:val="008E50BD"/>
    <w:rsid w:val="008E5755"/>
    <w:rsid w:val="008E6356"/>
    <w:rsid w:val="008E6529"/>
    <w:rsid w:val="008E664D"/>
    <w:rsid w:val="008E6C51"/>
    <w:rsid w:val="008E6F7A"/>
    <w:rsid w:val="008E7734"/>
    <w:rsid w:val="008F04B2"/>
    <w:rsid w:val="008F07ED"/>
    <w:rsid w:val="008F142D"/>
    <w:rsid w:val="008F1674"/>
    <w:rsid w:val="008F192D"/>
    <w:rsid w:val="008F2699"/>
    <w:rsid w:val="008F3FE5"/>
    <w:rsid w:val="008F42D7"/>
    <w:rsid w:val="008F4382"/>
    <w:rsid w:val="008F4CE7"/>
    <w:rsid w:val="008F5536"/>
    <w:rsid w:val="008F6537"/>
    <w:rsid w:val="00900590"/>
    <w:rsid w:val="00901459"/>
    <w:rsid w:val="00901C47"/>
    <w:rsid w:val="0090328B"/>
    <w:rsid w:val="009032E9"/>
    <w:rsid w:val="00903EFE"/>
    <w:rsid w:val="009040EB"/>
    <w:rsid w:val="0090437C"/>
    <w:rsid w:val="0090472D"/>
    <w:rsid w:val="0090518E"/>
    <w:rsid w:val="0090563D"/>
    <w:rsid w:val="00906EF4"/>
    <w:rsid w:val="00907057"/>
    <w:rsid w:val="00910287"/>
    <w:rsid w:val="00910D9D"/>
    <w:rsid w:val="00910F33"/>
    <w:rsid w:val="00911691"/>
    <w:rsid w:val="009118B0"/>
    <w:rsid w:val="00912000"/>
    <w:rsid w:val="009120D7"/>
    <w:rsid w:val="009124E6"/>
    <w:rsid w:val="00913944"/>
    <w:rsid w:val="00916440"/>
    <w:rsid w:val="00916748"/>
    <w:rsid w:val="00917332"/>
    <w:rsid w:val="009177FA"/>
    <w:rsid w:val="009202C5"/>
    <w:rsid w:val="00920773"/>
    <w:rsid w:val="009209C5"/>
    <w:rsid w:val="00921817"/>
    <w:rsid w:val="00922327"/>
    <w:rsid w:val="0092265F"/>
    <w:rsid w:val="00922F1A"/>
    <w:rsid w:val="0092359E"/>
    <w:rsid w:val="00923EA0"/>
    <w:rsid w:val="0092474D"/>
    <w:rsid w:val="00924C0E"/>
    <w:rsid w:val="00925637"/>
    <w:rsid w:val="0092598F"/>
    <w:rsid w:val="00925FF9"/>
    <w:rsid w:val="009265E4"/>
    <w:rsid w:val="00927BAA"/>
    <w:rsid w:val="00927E94"/>
    <w:rsid w:val="00930743"/>
    <w:rsid w:val="00931282"/>
    <w:rsid w:val="00931457"/>
    <w:rsid w:val="009315B3"/>
    <w:rsid w:val="0093167B"/>
    <w:rsid w:val="0093175E"/>
    <w:rsid w:val="00932333"/>
    <w:rsid w:val="00932567"/>
    <w:rsid w:val="009326C6"/>
    <w:rsid w:val="00933665"/>
    <w:rsid w:val="00933695"/>
    <w:rsid w:val="00933CF4"/>
    <w:rsid w:val="00933F52"/>
    <w:rsid w:val="00934513"/>
    <w:rsid w:val="0093661E"/>
    <w:rsid w:val="00936789"/>
    <w:rsid w:val="00936E0F"/>
    <w:rsid w:val="00936EF5"/>
    <w:rsid w:val="009372E1"/>
    <w:rsid w:val="00937FBA"/>
    <w:rsid w:val="009417AC"/>
    <w:rsid w:val="00942550"/>
    <w:rsid w:val="0094325C"/>
    <w:rsid w:val="00945766"/>
    <w:rsid w:val="009457AC"/>
    <w:rsid w:val="00945B1E"/>
    <w:rsid w:val="0094609D"/>
    <w:rsid w:val="00946484"/>
    <w:rsid w:val="00946970"/>
    <w:rsid w:val="00946B28"/>
    <w:rsid w:val="00947447"/>
    <w:rsid w:val="00947B1C"/>
    <w:rsid w:val="009510F9"/>
    <w:rsid w:val="009516DD"/>
    <w:rsid w:val="00951D77"/>
    <w:rsid w:val="00951F1A"/>
    <w:rsid w:val="00953586"/>
    <w:rsid w:val="0095377C"/>
    <w:rsid w:val="00953A0D"/>
    <w:rsid w:val="00954532"/>
    <w:rsid w:val="00954C5C"/>
    <w:rsid w:val="00954D4A"/>
    <w:rsid w:val="009552E3"/>
    <w:rsid w:val="00955E1B"/>
    <w:rsid w:val="00955F37"/>
    <w:rsid w:val="0095706B"/>
    <w:rsid w:val="009570F9"/>
    <w:rsid w:val="009573EB"/>
    <w:rsid w:val="00957F66"/>
    <w:rsid w:val="00960092"/>
    <w:rsid w:val="00960671"/>
    <w:rsid w:val="0096083A"/>
    <w:rsid w:val="009609E5"/>
    <w:rsid w:val="009610B1"/>
    <w:rsid w:val="009618CD"/>
    <w:rsid w:val="00961F2F"/>
    <w:rsid w:val="009621E4"/>
    <w:rsid w:val="00962429"/>
    <w:rsid w:val="00963644"/>
    <w:rsid w:val="0096451A"/>
    <w:rsid w:val="00964583"/>
    <w:rsid w:val="00964775"/>
    <w:rsid w:val="00964ACE"/>
    <w:rsid w:val="009659F8"/>
    <w:rsid w:val="009660FF"/>
    <w:rsid w:val="009664CB"/>
    <w:rsid w:val="00966CC0"/>
    <w:rsid w:val="009671A1"/>
    <w:rsid w:val="0097179C"/>
    <w:rsid w:val="0097191C"/>
    <w:rsid w:val="0097198A"/>
    <w:rsid w:val="009734BF"/>
    <w:rsid w:val="00973612"/>
    <w:rsid w:val="009737F3"/>
    <w:rsid w:val="00973917"/>
    <w:rsid w:val="00973C3E"/>
    <w:rsid w:val="00974ACC"/>
    <w:rsid w:val="00974C49"/>
    <w:rsid w:val="00974EE4"/>
    <w:rsid w:val="009754CE"/>
    <w:rsid w:val="009756B6"/>
    <w:rsid w:val="00975EF7"/>
    <w:rsid w:val="00976A74"/>
    <w:rsid w:val="009774BE"/>
    <w:rsid w:val="00977A70"/>
    <w:rsid w:val="00980140"/>
    <w:rsid w:val="009801D6"/>
    <w:rsid w:val="009802D1"/>
    <w:rsid w:val="0098050A"/>
    <w:rsid w:val="00980592"/>
    <w:rsid w:val="009806B0"/>
    <w:rsid w:val="009807B8"/>
    <w:rsid w:val="00981E56"/>
    <w:rsid w:val="00982142"/>
    <w:rsid w:val="00982639"/>
    <w:rsid w:val="00982EEA"/>
    <w:rsid w:val="00982F82"/>
    <w:rsid w:val="009831E2"/>
    <w:rsid w:val="00983255"/>
    <w:rsid w:val="00983D12"/>
    <w:rsid w:val="00983E5F"/>
    <w:rsid w:val="00985051"/>
    <w:rsid w:val="00985C80"/>
    <w:rsid w:val="00985DA2"/>
    <w:rsid w:val="0098660C"/>
    <w:rsid w:val="00986765"/>
    <w:rsid w:val="009867E7"/>
    <w:rsid w:val="00987DF4"/>
    <w:rsid w:val="00987FDA"/>
    <w:rsid w:val="00990175"/>
    <w:rsid w:val="009919E9"/>
    <w:rsid w:val="00991ED6"/>
    <w:rsid w:val="009920A0"/>
    <w:rsid w:val="00992E8A"/>
    <w:rsid w:val="00992E8D"/>
    <w:rsid w:val="009937FD"/>
    <w:rsid w:val="00994F4D"/>
    <w:rsid w:val="0099582B"/>
    <w:rsid w:val="00995DAF"/>
    <w:rsid w:val="00995E94"/>
    <w:rsid w:val="00995FC3"/>
    <w:rsid w:val="00996AA6"/>
    <w:rsid w:val="00997230"/>
    <w:rsid w:val="009A0274"/>
    <w:rsid w:val="009A035E"/>
    <w:rsid w:val="009A0B9D"/>
    <w:rsid w:val="009A18AB"/>
    <w:rsid w:val="009A1C75"/>
    <w:rsid w:val="009A2D7C"/>
    <w:rsid w:val="009A30CD"/>
    <w:rsid w:val="009A30FE"/>
    <w:rsid w:val="009A4644"/>
    <w:rsid w:val="009A468E"/>
    <w:rsid w:val="009A48A4"/>
    <w:rsid w:val="009A4908"/>
    <w:rsid w:val="009A4A3E"/>
    <w:rsid w:val="009A6258"/>
    <w:rsid w:val="009A6B3A"/>
    <w:rsid w:val="009A7442"/>
    <w:rsid w:val="009A76F7"/>
    <w:rsid w:val="009B01CF"/>
    <w:rsid w:val="009B02DB"/>
    <w:rsid w:val="009B0A50"/>
    <w:rsid w:val="009B1DA0"/>
    <w:rsid w:val="009B1F5D"/>
    <w:rsid w:val="009B2407"/>
    <w:rsid w:val="009B3BEA"/>
    <w:rsid w:val="009B41BA"/>
    <w:rsid w:val="009B44F0"/>
    <w:rsid w:val="009B545D"/>
    <w:rsid w:val="009B5957"/>
    <w:rsid w:val="009B5C0B"/>
    <w:rsid w:val="009B6013"/>
    <w:rsid w:val="009B7273"/>
    <w:rsid w:val="009B7356"/>
    <w:rsid w:val="009B7FAC"/>
    <w:rsid w:val="009C0C99"/>
    <w:rsid w:val="009C1122"/>
    <w:rsid w:val="009C1840"/>
    <w:rsid w:val="009C1B99"/>
    <w:rsid w:val="009C1DC2"/>
    <w:rsid w:val="009C323A"/>
    <w:rsid w:val="009C3A70"/>
    <w:rsid w:val="009C3AE8"/>
    <w:rsid w:val="009C4087"/>
    <w:rsid w:val="009C4959"/>
    <w:rsid w:val="009C4CFF"/>
    <w:rsid w:val="009C5961"/>
    <w:rsid w:val="009C76A3"/>
    <w:rsid w:val="009C79E5"/>
    <w:rsid w:val="009C7ACB"/>
    <w:rsid w:val="009C7C85"/>
    <w:rsid w:val="009D03F6"/>
    <w:rsid w:val="009D1578"/>
    <w:rsid w:val="009D162D"/>
    <w:rsid w:val="009D485D"/>
    <w:rsid w:val="009D5416"/>
    <w:rsid w:val="009D6353"/>
    <w:rsid w:val="009D6CF0"/>
    <w:rsid w:val="009D6E22"/>
    <w:rsid w:val="009D75A9"/>
    <w:rsid w:val="009D7906"/>
    <w:rsid w:val="009E0A40"/>
    <w:rsid w:val="009E153F"/>
    <w:rsid w:val="009E19AE"/>
    <w:rsid w:val="009E1E60"/>
    <w:rsid w:val="009E1F86"/>
    <w:rsid w:val="009E3112"/>
    <w:rsid w:val="009E34B7"/>
    <w:rsid w:val="009E434B"/>
    <w:rsid w:val="009E480B"/>
    <w:rsid w:val="009E4C2E"/>
    <w:rsid w:val="009E5BAE"/>
    <w:rsid w:val="009E5BF5"/>
    <w:rsid w:val="009E5D18"/>
    <w:rsid w:val="009E5EC1"/>
    <w:rsid w:val="009E5F8E"/>
    <w:rsid w:val="009E648E"/>
    <w:rsid w:val="009E65CA"/>
    <w:rsid w:val="009E699D"/>
    <w:rsid w:val="009F1904"/>
    <w:rsid w:val="009F209E"/>
    <w:rsid w:val="009F2446"/>
    <w:rsid w:val="009F2450"/>
    <w:rsid w:val="009F259C"/>
    <w:rsid w:val="009F2BF4"/>
    <w:rsid w:val="009F2C12"/>
    <w:rsid w:val="009F2F47"/>
    <w:rsid w:val="009F385D"/>
    <w:rsid w:val="009F4B7F"/>
    <w:rsid w:val="009F555E"/>
    <w:rsid w:val="009F5C78"/>
    <w:rsid w:val="009F5E9D"/>
    <w:rsid w:val="009F5F56"/>
    <w:rsid w:val="009F697A"/>
    <w:rsid w:val="009F6DAC"/>
    <w:rsid w:val="009F7309"/>
    <w:rsid w:val="009F763F"/>
    <w:rsid w:val="009F7748"/>
    <w:rsid w:val="009F7802"/>
    <w:rsid w:val="009F791B"/>
    <w:rsid w:val="009F79D5"/>
    <w:rsid w:val="009F7D96"/>
    <w:rsid w:val="00A007E7"/>
    <w:rsid w:val="00A00F2E"/>
    <w:rsid w:val="00A01E64"/>
    <w:rsid w:val="00A02992"/>
    <w:rsid w:val="00A03470"/>
    <w:rsid w:val="00A035DE"/>
    <w:rsid w:val="00A035EA"/>
    <w:rsid w:val="00A04F59"/>
    <w:rsid w:val="00A05597"/>
    <w:rsid w:val="00A05B20"/>
    <w:rsid w:val="00A070DE"/>
    <w:rsid w:val="00A0718D"/>
    <w:rsid w:val="00A07468"/>
    <w:rsid w:val="00A0797A"/>
    <w:rsid w:val="00A07FED"/>
    <w:rsid w:val="00A105EC"/>
    <w:rsid w:val="00A10896"/>
    <w:rsid w:val="00A10C0A"/>
    <w:rsid w:val="00A10D95"/>
    <w:rsid w:val="00A11019"/>
    <w:rsid w:val="00A114E5"/>
    <w:rsid w:val="00A115CB"/>
    <w:rsid w:val="00A116B1"/>
    <w:rsid w:val="00A11A73"/>
    <w:rsid w:val="00A11A7E"/>
    <w:rsid w:val="00A11F1D"/>
    <w:rsid w:val="00A121D9"/>
    <w:rsid w:val="00A1253F"/>
    <w:rsid w:val="00A13C50"/>
    <w:rsid w:val="00A14331"/>
    <w:rsid w:val="00A145EB"/>
    <w:rsid w:val="00A14AB2"/>
    <w:rsid w:val="00A14AC9"/>
    <w:rsid w:val="00A159CA"/>
    <w:rsid w:val="00A175A7"/>
    <w:rsid w:val="00A17608"/>
    <w:rsid w:val="00A177D9"/>
    <w:rsid w:val="00A1787D"/>
    <w:rsid w:val="00A20573"/>
    <w:rsid w:val="00A207FA"/>
    <w:rsid w:val="00A20C94"/>
    <w:rsid w:val="00A21C4C"/>
    <w:rsid w:val="00A220B7"/>
    <w:rsid w:val="00A227D6"/>
    <w:rsid w:val="00A227E7"/>
    <w:rsid w:val="00A22A71"/>
    <w:rsid w:val="00A22D55"/>
    <w:rsid w:val="00A22F6E"/>
    <w:rsid w:val="00A239DB"/>
    <w:rsid w:val="00A24008"/>
    <w:rsid w:val="00A24078"/>
    <w:rsid w:val="00A2475E"/>
    <w:rsid w:val="00A258E0"/>
    <w:rsid w:val="00A25FCF"/>
    <w:rsid w:val="00A269B5"/>
    <w:rsid w:val="00A26A3F"/>
    <w:rsid w:val="00A2726D"/>
    <w:rsid w:val="00A30627"/>
    <w:rsid w:val="00A30B6C"/>
    <w:rsid w:val="00A31D99"/>
    <w:rsid w:val="00A31F37"/>
    <w:rsid w:val="00A3244C"/>
    <w:rsid w:val="00A32555"/>
    <w:rsid w:val="00A32E59"/>
    <w:rsid w:val="00A33017"/>
    <w:rsid w:val="00A333C1"/>
    <w:rsid w:val="00A33E4D"/>
    <w:rsid w:val="00A346EE"/>
    <w:rsid w:val="00A34995"/>
    <w:rsid w:val="00A34C32"/>
    <w:rsid w:val="00A34DDE"/>
    <w:rsid w:val="00A34EAB"/>
    <w:rsid w:val="00A350EA"/>
    <w:rsid w:val="00A3594F"/>
    <w:rsid w:val="00A35BF0"/>
    <w:rsid w:val="00A35D94"/>
    <w:rsid w:val="00A362F7"/>
    <w:rsid w:val="00A36940"/>
    <w:rsid w:val="00A36990"/>
    <w:rsid w:val="00A36EBD"/>
    <w:rsid w:val="00A37C51"/>
    <w:rsid w:val="00A40F98"/>
    <w:rsid w:val="00A42AD8"/>
    <w:rsid w:val="00A43813"/>
    <w:rsid w:val="00A43D47"/>
    <w:rsid w:val="00A44090"/>
    <w:rsid w:val="00A440A6"/>
    <w:rsid w:val="00A45B00"/>
    <w:rsid w:val="00A4618D"/>
    <w:rsid w:val="00A464E1"/>
    <w:rsid w:val="00A46C4E"/>
    <w:rsid w:val="00A46D95"/>
    <w:rsid w:val="00A46F53"/>
    <w:rsid w:val="00A47081"/>
    <w:rsid w:val="00A47480"/>
    <w:rsid w:val="00A47E8C"/>
    <w:rsid w:val="00A50F9A"/>
    <w:rsid w:val="00A51BC0"/>
    <w:rsid w:val="00A5298C"/>
    <w:rsid w:val="00A52AD0"/>
    <w:rsid w:val="00A53497"/>
    <w:rsid w:val="00A536CB"/>
    <w:rsid w:val="00A542F8"/>
    <w:rsid w:val="00A54524"/>
    <w:rsid w:val="00A55A47"/>
    <w:rsid w:val="00A574BF"/>
    <w:rsid w:val="00A5790F"/>
    <w:rsid w:val="00A579F8"/>
    <w:rsid w:val="00A605E1"/>
    <w:rsid w:val="00A60C15"/>
    <w:rsid w:val="00A6204A"/>
    <w:rsid w:val="00A62093"/>
    <w:rsid w:val="00A6310C"/>
    <w:rsid w:val="00A6316B"/>
    <w:rsid w:val="00A63679"/>
    <w:rsid w:val="00A63A8F"/>
    <w:rsid w:val="00A64389"/>
    <w:rsid w:val="00A64797"/>
    <w:rsid w:val="00A64817"/>
    <w:rsid w:val="00A66BE3"/>
    <w:rsid w:val="00A67F2A"/>
    <w:rsid w:val="00A70347"/>
    <w:rsid w:val="00A71CDE"/>
    <w:rsid w:val="00A7252E"/>
    <w:rsid w:val="00A72BBC"/>
    <w:rsid w:val="00A72E18"/>
    <w:rsid w:val="00A730F3"/>
    <w:rsid w:val="00A74BE6"/>
    <w:rsid w:val="00A754C4"/>
    <w:rsid w:val="00A7557C"/>
    <w:rsid w:val="00A758A4"/>
    <w:rsid w:val="00A75A61"/>
    <w:rsid w:val="00A75BA0"/>
    <w:rsid w:val="00A75FDF"/>
    <w:rsid w:val="00A768A2"/>
    <w:rsid w:val="00A76A55"/>
    <w:rsid w:val="00A773B4"/>
    <w:rsid w:val="00A80733"/>
    <w:rsid w:val="00A80948"/>
    <w:rsid w:val="00A81811"/>
    <w:rsid w:val="00A833A3"/>
    <w:rsid w:val="00A835E5"/>
    <w:rsid w:val="00A83768"/>
    <w:rsid w:val="00A84373"/>
    <w:rsid w:val="00A8456A"/>
    <w:rsid w:val="00A845ED"/>
    <w:rsid w:val="00A867C8"/>
    <w:rsid w:val="00A867CD"/>
    <w:rsid w:val="00A86F87"/>
    <w:rsid w:val="00A87161"/>
    <w:rsid w:val="00A874D6"/>
    <w:rsid w:val="00A87C01"/>
    <w:rsid w:val="00A902A7"/>
    <w:rsid w:val="00A90327"/>
    <w:rsid w:val="00A904AB"/>
    <w:rsid w:val="00A90DEF"/>
    <w:rsid w:val="00A91FE5"/>
    <w:rsid w:val="00A93154"/>
    <w:rsid w:val="00A93214"/>
    <w:rsid w:val="00A93ABB"/>
    <w:rsid w:val="00A93C27"/>
    <w:rsid w:val="00A93C2B"/>
    <w:rsid w:val="00A94D8C"/>
    <w:rsid w:val="00A96FC0"/>
    <w:rsid w:val="00A97BFA"/>
    <w:rsid w:val="00AA007C"/>
    <w:rsid w:val="00AA0B30"/>
    <w:rsid w:val="00AA25C9"/>
    <w:rsid w:val="00AA3676"/>
    <w:rsid w:val="00AA3726"/>
    <w:rsid w:val="00AA40AA"/>
    <w:rsid w:val="00AA4F09"/>
    <w:rsid w:val="00AA67F0"/>
    <w:rsid w:val="00AA7897"/>
    <w:rsid w:val="00AA7A72"/>
    <w:rsid w:val="00AA7DCE"/>
    <w:rsid w:val="00AA7F8C"/>
    <w:rsid w:val="00AA7FA5"/>
    <w:rsid w:val="00AB0725"/>
    <w:rsid w:val="00AB0807"/>
    <w:rsid w:val="00AB0FB2"/>
    <w:rsid w:val="00AB10E3"/>
    <w:rsid w:val="00AB18AB"/>
    <w:rsid w:val="00AB1FAD"/>
    <w:rsid w:val="00AB2AF8"/>
    <w:rsid w:val="00AB37FD"/>
    <w:rsid w:val="00AB41AF"/>
    <w:rsid w:val="00AB42BB"/>
    <w:rsid w:val="00AB4316"/>
    <w:rsid w:val="00AB4B6A"/>
    <w:rsid w:val="00AB502F"/>
    <w:rsid w:val="00AB50C3"/>
    <w:rsid w:val="00AB57D9"/>
    <w:rsid w:val="00AB6F61"/>
    <w:rsid w:val="00AB7601"/>
    <w:rsid w:val="00AB7957"/>
    <w:rsid w:val="00AB7A15"/>
    <w:rsid w:val="00AC0BD8"/>
    <w:rsid w:val="00AC1E53"/>
    <w:rsid w:val="00AC2F56"/>
    <w:rsid w:val="00AC42FA"/>
    <w:rsid w:val="00AC455C"/>
    <w:rsid w:val="00AC45CA"/>
    <w:rsid w:val="00AC4D66"/>
    <w:rsid w:val="00AC5C0E"/>
    <w:rsid w:val="00AC5FCE"/>
    <w:rsid w:val="00AC615E"/>
    <w:rsid w:val="00AC62B7"/>
    <w:rsid w:val="00AC6BDA"/>
    <w:rsid w:val="00AC6E20"/>
    <w:rsid w:val="00AC7A38"/>
    <w:rsid w:val="00AD0404"/>
    <w:rsid w:val="00AD07F1"/>
    <w:rsid w:val="00AD20E0"/>
    <w:rsid w:val="00AD2BE1"/>
    <w:rsid w:val="00AD3477"/>
    <w:rsid w:val="00AD3C49"/>
    <w:rsid w:val="00AD3D21"/>
    <w:rsid w:val="00AD68F8"/>
    <w:rsid w:val="00AD692B"/>
    <w:rsid w:val="00AE0B68"/>
    <w:rsid w:val="00AE0CA2"/>
    <w:rsid w:val="00AE10CD"/>
    <w:rsid w:val="00AE13BB"/>
    <w:rsid w:val="00AE1499"/>
    <w:rsid w:val="00AE2D0A"/>
    <w:rsid w:val="00AE3725"/>
    <w:rsid w:val="00AE448F"/>
    <w:rsid w:val="00AE4E58"/>
    <w:rsid w:val="00AE4F14"/>
    <w:rsid w:val="00AE5139"/>
    <w:rsid w:val="00AE54FA"/>
    <w:rsid w:val="00AE5C8B"/>
    <w:rsid w:val="00AE65CA"/>
    <w:rsid w:val="00AE6800"/>
    <w:rsid w:val="00AE6CDA"/>
    <w:rsid w:val="00AE72FC"/>
    <w:rsid w:val="00AE751E"/>
    <w:rsid w:val="00AF16A0"/>
    <w:rsid w:val="00AF239F"/>
    <w:rsid w:val="00AF23AA"/>
    <w:rsid w:val="00AF23C2"/>
    <w:rsid w:val="00AF3040"/>
    <w:rsid w:val="00AF31DB"/>
    <w:rsid w:val="00AF39BC"/>
    <w:rsid w:val="00AF44E0"/>
    <w:rsid w:val="00AF51E5"/>
    <w:rsid w:val="00AF52E7"/>
    <w:rsid w:val="00AF575D"/>
    <w:rsid w:val="00AF5D55"/>
    <w:rsid w:val="00AF605B"/>
    <w:rsid w:val="00AF62CE"/>
    <w:rsid w:val="00AF741B"/>
    <w:rsid w:val="00AF7453"/>
    <w:rsid w:val="00AF7C3D"/>
    <w:rsid w:val="00AF7E72"/>
    <w:rsid w:val="00B00C97"/>
    <w:rsid w:val="00B0115C"/>
    <w:rsid w:val="00B01F83"/>
    <w:rsid w:val="00B0338C"/>
    <w:rsid w:val="00B0396C"/>
    <w:rsid w:val="00B03F9B"/>
    <w:rsid w:val="00B0432F"/>
    <w:rsid w:val="00B043ED"/>
    <w:rsid w:val="00B054FF"/>
    <w:rsid w:val="00B05CB6"/>
    <w:rsid w:val="00B0633F"/>
    <w:rsid w:val="00B070A0"/>
    <w:rsid w:val="00B07CC0"/>
    <w:rsid w:val="00B102F5"/>
    <w:rsid w:val="00B103E9"/>
    <w:rsid w:val="00B11586"/>
    <w:rsid w:val="00B11E6D"/>
    <w:rsid w:val="00B11FA4"/>
    <w:rsid w:val="00B12242"/>
    <w:rsid w:val="00B1393B"/>
    <w:rsid w:val="00B140D2"/>
    <w:rsid w:val="00B1462C"/>
    <w:rsid w:val="00B14CD1"/>
    <w:rsid w:val="00B15491"/>
    <w:rsid w:val="00B1562F"/>
    <w:rsid w:val="00B16D0D"/>
    <w:rsid w:val="00B16D63"/>
    <w:rsid w:val="00B17629"/>
    <w:rsid w:val="00B2135F"/>
    <w:rsid w:val="00B21D6E"/>
    <w:rsid w:val="00B222B5"/>
    <w:rsid w:val="00B22C39"/>
    <w:rsid w:val="00B22D8C"/>
    <w:rsid w:val="00B22DE0"/>
    <w:rsid w:val="00B23D2D"/>
    <w:rsid w:val="00B24380"/>
    <w:rsid w:val="00B24FEA"/>
    <w:rsid w:val="00B2540B"/>
    <w:rsid w:val="00B258B5"/>
    <w:rsid w:val="00B25B94"/>
    <w:rsid w:val="00B25FE6"/>
    <w:rsid w:val="00B2603E"/>
    <w:rsid w:val="00B26397"/>
    <w:rsid w:val="00B26407"/>
    <w:rsid w:val="00B26CD6"/>
    <w:rsid w:val="00B27255"/>
    <w:rsid w:val="00B2749B"/>
    <w:rsid w:val="00B2763A"/>
    <w:rsid w:val="00B27A0A"/>
    <w:rsid w:val="00B30160"/>
    <w:rsid w:val="00B301E2"/>
    <w:rsid w:val="00B3068C"/>
    <w:rsid w:val="00B317DC"/>
    <w:rsid w:val="00B31A2F"/>
    <w:rsid w:val="00B31E48"/>
    <w:rsid w:val="00B327F4"/>
    <w:rsid w:val="00B32D08"/>
    <w:rsid w:val="00B32F4E"/>
    <w:rsid w:val="00B3322F"/>
    <w:rsid w:val="00B334B1"/>
    <w:rsid w:val="00B339CE"/>
    <w:rsid w:val="00B33E53"/>
    <w:rsid w:val="00B3426C"/>
    <w:rsid w:val="00B35631"/>
    <w:rsid w:val="00B3586B"/>
    <w:rsid w:val="00B3587C"/>
    <w:rsid w:val="00B35B04"/>
    <w:rsid w:val="00B36E10"/>
    <w:rsid w:val="00B36E89"/>
    <w:rsid w:val="00B37246"/>
    <w:rsid w:val="00B3733C"/>
    <w:rsid w:val="00B3775E"/>
    <w:rsid w:val="00B37810"/>
    <w:rsid w:val="00B37B94"/>
    <w:rsid w:val="00B37E95"/>
    <w:rsid w:val="00B4097F"/>
    <w:rsid w:val="00B410B3"/>
    <w:rsid w:val="00B4190C"/>
    <w:rsid w:val="00B41956"/>
    <w:rsid w:val="00B42A22"/>
    <w:rsid w:val="00B43539"/>
    <w:rsid w:val="00B45535"/>
    <w:rsid w:val="00B4553C"/>
    <w:rsid w:val="00B4572C"/>
    <w:rsid w:val="00B459C8"/>
    <w:rsid w:val="00B45BAB"/>
    <w:rsid w:val="00B46739"/>
    <w:rsid w:val="00B46975"/>
    <w:rsid w:val="00B472EC"/>
    <w:rsid w:val="00B518C6"/>
    <w:rsid w:val="00B52046"/>
    <w:rsid w:val="00B5259A"/>
    <w:rsid w:val="00B52CB1"/>
    <w:rsid w:val="00B53B6D"/>
    <w:rsid w:val="00B53C9A"/>
    <w:rsid w:val="00B53D31"/>
    <w:rsid w:val="00B54F0D"/>
    <w:rsid w:val="00B553DF"/>
    <w:rsid w:val="00B5563C"/>
    <w:rsid w:val="00B57D54"/>
    <w:rsid w:val="00B60946"/>
    <w:rsid w:val="00B609C3"/>
    <w:rsid w:val="00B609D4"/>
    <w:rsid w:val="00B60FB5"/>
    <w:rsid w:val="00B62014"/>
    <w:rsid w:val="00B629C9"/>
    <w:rsid w:val="00B63426"/>
    <w:rsid w:val="00B63656"/>
    <w:rsid w:val="00B63F21"/>
    <w:rsid w:val="00B63FB6"/>
    <w:rsid w:val="00B64086"/>
    <w:rsid w:val="00B64519"/>
    <w:rsid w:val="00B64541"/>
    <w:rsid w:val="00B6456D"/>
    <w:rsid w:val="00B64BD0"/>
    <w:rsid w:val="00B64DCA"/>
    <w:rsid w:val="00B64FCD"/>
    <w:rsid w:val="00B65C38"/>
    <w:rsid w:val="00B65CBD"/>
    <w:rsid w:val="00B667B1"/>
    <w:rsid w:val="00B66802"/>
    <w:rsid w:val="00B67453"/>
    <w:rsid w:val="00B675F7"/>
    <w:rsid w:val="00B677EA"/>
    <w:rsid w:val="00B67A78"/>
    <w:rsid w:val="00B7086A"/>
    <w:rsid w:val="00B70A5F"/>
    <w:rsid w:val="00B70C27"/>
    <w:rsid w:val="00B70E97"/>
    <w:rsid w:val="00B715DC"/>
    <w:rsid w:val="00B71ACD"/>
    <w:rsid w:val="00B722FE"/>
    <w:rsid w:val="00B729F1"/>
    <w:rsid w:val="00B7300C"/>
    <w:rsid w:val="00B73222"/>
    <w:rsid w:val="00B74D56"/>
    <w:rsid w:val="00B75CCA"/>
    <w:rsid w:val="00B768A7"/>
    <w:rsid w:val="00B76970"/>
    <w:rsid w:val="00B76F65"/>
    <w:rsid w:val="00B7738B"/>
    <w:rsid w:val="00B77E9E"/>
    <w:rsid w:val="00B80406"/>
    <w:rsid w:val="00B80A5E"/>
    <w:rsid w:val="00B80F1F"/>
    <w:rsid w:val="00B813C8"/>
    <w:rsid w:val="00B8146F"/>
    <w:rsid w:val="00B8167D"/>
    <w:rsid w:val="00B82C49"/>
    <w:rsid w:val="00B82D90"/>
    <w:rsid w:val="00B82FB4"/>
    <w:rsid w:val="00B83B69"/>
    <w:rsid w:val="00B83DFC"/>
    <w:rsid w:val="00B84439"/>
    <w:rsid w:val="00B8654A"/>
    <w:rsid w:val="00B86B7E"/>
    <w:rsid w:val="00B87DD5"/>
    <w:rsid w:val="00B90F96"/>
    <w:rsid w:val="00B9219F"/>
    <w:rsid w:val="00B926CB"/>
    <w:rsid w:val="00B933B2"/>
    <w:rsid w:val="00B936CB"/>
    <w:rsid w:val="00B93CAF"/>
    <w:rsid w:val="00B941B6"/>
    <w:rsid w:val="00B94A06"/>
    <w:rsid w:val="00B952E7"/>
    <w:rsid w:val="00B95B2F"/>
    <w:rsid w:val="00B95E21"/>
    <w:rsid w:val="00B97356"/>
    <w:rsid w:val="00B97A6D"/>
    <w:rsid w:val="00BA0391"/>
    <w:rsid w:val="00BA060B"/>
    <w:rsid w:val="00BA0D90"/>
    <w:rsid w:val="00BA0DCD"/>
    <w:rsid w:val="00BA22BB"/>
    <w:rsid w:val="00BA2423"/>
    <w:rsid w:val="00BA34B1"/>
    <w:rsid w:val="00BA382E"/>
    <w:rsid w:val="00BA3830"/>
    <w:rsid w:val="00BA41E7"/>
    <w:rsid w:val="00BA42E0"/>
    <w:rsid w:val="00BA5792"/>
    <w:rsid w:val="00BA7701"/>
    <w:rsid w:val="00BA7AF1"/>
    <w:rsid w:val="00BA7BAB"/>
    <w:rsid w:val="00BA7C02"/>
    <w:rsid w:val="00BA7C73"/>
    <w:rsid w:val="00BB00C3"/>
    <w:rsid w:val="00BB01F3"/>
    <w:rsid w:val="00BB0741"/>
    <w:rsid w:val="00BB17AD"/>
    <w:rsid w:val="00BB292D"/>
    <w:rsid w:val="00BB300F"/>
    <w:rsid w:val="00BB369B"/>
    <w:rsid w:val="00BB3919"/>
    <w:rsid w:val="00BB3A56"/>
    <w:rsid w:val="00BB3E2E"/>
    <w:rsid w:val="00BB49CB"/>
    <w:rsid w:val="00BB4CAE"/>
    <w:rsid w:val="00BB67F1"/>
    <w:rsid w:val="00BB6A14"/>
    <w:rsid w:val="00BB79C2"/>
    <w:rsid w:val="00BB7F0F"/>
    <w:rsid w:val="00BC0EC7"/>
    <w:rsid w:val="00BC1722"/>
    <w:rsid w:val="00BC194A"/>
    <w:rsid w:val="00BC2214"/>
    <w:rsid w:val="00BC2825"/>
    <w:rsid w:val="00BC2E96"/>
    <w:rsid w:val="00BC365F"/>
    <w:rsid w:val="00BC3A31"/>
    <w:rsid w:val="00BC406F"/>
    <w:rsid w:val="00BC4C88"/>
    <w:rsid w:val="00BC59CA"/>
    <w:rsid w:val="00BC6970"/>
    <w:rsid w:val="00BC6BA8"/>
    <w:rsid w:val="00BC6D81"/>
    <w:rsid w:val="00BC6F87"/>
    <w:rsid w:val="00BC734E"/>
    <w:rsid w:val="00BC7713"/>
    <w:rsid w:val="00BC7C93"/>
    <w:rsid w:val="00BD0286"/>
    <w:rsid w:val="00BD0A29"/>
    <w:rsid w:val="00BD1B3F"/>
    <w:rsid w:val="00BD33A9"/>
    <w:rsid w:val="00BD33BE"/>
    <w:rsid w:val="00BD3792"/>
    <w:rsid w:val="00BD3C72"/>
    <w:rsid w:val="00BD4E12"/>
    <w:rsid w:val="00BD56F8"/>
    <w:rsid w:val="00BD5D4E"/>
    <w:rsid w:val="00BD5F7E"/>
    <w:rsid w:val="00BD7991"/>
    <w:rsid w:val="00BD7E30"/>
    <w:rsid w:val="00BE0BDD"/>
    <w:rsid w:val="00BE21E3"/>
    <w:rsid w:val="00BE305B"/>
    <w:rsid w:val="00BE5C9E"/>
    <w:rsid w:val="00BE5F4E"/>
    <w:rsid w:val="00BE618A"/>
    <w:rsid w:val="00BE62B2"/>
    <w:rsid w:val="00BE6350"/>
    <w:rsid w:val="00BE67F1"/>
    <w:rsid w:val="00BE7287"/>
    <w:rsid w:val="00BE7C93"/>
    <w:rsid w:val="00BF0362"/>
    <w:rsid w:val="00BF0479"/>
    <w:rsid w:val="00BF0D73"/>
    <w:rsid w:val="00BF1069"/>
    <w:rsid w:val="00BF1A87"/>
    <w:rsid w:val="00BF1D23"/>
    <w:rsid w:val="00BF1F82"/>
    <w:rsid w:val="00BF2520"/>
    <w:rsid w:val="00BF3470"/>
    <w:rsid w:val="00BF3B94"/>
    <w:rsid w:val="00BF3FF8"/>
    <w:rsid w:val="00BF4C53"/>
    <w:rsid w:val="00BF54DC"/>
    <w:rsid w:val="00BF5748"/>
    <w:rsid w:val="00BF6270"/>
    <w:rsid w:val="00BF67B7"/>
    <w:rsid w:val="00BF770B"/>
    <w:rsid w:val="00BF7802"/>
    <w:rsid w:val="00C01510"/>
    <w:rsid w:val="00C01CEB"/>
    <w:rsid w:val="00C01F6E"/>
    <w:rsid w:val="00C03249"/>
    <w:rsid w:val="00C036F7"/>
    <w:rsid w:val="00C03978"/>
    <w:rsid w:val="00C04BAE"/>
    <w:rsid w:val="00C05362"/>
    <w:rsid w:val="00C05537"/>
    <w:rsid w:val="00C05896"/>
    <w:rsid w:val="00C0599A"/>
    <w:rsid w:val="00C06C42"/>
    <w:rsid w:val="00C06EB2"/>
    <w:rsid w:val="00C073DA"/>
    <w:rsid w:val="00C079DB"/>
    <w:rsid w:val="00C07C15"/>
    <w:rsid w:val="00C10B9B"/>
    <w:rsid w:val="00C10C30"/>
    <w:rsid w:val="00C1104C"/>
    <w:rsid w:val="00C11577"/>
    <w:rsid w:val="00C11DC5"/>
    <w:rsid w:val="00C11F13"/>
    <w:rsid w:val="00C11F39"/>
    <w:rsid w:val="00C11F55"/>
    <w:rsid w:val="00C12249"/>
    <w:rsid w:val="00C1250E"/>
    <w:rsid w:val="00C138E7"/>
    <w:rsid w:val="00C139A1"/>
    <w:rsid w:val="00C1448C"/>
    <w:rsid w:val="00C14D7A"/>
    <w:rsid w:val="00C16490"/>
    <w:rsid w:val="00C17059"/>
    <w:rsid w:val="00C17174"/>
    <w:rsid w:val="00C171C5"/>
    <w:rsid w:val="00C17B44"/>
    <w:rsid w:val="00C17F63"/>
    <w:rsid w:val="00C2041C"/>
    <w:rsid w:val="00C20869"/>
    <w:rsid w:val="00C20DC6"/>
    <w:rsid w:val="00C2113D"/>
    <w:rsid w:val="00C215D1"/>
    <w:rsid w:val="00C21AE1"/>
    <w:rsid w:val="00C223D1"/>
    <w:rsid w:val="00C227C6"/>
    <w:rsid w:val="00C230F6"/>
    <w:rsid w:val="00C23686"/>
    <w:rsid w:val="00C23F8A"/>
    <w:rsid w:val="00C244B3"/>
    <w:rsid w:val="00C24B05"/>
    <w:rsid w:val="00C25052"/>
    <w:rsid w:val="00C25D31"/>
    <w:rsid w:val="00C262C1"/>
    <w:rsid w:val="00C265D0"/>
    <w:rsid w:val="00C26FE5"/>
    <w:rsid w:val="00C3022B"/>
    <w:rsid w:val="00C30723"/>
    <w:rsid w:val="00C3137D"/>
    <w:rsid w:val="00C31756"/>
    <w:rsid w:val="00C31F7F"/>
    <w:rsid w:val="00C32186"/>
    <w:rsid w:val="00C335AE"/>
    <w:rsid w:val="00C3427B"/>
    <w:rsid w:val="00C34E1F"/>
    <w:rsid w:val="00C35C70"/>
    <w:rsid w:val="00C35E26"/>
    <w:rsid w:val="00C3626A"/>
    <w:rsid w:val="00C36684"/>
    <w:rsid w:val="00C36DCC"/>
    <w:rsid w:val="00C36F0A"/>
    <w:rsid w:val="00C36F4F"/>
    <w:rsid w:val="00C372CB"/>
    <w:rsid w:val="00C4067A"/>
    <w:rsid w:val="00C41480"/>
    <w:rsid w:val="00C44052"/>
    <w:rsid w:val="00C44368"/>
    <w:rsid w:val="00C46111"/>
    <w:rsid w:val="00C46822"/>
    <w:rsid w:val="00C46CE5"/>
    <w:rsid w:val="00C4706F"/>
    <w:rsid w:val="00C47CFC"/>
    <w:rsid w:val="00C50260"/>
    <w:rsid w:val="00C51395"/>
    <w:rsid w:val="00C51553"/>
    <w:rsid w:val="00C518A5"/>
    <w:rsid w:val="00C51A60"/>
    <w:rsid w:val="00C520E4"/>
    <w:rsid w:val="00C52334"/>
    <w:rsid w:val="00C5261F"/>
    <w:rsid w:val="00C52C65"/>
    <w:rsid w:val="00C53110"/>
    <w:rsid w:val="00C53B12"/>
    <w:rsid w:val="00C5406E"/>
    <w:rsid w:val="00C541B2"/>
    <w:rsid w:val="00C54928"/>
    <w:rsid w:val="00C54A44"/>
    <w:rsid w:val="00C54E2A"/>
    <w:rsid w:val="00C5661F"/>
    <w:rsid w:val="00C57085"/>
    <w:rsid w:val="00C575AF"/>
    <w:rsid w:val="00C576FC"/>
    <w:rsid w:val="00C60361"/>
    <w:rsid w:val="00C60738"/>
    <w:rsid w:val="00C608D7"/>
    <w:rsid w:val="00C60D9F"/>
    <w:rsid w:val="00C620BA"/>
    <w:rsid w:val="00C627C5"/>
    <w:rsid w:val="00C6395F"/>
    <w:rsid w:val="00C63C3D"/>
    <w:rsid w:val="00C644BF"/>
    <w:rsid w:val="00C65163"/>
    <w:rsid w:val="00C65B6B"/>
    <w:rsid w:val="00C66492"/>
    <w:rsid w:val="00C664AB"/>
    <w:rsid w:val="00C66584"/>
    <w:rsid w:val="00C66705"/>
    <w:rsid w:val="00C67754"/>
    <w:rsid w:val="00C70254"/>
    <w:rsid w:val="00C703C0"/>
    <w:rsid w:val="00C706D1"/>
    <w:rsid w:val="00C70FAE"/>
    <w:rsid w:val="00C71284"/>
    <w:rsid w:val="00C719C3"/>
    <w:rsid w:val="00C72DD5"/>
    <w:rsid w:val="00C733A6"/>
    <w:rsid w:val="00C737B0"/>
    <w:rsid w:val="00C73D39"/>
    <w:rsid w:val="00C7675A"/>
    <w:rsid w:val="00C76E9D"/>
    <w:rsid w:val="00C816DF"/>
    <w:rsid w:val="00C820EE"/>
    <w:rsid w:val="00C82CD4"/>
    <w:rsid w:val="00C84475"/>
    <w:rsid w:val="00C84713"/>
    <w:rsid w:val="00C84758"/>
    <w:rsid w:val="00C853AB"/>
    <w:rsid w:val="00C85F72"/>
    <w:rsid w:val="00C86896"/>
    <w:rsid w:val="00C876E1"/>
    <w:rsid w:val="00C90162"/>
    <w:rsid w:val="00C908A9"/>
    <w:rsid w:val="00C908BE"/>
    <w:rsid w:val="00C91507"/>
    <w:rsid w:val="00C929E1"/>
    <w:rsid w:val="00C92F67"/>
    <w:rsid w:val="00C940C2"/>
    <w:rsid w:val="00C952E9"/>
    <w:rsid w:val="00C95AC8"/>
    <w:rsid w:val="00C95E95"/>
    <w:rsid w:val="00C9639C"/>
    <w:rsid w:val="00C9760B"/>
    <w:rsid w:val="00C976E0"/>
    <w:rsid w:val="00C9796B"/>
    <w:rsid w:val="00C97C19"/>
    <w:rsid w:val="00CA0174"/>
    <w:rsid w:val="00CA018B"/>
    <w:rsid w:val="00CA05EE"/>
    <w:rsid w:val="00CA0C53"/>
    <w:rsid w:val="00CA1AE4"/>
    <w:rsid w:val="00CA1E0C"/>
    <w:rsid w:val="00CA1FA7"/>
    <w:rsid w:val="00CA20E3"/>
    <w:rsid w:val="00CA245C"/>
    <w:rsid w:val="00CA26EC"/>
    <w:rsid w:val="00CA423D"/>
    <w:rsid w:val="00CA5AF9"/>
    <w:rsid w:val="00CA5D0C"/>
    <w:rsid w:val="00CA5E13"/>
    <w:rsid w:val="00CA625D"/>
    <w:rsid w:val="00CA69FF"/>
    <w:rsid w:val="00CA6F73"/>
    <w:rsid w:val="00CA7A1F"/>
    <w:rsid w:val="00CA7DAF"/>
    <w:rsid w:val="00CB017E"/>
    <w:rsid w:val="00CB0226"/>
    <w:rsid w:val="00CB0717"/>
    <w:rsid w:val="00CB0A65"/>
    <w:rsid w:val="00CB0FDE"/>
    <w:rsid w:val="00CB1177"/>
    <w:rsid w:val="00CB1618"/>
    <w:rsid w:val="00CB1A88"/>
    <w:rsid w:val="00CB277F"/>
    <w:rsid w:val="00CB2809"/>
    <w:rsid w:val="00CB328B"/>
    <w:rsid w:val="00CB3318"/>
    <w:rsid w:val="00CB3628"/>
    <w:rsid w:val="00CB407C"/>
    <w:rsid w:val="00CB46B4"/>
    <w:rsid w:val="00CB4940"/>
    <w:rsid w:val="00CB5D5B"/>
    <w:rsid w:val="00CB6E94"/>
    <w:rsid w:val="00CB7060"/>
    <w:rsid w:val="00CB763C"/>
    <w:rsid w:val="00CB77F2"/>
    <w:rsid w:val="00CB7DD6"/>
    <w:rsid w:val="00CC0438"/>
    <w:rsid w:val="00CC0563"/>
    <w:rsid w:val="00CC0C66"/>
    <w:rsid w:val="00CC140D"/>
    <w:rsid w:val="00CC1E56"/>
    <w:rsid w:val="00CC2270"/>
    <w:rsid w:val="00CC3277"/>
    <w:rsid w:val="00CC385B"/>
    <w:rsid w:val="00CC4207"/>
    <w:rsid w:val="00CC51BD"/>
    <w:rsid w:val="00CC5222"/>
    <w:rsid w:val="00CC5775"/>
    <w:rsid w:val="00CC62CD"/>
    <w:rsid w:val="00CC6C6A"/>
    <w:rsid w:val="00CC6F07"/>
    <w:rsid w:val="00CC7881"/>
    <w:rsid w:val="00CC7971"/>
    <w:rsid w:val="00CD0422"/>
    <w:rsid w:val="00CD083E"/>
    <w:rsid w:val="00CD0982"/>
    <w:rsid w:val="00CD0FFA"/>
    <w:rsid w:val="00CD124B"/>
    <w:rsid w:val="00CD19CF"/>
    <w:rsid w:val="00CD2987"/>
    <w:rsid w:val="00CD2A22"/>
    <w:rsid w:val="00CD2A3D"/>
    <w:rsid w:val="00CD2EE0"/>
    <w:rsid w:val="00CD3DD5"/>
    <w:rsid w:val="00CD400D"/>
    <w:rsid w:val="00CD40C7"/>
    <w:rsid w:val="00CD4F38"/>
    <w:rsid w:val="00CD5885"/>
    <w:rsid w:val="00CD5D11"/>
    <w:rsid w:val="00CD63D3"/>
    <w:rsid w:val="00CD6924"/>
    <w:rsid w:val="00CD7055"/>
    <w:rsid w:val="00CD7340"/>
    <w:rsid w:val="00CD73E8"/>
    <w:rsid w:val="00CE06B1"/>
    <w:rsid w:val="00CE0944"/>
    <w:rsid w:val="00CE0A76"/>
    <w:rsid w:val="00CE2362"/>
    <w:rsid w:val="00CE3120"/>
    <w:rsid w:val="00CE3C60"/>
    <w:rsid w:val="00CE42DB"/>
    <w:rsid w:val="00CE4C6F"/>
    <w:rsid w:val="00CE52CC"/>
    <w:rsid w:val="00CE53F4"/>
    <w:rsid w:val="00CE5510"/>
    <w:rsid w:val="00CE5B5C"/>
    <w:rsid w:val="00CE5B69"/>
    <w:rsid w:val="00CE5CA9"/>
    <w:rsid w:val="00CE6071"/>
    <w:rsid w:val="00CE66E3"/>
    <w:rsid w:val="00CE793F"/>
    <w:rsid w:val="00CE7E6F"/>
    <w:rsid w:val="00CF15DD"/>
    <w:rsid w:val="00CF223D"/>
    <w:rsid w:val="00CF2703"/>
    <w:rsid w:val="00CF2824"/>
    <w:rsid w:val="00CF3526"/>
    <w:rsid w:val="00CF3A33"/>
    <w:rsid w:val="00CF3C7D"/>
    <w:rsid w:val="00CF4388"/>
    <w:rsid w:val="00CF45BF"/>
    <w:rsid w:val="00CF51C1"/>
    <w:rsid w:val="00CF5B47"/>
    <w:rsid w:val="00CF5B54"/>
    <w:rsid w:val="00CF5EE3"/>
    <w:rsid w:val="00CF6C01"/>
    <w:rsid w:val="00CF7105"/>
    <w:rsid w:val="00CF7271"/>
    <w:rsid w:val="00CF7305"/>
    <w:rsid w:val="00D005E0"/>
    <w:rsid w:val="00D00AD1"/>
    <w:rsid w:val="00D012FF"/>
    <w:rsid w:val="00D0157B"/>
    <w:rsid w:val="00D01CC4"/>
    <w:rsid w:val="00D01E6B"/>
    <w:rsid w:val="00D0354D"/>
    <w:rsid w:val="00D0497C"/>
    <w:rsid w:val="00D04F45"/>
    <w:rsid w:val="00D04FAA"/>
    <w:rsid w:val="00D0548B"/>
    <w:rsid w:val="00D05AEE"/>
    <w:rsid w:val="00D05D6E"/>
    <w:rsid w:val="00D0648D"/>
    <w:rsid w:val="00D06EB9"/>
    <w:rsid w:val="00D1153F"/>
    <w:rsid w:val="00D11995"/>
    <w:rsid w:val="00D11CFD"/>
    <w:rsid w:val="00D12432"/>
    <w:rsid w:val="00D12AD9"/>
    <w:rsid w:val="00D13808"/>
    <w:rsid w:val="00D146FE"/>
    <w:rsid w:val="00D1581E"/>
    <w:rsid w:val="00D15D19"/>
    <w:rsid w:val="00D15D93"/>
    <w:rsid w:val="00D15DA1"/>
    <w:rsid w:val="00D15EEC"/>
    <w:rsid w:val="00D1635E"/>
    <w:rsid w:val="00D16380"/>
    <w:rsid w:val="00D163FF"/>
    <w:rsid w:val="00D166B5"/>
    <w:rsid w:val="00D167D0"/>
    <w:rsid w:val="00D16E87"/>
    <w:rsid w:val="00D17335"/>
    <w:rsid w:val="00D2079E"/>
    <w:rsid w:val="00D21356"/>
    <w:rsid w:val="00D216EE"/>
    <w:rsid w:val="00D220B5"/>
    <w:rsid w:val="00D230C1"/>
    <w:rsid w:val="00D232D8"/>
    <w:rsid w:val="00D233CD"/>
    <w:rsid w:val="00D23500"/>
    <w:rsid w:val="00D23AD3"/>
    <w:rsid w:val="00D23FC0"/>
    <w:rsid w:val="00D23FCE"/>
    <w:rsid w:val="00D2401D"/>
    <w:rsid w:val="00D24364"/>
    <w:rsid w:val="00D2469E"/>
    <w:rsid w:val="00D2649E"/>
    <w:rsid w:val="00D27300"/>
    <w:rsid w:val="00D27875"/>
    <w:rsid w:val="00D307FD"/>
    <w:rsid w:val="00D30A3B"/>
    <w:rsid w:val="00D31E2D"/>
    <w:rsid w:val="00D321E8"/>
    <w:rsid w:val="00D328E1"/>
    <w:rsid w:val="00D329D8"/>
    <w:rsid w:val="00D32E01"/>
    <w:rsid w:val="00D33975"/>
    <w:rsid w:val="00D33A8C"/>
    <w:rsid w:val="00D3523D"/>
    <w:rsid w:val="00D35597"/>
    <w:rsid w:val="00D35689"/>
    <w:rsid w:val="00D35E06"/>
    <w:rsid w:val="00D365FA"/>
    <w:rsid w:val="00D369BC"/>
    <w:rsid w:val="00D37093"/>
    <w:rsid w:val="00D40425"/>
    <w:rsid w:val="00D40BC3"/>
    <w:rsid w:val="00D40D6B"/>
    <w:rsid w:val="00D4129E"/>
    <w:rsid w:val="00D418A3"/>
    <w:rsid w:val="00D41AB6"/>
    <w:rsid w:val="00D42946"/>
    <w:rsid w:val="00D42DEC"/>
    <w:rsid w:val="00D43984"/>
    <w:rsid w:val="00D4459D"/>
    <w:rsid w:val="00D45A14"/>
    <w:rsid w:val="00D46BE9"/>
    <w:rsid w:val="00D46FA2"/>
    <w:rsid w:val="00D47451"/>
    <w:rsid w:val="00D47947"/>
    <w:rsid w:val="00D50053"/>
    <w:rsid w:val="00D504FA"/>
    <w:rsid w:val="00D50F10"/>
    <w:rsid w:val="00D50F83"/>
    <w:rsid w:val="00D512D8"/>
    <w:rsid w:val="00D51610"/>
    <w:rsid w:val="00D516DF"/>
    <w:rsid w:val="00D51C73"/>
    <w:rsid w:val="00D51E13"/>
    <w:rsid w:val="00D51F07"/>
    <w:rsid w:val="00D51F15"/>
    <w:rsid w:val="00D52146"/>
    <w:rsid w:val="00D524AF"/>
    <w:rsid w:val="00D52A8A"/>
    <w:rsid w:val="00D52C43"/>
    <w:rsid w:val="00D5329D"/>
    <w:rsid w:val="00D533FE"/>
    <w:rsid w:val="00D534C8"/>
    <w:rsid w:val="00D54B1D"/>
    <w:rsid w:val="00D5509F"/>
    <w:rsid w:val="00D55425"/>
    <w:rsid w:val="00D5578A"/>
    <w:rsid w:val="00D5616C"/>
    <w:rsid w:val="00D56C00"/>
    <w:rsid w:val="00D57082"/>
    <w:rsid w:val="00D577BB"/>
    <w:rsid w:val="00D57B91"/>
    <w:rsid w:val="00D62320"/>
    <w:rsid w:val="00D6248B"/>
    <w:rsid w:val="00D62B5D"/>
    <w:rsid w:val="00D63379"/>
    <w:rsid w:val="00D635B1"/>
    <w:rsid w:val="00D639C5"/>
    <w:rsid w:val="00D63DB5"/>
    <w:rsid w:val="00D63E14"/>
    <w:rsid w:val="00D64155"/>
    <w:rsid w:val="00D649A1"/>
    <w:rsid w:val="00D64BEA"/>
    <w:rsid w:val="00D65C02"/>
    <w:rsid w:val="00D65CC7"/>
    <w:rsid w:val="00D661D2"/>
    <w:rsid w:val="00D66410"/>
    <w:rsid w:val="00D66550"/>
    <w:rsid w:val="00D66648"/>
    <w:rsid w:val="00D66FDA"/>
    <w:rsid w:val="00D67292"/>
    <w:rsid w:val="00D67956"/>
    <w:rsid w:val="00D70C38"/>
    <w:rsid w:val="00D710E5"/>
    <w:rsid w:val="00D71197"/>
    <w:rsid w:val="00D7178C"/>
    <w:rsid w:val="00D72008"/>
    <w:rsid w:val="00D72192"/>
    <w:rsid w:val="00D72D32"/>
    <w:rsid w:val="00D731D1"/>
    <w:rsid w:val="00D73645"/>
    <w:rsid w:val="00D73AC1"/>
    <w:rsid w:val="00D73BD2"/>
    <w:rsid w:val="00D73FC4"/>
    <w:rsid w:val="00D73FE8"/>
    <w:rsid w:val="00D74538"/>
    <w:rsid w:val="00D749A0"/>
    <w:rsid w:val="00D749CB"/>
    <w:rsid w:val="00D74C9E"/>
    <w:rsid w:val="00D75F19"/>
    <w:rsid w:val="00D767AE"/>
    <w:rsid w:val="00D77AD8"/>
    <w:rsid w:val="00D80605"/>
    <w:rsid w:val="00D80973"/>
    <w:rsid w:val="00D80BD8"/>
    <w:rsid w:val="00D82A2B"/>
    <w:rsid w:val="00D8301D"/>
    <w:rsid w:val="00D8473E"/>
    <w:rsid w:val="00D86255"/>
    <w:rsid w:val="00D863D1"/>
    <w:rsid w:val="00D872B7"/>
    <w:rsid w:val="00D87DCF"/>
    <w:rsid w:val="00D87F5B"/>
    <w:rsid w:val="00D90125"/>
    <w:rsid w:val="00D9057B"/>
    <w:rsid w:val="00D9096B"/>
    <w:rsid w:val="00D90ED1"/>
    <w:rsid w:val="00D91C34"/>
    <w:rsid w:val="00D925C5"/>
    <w:rsid w:val="00D9279F"/>
    <w:rsid w:val="00D935AB"/>
    <w:rsid w:val="00D94E4C"/>
    <w:rsid w:val="00D95709"/>
    <w:rsid w:val="00D958D7"/>
    <w:rsid w:val="00D96083"/>
    <w:rsid w:val="00D96B2B"/>
    <w:rsid w:val="00D96D46"/>
    <w:rsid w:val="00D97B72"/>
    <w:rsid w:val="00D97CF6"/>
    <w:rsid w:val="00DA0BBE"/>
    <w:rsid w:val="00DA11AE"/>
    <w:rsid w:val="00DA16E5"/>
    <w:rsid w:val="00DA1BE9"/>
    <w:rsid w:val="00DA1DAA"/>
    <w:rsid w:val="00DA283D"/>
    <w:rsid w:val="00DA3E12"/>
    <w:rsid w:val="00DA4141"/>
    <w:rsid w:val="00DA417B"/>
    <w:rsid w:val="00DA45BD"/>
    <w:rsid w:val="00DA5000"/>
    <w:rsid w:val="00DA52EB"/>
    <w:rsid w:val="00DA5CD6"/>
    <w:rsid w:val="00DA6868"/>
    <w:rsid w:val="00DA7044"/>
    <w:rsid w:val="00DB0312"/>
    <w:rsid w:val="00DB115A"/>
    <w:rsid w:val="00DB31DB"/>
    <w:rsid w:val="00DB3213"/>
    <w:rsid w:val="00DB387C"/>
    <w:rsid w:val="00DB42F5"/>
    <w:rsid w:val="00DB43F8"/>
    <w:rsid w:val="00DB46DA"/>
    <w:rsid w:val="00DB5A7F"/>
    <w:rsid w:val="00DB640B"/>
    <w:rsid w:val="00DB656B"/>
    <w:rsid w:val="00DB6A23"/>
    <w:rsid w:val="00DB75BE"/>
    <w:rsid w:val="00DB7D6B"/>
    <w:rsid w:val="00DC00C2"/>
    <w:rsid w:val="00DC01DD"/>
    <w:rsid w:val="00DC29D6"/>
    <w:rsid w:val="00DC2DA2"/>
    <w:rsid w:val="00DC2F60"/>
    <w:rsid w:val="00DC3FB4"/>
    <w:rsid w:val="00DC430F"/>
    <w:rsid w:val="00DC43B0"/>
    <w:rsid w:val="00DC478C"/>
    <w:rsid w:val="00DC47BF"/>
    <w:rsid w:val="00DC4CEC"/>
    <w:rsid w:val="00DC5F0A"/>
    <w:rsid w:val="00DC6348"/>
    <w:rsid w:val="00DC6447"/>
    <w:rsid w:val="00DC6F43"/>
    <w:rsid w:val="00DD086B"/>
    <w:rsid w:val="00DD0C80"/>
    <w:rsid w:val="00DD145B"/>
    <w:rsid w:val="00DD2409"/>
    <w:rsid w:val="00DD2798"/>
    <w:rsid w:val="00DD2A6B"/>
    <w:rsid w:val="00DD3A79"/>
    <w:rsid w:val="00DD4174"/>
    <w:rsid w:val="00DD418A"/>
    <w:rsid w:val="00DD452E"/>
    <w:rsid w:val="00DD4929"/>
    <w:rsid w:val="00DD6998"/>
    <w:rsid w:val="00DD7C32"/>
    <w:rsid w:val="00DE00A7"/>
    <w:rsid w:val="00DE0A7D"/>
    <w:rsid w:val="00DE0DC9"/>
    <w:rsid w:val="00DE12EF"/>
    <w:rsid w:val="00DE19AA"/>
    <w:rsid w:val="00DE1BFE"/>
    <w:rsid w:val="00DE367F"/>
    <w:rsid w:val="00DE3E2A"/>
    <w:rsid w:val="00DE4973"/>
    <w:rsid w:val="00DE5469"/>
    <w:rsid w:val="00DE54CA"/>
    <w:rsid w:val="00DE5D83"/>
    <w:rsid w:val="00DE704F"/>
    <w:rsid w:val="00DE7DBA"/>
    <w:rsid w:val="00DE7FB5"/>
    <w:rsid w:val="00DF0953"/>
    <w:rsid w:val="00DF354D"/>
    <w:rsid w:val="00DF3B05"/>
    <w:rsid w:val="00DF44BC"/>
    <w:rsid w:val="00DF46D2"/>
    <w:rsid w:val="00DF5209"/>
    <w:rsid w:val="00DF5300"/>
    <w:rsid w:val="00DF6443"/>
    <w:rsid w:val="00DF649D"/>
    <w:rsid w:val="00DF64D4"/>
    <w:rsid w:val="00E00733"/>
    <w:rsid w:val="00E00948"/>
    <w:rsid w:val="00E00C13"/>
    <w:rsid w:val="00E00C41"/>
    <w:rsid w:val="00E01D40"/>
    <w:rsid w:val="00E024F6"/>
    <w:rsid w:val="00E0287E"/>
    <w:rsid w:val="00E02D84"/>
    <w:rsid w:val="00E037FD"/>
    <w:rsid w:val="00E04271"/>
    <w:rsid w:val="00E053BA"/>
    <w:rsid w:val="00E0562D"/>
    <w:rsid w:val="00E05C05"/>
    <w:rsid w:val="00E0606D"/>
    <w:rsid w:val="00E06510"/>
    <w:rsid w:val="00E072B0"/>
    <w:rsid w:val="00E07C90"/>
    <w:rsid w:val="00E111E7"/>
    <w:rsid w:val="00E111F8"/>
    <w:rsid w:val="00E11DB5"/>
    <w:rsid w:val="00E12041"/>
    <w:rsid w:val="00E12618"/>
    <w:rsid w:val="00E129DF"/>
    <w:rsid w:val="00E12B5D"/>
    <w:rsid w:val="00E12C2E"/>
    <w:rsid w:val="00E13435"/>
    <w:rsid w:val="00E13F23"/>
    <w:rsid w:val="00E143D4"/>
    <w:rsid w:val="00E14773"/>
    <w:rsid w:val="00E1521D"/>
    <w:rsid w:val="00E154D2"/>
    <w:rsid w:val="00E155E5"/>
    <w:rsid w:val="00E16C08"/>
    <w:rsid w:val="00E16E19"/>
    <w:rsid w:val="00E1769F"/>
    <w:rsid w:val="00E17930"/>
    <w:rsid w:val="00E20164"/>
    <w:rsid w:val="00E21AA6"/>
    <w:rsid w:val="00E223DC"/>
    <w:rsid w:val="00E2304B"/>
    <w:rsid w:val="00E2320D"/>
    <w:rsid w:val="00E23447"/>
    <w:rsid w:val="00E23F6C"/>
    <w:rsid w:val="00E23FBF"/>
    <w:rsid w:val="00E24A35"/>
    <w:rsid w:val="00E24B61"/>
    <w:rsid w:val="00E24E2E"/>
    <w:rsid w:val="00E2523E"/>
    <w:rsid w:val="00E25549"/>
    <w:rsid w:val="00E2575D"/>
    <w:rsid w:val="00E25ECA"/>
    <w:rsid w:val="00E264B9"/>
    <w:rsid w:val="00E26859"/>
    <w:rsid w:val="00E26E41"/>
    <w:rsid w:val="00E274C1"/>
    <w:rsid w:val="00E30920"/>
    <w:rsid w:val="00E309C7"/>
    <w:rsid w:val="00E30A90"/>
    <w:rsid w:val="00E30D47"/>
    <w:rsid w:val="00E30F4F"/>
    <w:rsid w:val="00E31008"/>
    <w:rsid w:val="00E31068"/>
    <w:rsid w:val="00E3123A"/>
    <w:rsid w:val="00E312E5"/>
    <w:rsid w:val="00E31699"/>
    <w:rsid w:val="00E31B79"/>
    <w:rsid w:val="00E32715"/>
    <w:rsid w:val="00E32D36"/>
    <w:rsid w:val="00E334B8"/>
    <w:rsid w:val="00E33C3F"/>
    <w:rsid w:val="00E3511E"/>
    <w:rsid w:val="00E36F8A"/>
    <w:rsid w:val="00E37394"/>
    <w:rsid w:val="00E37A6A"/>
    <w:rsid w:val="00E37CC3"/>
    <w:rsid w:val="00E40479"/>
    <w:rsid w:val="00E40B38"/>
    <w:rsid w:val="00E40FB5"/>
    <w:rsid w:val="00E41884"/>
    <w:rsid w:val="00E4192C"/>
    <w:rsid w:val="00E41DF6"/>
    <w:rsid w:val="00E420CB"/>
    <w:rsid w:val="00E4281D"/>
    <w:rsid w:val="00E42BB9"/>
    <w:rsid w:val="00E42FB9"/>
    <w:rsid w:val="00E446FD"/>
    <w:rsid w:val="00E451B6"/>
    <w:rsid w:val="00E454AD"/>
    <w:rsid w:val="00E458B2"/>
    <w:rsid w:val="00E4671A"/>
    <w:rsid w:val="00E474DE"/>
    <w:rsid w:val="00E47920"/>
    <w:rsid w:val="00E5019C"/>
    <w:rsid w:val="00E51311"/>
    <w:rsid w:val="00E51D11"/>
    <w:rsid w:val="00E52056"/>
    <w:rsid w:val="00E52222"/>
    <w:rsid w:val="00E522E3"/>
    <w:rsid w:val="00E52841"/>
    <w:rsid w:val="00E52FF6"/>
    <w:rsid w:val="00E530E1"/>
    <w:rsid w:val="00E532BD"/>
    <w:rsid w:val="00E53D9D"/>
    <w:rsid w:val="00E54446"/>
    <w:rsid w:val="00E54704"/>
    <w:rsid w:val="00E55CB7"/>
    <w:rsid w:val="00E55DC8"/>
    <w:rsid w:val="00E56479"/>
    <w:rsid w:val="00E567C7"/>
    <w:rsid w:val="00E56821"/>
    <w:rsid w:val="00E569DE"/>
    <w:rsid w:val="00E56F73"/>
    <w:rsid w:val="00E603AF"/>
    <w:rsid w:val="00E604FA"/>
    <w:rsid w:val="00E60FAB"/>
    <w:rsid w:val="00E6133F"/>
    <w:rsid w:val="00E615BD"/>
    <w:rsid w:val="00E61F48"/>
    <w:rsid w:val="00E62A1B"/>
    <w:rsid w:val="00E62B98"/>
    <w:rsid w:val="00E62F16"/>
    <w:rsid w:val="00E631E5"/>
    <w:rsid w:val="00E6329E"/>
    <w:rsid w:val="00E6390E"/>
    <w:rsid w:val="00E63980"/>
    <w:rsid w:val="00E65018"/>
    <w:rsid w:val="00E66EAB"/>
    <w:rsid w:val="00E67339"/>
    <w:rsid w:val="00E6734C"/>
    <w:rsid w:val="00E67560"/>
    <w:rsid w:val="00E67B4D"/>
    <w:rsid w:val="00E67B50"/>
    <w:rsid w:val="00E67EF0"/>
    <w:rsid w:val="00E705EE"/>
    <w:rsid w:val="00E70B72"/>
    <w:rsid w:val="00E70FDA"/>
    <w:rsid w:val="00E7132D"/>
    <w:rsid w:val="00E722A2"/>
    <w:rsid w:val="00E729B9"/>
    <w:rsid w:val="00E730FA"/>
    <w:rsid w:val="00E742E4"/>
    <w:rsid w:val="00E748D3"/>
    <w:rsid w:val="00E752A9"/>
    <w:rsid w:val="00E75529"/>
    <w:rsid w:val="00E75D96"/>
    <w:rsid w:val="00E75DC3"/>
    <w:rsid w:val="00E76D6E"/>
    <w:rsid w:val="00E7757E"/>
    <w:rsid w:val="00E7789E"/>
    <w:rsid w:val="00E77A75"/>
    <w:rsid w:val="00E77B23"/>
    <w:rsid w:val="00E77D56"/>
    <w:rsid w:val="00E80364"/>
    <w:rsid w:val="00E80511"/>
    <w:rsid w:val="00E8108F"/>
    <w:rsid w:val="00E81C1A"/>
    <w:rsid w:val="00E81C1F"/>
    <w:rsid w:val="00E822F5"/>
    <w:rsid w:val="00E83C04"/>
    <w:rsid w:val="00E83F2F"/>
    <w:rsid w:val="00E843F7"/>
    <w:rsid w:val="00E846F7"/>
    <w:rsid w:val="00E84FD5"/>
    <w:rsid w:val="00E8551B"/>
    <w:rsid w:val="00E878A3"/>
    <w:rsid w:val="00E900A4"/>
    <w:rsid w:val="00E9041B"/>
    <w:rsid w:val="00E91398"/>
    <w:rsid w:val="00E9159F"/>
    <w:rsid w:val="00E91897"/>
    <w:rsid w:val="00E91BF4"/>
    <w:rsid w:val="00E91E02"/>
    <w:rsid w:val="00E92398"/>
    <w:rsid w:val="00E92777"/>
    <w:rsid w:val="00E92CBF"/>
    <w:rsid w:val="00E92E0A"/>
    <w:rsid w:val="00E9381C"/>
    <w:rsid w:val="00E93CFD"/>
    <w:rsid w:val="00E94584"/>
    <w:rsid w:val="00E95C26"/>
    <w:rsid w:val="00E95CEA"/>
    <w:rsid w:val="00E967F1"/>
    <w:rsid w:val="00E97FE2"/>
    <w:rsid w:val="00EA08E8"/>
    <w:rsid w:val="00EA0F7E"/>
    <w:rsid w:val="00EA1903"/>
    <w:rsid w:val="00EA19A5"/>
    <w:rsid w:val="00EA1A5A"/>
    <w:rsid w:val="00EA258D"/>
    <w:rsid w:val="00EA2FC0"/>
    <w:rsid w:val="00EA3085"/>
    <w:rsid w:val="00EA3CD8"/>
    <w:rsid w:val="00EA3F5C"/>
    <w:rsid w:val="00EA4397"/>
    <w:rsid w:val="00EA4816"/>
    <w:rsid w:val="00EA48E1"/>
    <w:rsid w:val="00EA499D"/>
    <w:rsid w:val="00EA4E8E"/>
    <w:rsid w:val="00EA4FFF"/>
    <w:rsid w:val="00EA54AD"/>
    <w:rsid w:val="00EA58A0"/>
    <w:rsid w:val="00EA5AE3"/>
    <w:rsid w:val="00EA5C8C"/>
    <w:rsid w:val="00EA5ECB"/>
    <w:rsid w:val="00EA62F8"/>
    <w:rsid w:val="00EA6B56"/>
    <w:rsid w:val="00EA6D49"/>
    <w:rsid w:val="00EA7D0C"/>
    <w:rsid w:val="00EA7F0B"/>
    <w:rsid w:val="00EB0CCF"/>
    <w:rsid w:val="00EB0DAE"/>
    <w:rsid w:val="00EB114C"/>
    <w:rsid w:val="00EB18C0"/>
    <w:rsid w:val="00EB20F4"/>
    <w:rsid w:val="00EB2490"/>
    <w:rsid w:val="00EB3F05"/>
    <w:rsid w:val="00EB4207"/>
    <w:rsid w:val="00EB53CC"/>
    <w:rsid w:val="00EB56C4"/>
    <w:rsid w:val="00EB5955"/>
    <w:rsid w:val="00EB6662"/>
    <w:rsid w:val="00EB6E71"/>
    <w:rsid w:val="00EC05E1"/>
    <w:rsid w:val="00EC07BA"/>
    <w:rsid w:val="00EC08E4"/>
    <w:rsid w:val="00EC23D8"/>
    <w:rsid w:val="00EC25BB"/>
    <w:rsid w:val="00EC3785"/>
    <w:rsid w:val="00EC3B2D"/>
    <w:rsid w:val="00EC3E5A"/>
    <w:rsid w:val="00EC458A"/>
    <w:rsid w:val="00EC4DE4"/>
    <w:rsid w:val="00EC51A1"/>
    <w:rsid w:val="00EC6178"/>
    <w:rsid w:val="00EC65DD"/>
    <w:rsid w:val="00EC6A56"/>
    <w:rsid w:val="00EC7166"/>
    <w:rsid w:val="00EC75D3"/>
    <w:rsid w:val="00EC7E78"/>
    <w:rsid w:val="00ED06AD"/>
    <w:rsid w:val="00ED0BED"/>
    <w:rsid w:val="00ED1232"/>
    <w:rsid w:val="00ED1A7F"/>
    <w:rsid w:val="00ED20BB"/>
    <w:rsid w:val="00ED22C5"/>
    <w:rsid w:val="00ED3503"/>
    <w:rsid w:val="00ED4DFC"/>
    <w:rsid w:val="00ED4E42"/>
    <w:rsid w:val="00ED5E54"/>
    <w:rsid w:val="00ED6CFE"/>
    <w:rsid w:val="00ED7786"/>
    <w:rsid w:val="00ED7EA9"/>
    <w:rsid w:val="00EE00E5"/>
    <w:rsid w:val="00EE0B31"/>
    <w:rsid w:val="00EE1E9C"/>
    <w:rsid w:val="00EE200B"/>
    <w:rsid w:val="00EE2083"/>
    <w:rsid w:val="00EE20A8"/>
    <w:rsid w:val="00EE23BC"/>
    <w:rsid w:val="00EE25D9"/>
    <w:rsid w:val="00EE433B"/>
    <w:rsid w:val="00EE434D"/>
    <w:rsid w:val="00EE46D0"/>
    <w:rsid w:val="00EE476D"/>
    <w:rsid w:val="00EE49A6"/>
    <w:rsid w:val="00EE4C73"/>
    <w:rsid w:val="00EE5ACC"/>
    <w:rsid w:val="00EE5C23"/>
    <w:rsid w:val="00EE67FE"/>
    <w:rsid w:val="00EE6BDD"/>
    <w:rsid w:val="00EE703E"/>
    <w:rsid w:val="00EE76F0"/>
    <w:rsid w:val="00EE7B1C"/>
    <w:rsid w:val="00EF02BD"/>
    <w:rsid w:val="00EF0986"/>
    <w:rsid w:val="00EF1350"/>
    <w:rsid w:val="00EF17B9"/>
    <w:rsid w:val="00EF1EB9"/>
    <w:rsid w:val="00EF2028"/>
    <w:rsid w:val="00EF274D"/>
    <w:rsid w:val="00EF2A0D"/>
    <w:rsid w:val="00EF3436"/>
    <w:rsid w:val="00EF34F6"/>
    <w:rsid w:val="00EF355D"/>
    <w:rsid w:val="00EF3725"/>
    <w:rsid w:val="00EF37B5"/>
    <w:rsid w:val="00EF388A"/>
    <w:rsid w:val="00EF3B9C"/>
    <w:rsid w:val="00EF3D14"/>
    <w:rsid w:val="00EF3EEE"/>
    <w:rsid w:val="00EF3F88"/>
    <w:rsid w:val="00EF7388"/>
    <w:rsid w:val="00EF75A6"/>
    <w:rsid w:val="00F0045E"/>
    <w:rsid w:val="00F006D2"/>
    <w:rsid w:val="00F00724"/>
    <w:rsid w:val="00F00774"/>
    <w:rsid w:val="00F0081B"/>
    <w:rsid w:val="00F00B7A"/>
    <w:rsid w:val="00F01968"/>
    <w:rsid w:val="00F01F95"/>
    <w:rsid w:val="00F0256E"/>
    <w:rsid w:val="00F03681"/>
    <w:rsid w:val="00F03E2F"/>
    <w:rsid w:val="00F04555"/>
    <w:rsid w:val="00F04D9B"/>
    <w:rsid w:val="00F05533"/>
    <w:rsid w:val="00F0588E"/>
    <w:rsid w:val="00F05AB5"/>
    <w:rsid w:val="00F05BC9"/>
    <w:rsid w:val="00F0608B"/>
    <w:rsid w:val="00F0659C"/>
    <w:rsid w:val="00F06776"/>
    <w:rsid w:val="00F06CDD"/>
    <w:rsid w:val="00F06D5D"/>
    <w:rsid w:val="00F10A31"/>
    <w:rsid w:val="00F11AA5"/>
    <w:rsid w:val="00F11E55"/>
    <w:rsid w:val="00F1210C"/>
    <w:rsid w:val="00F128DE"/>
    <w:rsid w:val="00F12DF4"/>
    <w:rsid w:val="00F13400"/>
    <w:rsid w:val="00F13708"/>
    <w:rsid w:val="00F1411B"/>
    <w:rsid w:val="00F148AE"/>
    <w:rsid w:val="00F149A9"/>
    <w:rsid w:val="00F14C07"/>
    <w:rsid w:val="00F14C0C"/>
    <w:rsid w:val="00F14CD6"/>
    <w:rsid w:val="00F154D7"/>
    <w:rsid w:val="00F1585C"/>
    <w:rsid w:val="00F15FFE"/>
    <w:rsid w:val="00F16901"/>
    <w:rsid w:val="00F16FA4"/>
    <w:rsid w:val="00F17267"/>
    <w:rsid w:val="00F21448"/>
    <w:rsid w:val="00F215D1"/>
    <w:rsid w:val="00F2210C"/>
    <w:rsid w:val="00F231FB"/>
    <w:rsid w:val="00F243C4"/>
    <w:rsid w:val="00F243FF"/>
    <w:rsid w:val="00F25199"/>
    <w:rsid w:val="00F254D8"/>
    <w:rsid w:val="00F26A46"/>
    <w:rsid w:val="00F26F86"/>
    <w:rsid w:val="00F2780A"/>
    <w:rsid w:val="00F30B28"/>
    <w:rsid w:val="00F314EF"/>
    <w:rsid w:val="00F3167E"/>
    <w:rsid w:val="00F3265E"/>
    <w:rsid w:val="00F332B2"/>
    <w:rsid w:val="00F33DD2"/>
    <w:rsid w:val="00F33E94"/>
    <w:rsid w:val="00F33F0D"/>
    <w:rsid w:val="00F352BD"/>
    <w:rsid w:val="00F3589E"/>
    <w:rsid w:val="00F35DAE"/>
    <w:rsid w:val="00F368F2"/>
    <w:rsid w:val="00F36FB5"/>
    <w:rsid w:val="00F3715D"/>
    <w:rsid w:val="00F374F7"/>
    <w:rsid w:val="00F37A09"/>
    <w:rsid w:val="00F404BF"/>
    <w:rsid w:val="00F405B4"/>
    <w:rsid w:val="00F40EB5"/>
    <w:rsid w:val="00F40F31"/>
    <w:rsid w:val="00F41380"/>
    <w:rsid w:val="00F41421"/>
    <w:rsid w:val="00F41886"/>
    <w:rsid w:val="00F419C3"/>
    <w:rsid w:val="00F41A80"/>
    <w:rsid w:val="00F41C4B"/>
    <w:rsid w:val="00F4311B"/>
    <w:rsid w:val="00F43206"/>
    <w:rsid w:val="00F435B6"/>
    <w:rsid w:val="00F43849"/>
    <w:rsid w:val="00F4392C"/>
    <w:rsid w:val="00F448F9"/>
    <w:rsid w:val="00F44EC7"/>
    <w:rsid w:val="00F452E7"/>
    <w:rsid w:val="00F4670C"/>
    <w:rsid w:val="00F467C0"/>
    <w:rsid w:val="00F47C6B"/>
    <w:rsid w:val="00F5002C"/>
    <w:rsid w:val="00F503D2"/>
    <w:rsid w:val="00F505AC"/>
    <w:rsid w:val="00F50603"/>
    <w:rsid w:val="00F50C03"/>
    <w:rsid w:val="00F50F47"/>
    <w:rsid w:val="00F5154E"/>
    <w:rsid w:val="00F51899"/>
    <w:rsid w:val="00F51E43"/>
    <w:rsid w:val="00F5253A"/>
    <w:rsid w:val="00F5325B"/>
    <w:rsid w:val="00F53AF0"/>
    <w:rsid w:val="00F544DD"/>
    <w:rsid w:val="00F55337"/>
    <w:rsid w:val="00F55BB0"/>
    <w:rsid w:val="00F55F0A"/>
    <w:rsid w:val="00F5636E"/>
    <w:rsid w:val="00F5652C"/>
    <w:rsid w:val="00F568F6"/>
    <w:rsid w:val="00F57843"/>
    <w:rsid w:val="00F57C49"/>
    <w:rsid w:val="00F57D6B"/>
    <w:rsid w:val="00F609BF"/>
    <w:rsid w:val="00F60A98"/>
    <w:rsid w:val="00F618C5"/>
    <w:rsid w:val="00F619E0"/>
    <w:rsid w:val="00F61A38"/>
    <w:rsid w:val="00F622E5"/>
    <w:rsid w:val="00F626FF"/>
    <w:rsid w:val="00F62A13"/>
    <w:rsid w:val="00F63036"/>
    <w:rsid w:val="00F6380C"/>
    <w:rsid w:val="00F63E23"/>
    <w:rsid w:val="00F64675"/>
    <w:rsid w:val="00F652B8"/>
    <w:rsid w:val="00F65D31"/>
    <w:rsid w:val="00F666A7"/>
    <w:rsid w:val="00F66A2E"/>
    <w:rsid w:val="00F66D0C"/>
    <w:rsid w:val="00F67F09"/>
    <w:rsid w:val="00F706A0"/>
    <w:rsid w:val="00F709F5"/>
    <w:rsid w:val="00F717CC"/>
    <w:rsid w:val="00F720B7"/>
    <w:rsid w:val="00F72F11"/>
    <w:rsid w:val="00F72F51"/>
    <w:rsid w:val="00F73999"/>
    <w:rsid w:val="00F73AB3"/>
    <w:rsid w:val="00F73AB7"/>
    <w:rsid w:val="00F7566A"/>
    <w:rsid w:val="00F76268"/>
    <w:rsid w:val="00F76CF3"/>
    <w:rsid w:val="00F76DA3"/>
    <w:rsid w:val="00F77BCA"/>
    <w:rsid w:val="00F805CA"/>
    <w:rsid w:val="00F807A4"/>
    <w:rsid w:val="00F809ED"/>
    <w:rsid w:val="00F80DD8"/>
    <w:rsid w:val="00F81914"/>
    <w:rsid w:val="00F81B7D"/>
    <w:rsid w:val="00F824D5"/>
    <w:rsid w:val="00F82628"/>
    <w:rsid w:val="00F82BC6"/>
    <w:rsid w:val="00F82D8E"/>
    <w:rsid w:val="00F8321D"/>
    <w:rsid w:val="00F83461"/>
    <w:rsid w:val="00F83883"/>
    <w:rsid w:val="00F8517B"/>
    <w:rsid w:val="00F853BE"/>
    <w:rsid w:val="00F8675D"/>
    <w:rsid w:val="00F86E2D"/>
    <w:rsid w:val="00F87B71"/>
    <w:rsid w:val="00F87EB0"/>
    <w:rsid w:val="00F9052C"/>
    <w:rsid w:val="00F9135D"/>
    <w:rsid w:val="00F91AD8"/>
    <w:rsid w:val="00F91B71"/>
    <w:rsid w:val="00F91BA8"/>
    <w:rsid w:val="00F9207A"/>
    <w:rsid w:val="00F9260F"/>
    <w:rsid w:val="00F9308E"/>
    <w:rsid w:val="00F95E64"/>
    <w:rsid w:val="00F960B8"/>
    <w:rsid w:val="00F9649D"/>
    <w:rsid w:val="00F967C4"/>
    <w:rsid w:val="00F96A46"/>
    <w:rsid w:val="00F96BB8"/>
    <w:rsid w:val="00F97647"/>
    <w:rsid w:val="00F97724"/>
    <w:rsid w:val="00F97A19"/>
    <w:rsid w:val="00FA068B"/>
    <w:rsid w:val="00FA1B1B"/>
    <w:rsid w:val="00FA2534"/>
    <w:rsid w:val="00FA2BC2"/>
    <w:rsid w:val="00FA37EA"/>
    <w:rsid w:val="00FA381E"/>
    <w:rsid w:val="00FA3DE3"/>
    <w:rsid w:val="00FA52C8"/>
    <w:rsid w:val="00FA54B2"/>
    <w:rsid w:val="00FA5812"/>
    <w:rsid w:val="00FA59CD"/>
    <w:rsid w:val="00FA7990"/>
    <w:rsid w:val="00FA7A7E"/>
    <w:rsid w:val="00FB07FC"/>
    <w:rsid w:val="00FB1180"/>
    <w:rsid w:val="00FB15B5"/>
    <w:rsid w:val="00FB174F"/>
    <w:rsid w:val="00FB1FEB"/>
    <w:rsid w:val="00FB22AB"/>
    <w:rsid w:val="00FB3935"/>
    <w:rsid w:val="00FB4250"/>
    <w:rsid w:val="00FB5638"/>
    <w:rsid w:val="00FB59AB"/>
    <w:rsid w:val="00FB5A8D"/>
    <w:rsid w:val="00FB603D"/>
    <w:rsid w:val="00FB6627"/>
    <w:rsid w:val="00FB6721"/>
    <w:rsid w:val="00FB7318"/>
    <w:rsid w:val="00FB77DE"/>
    <w:rsid w:val="00FC0251"/>
    <w:rsid w:val="00FC1102"/>
    <w:rsid w:val="00FC16AD"/>
    <w:rsid w:val="00FC1F94"/>
    <w:rsid w:val="00FC2E23"/>
    <w:rsid w:val="00FC3241"/>
    <w:rsid w:val="00FC3BB3"/>
    <w:rsid w:val="00FC3ED9"/>
    <w:rsid w:val="00FC54D5"/>
    <w:rsid w:val="00FC664D"/>
    <w:rsid w:val="00FC737A"/>
    <w:rsid w:val="00FC7844"/>
    <w:rsid w:val="00FD0A8B"/>
    <w:rsid w:val="00FD1512"/>
    <w:rsid w:val="00FD1AB4"/>
    <w:rsid w:val="00FD1DDF"/>
    <w:rsid w:val="00FD2217"/>
    <w:rsid w:val="00FD28E8"/>
    <w:rsid w:val="00FD3330"/>
    <w:rsid w:val="00FD3355"/>
    <w:rsid w:val="00FD3CF7"/>
    <w:rsid w:val="00FD472A"/>
    <w:rsid w:val="00FD4FCC"/>
    <w:rsid w:val="00FD522F"/>
    <w:rsid w:val="00FD55AE"/>
    <w:rsid w:val="00FD5690"/>
    <w:rsid w:val="00FD5A00"/>
    <w:rsid w:val="00FD5F89"/>
    <w:rsid w:val="00FD6570"/>
    <w:rsid w:val="00FD6EA4"/>
    <w:rsid w:val="00FD6FCC"/>
    <w:rsid w:val="00FD79A7"/>
    <w:rsid w:val="00FD7DB9"/>
    <w:rsid w:val="00FE0841"/>
    <w:rsid w:val="00FE08FD"/>
    <w:rsid w:val="00FE12A5"/>
    <w:rsid w:val="00FE1B58"/>
    <w:rsid w:val="00FE1DFA"/>
    <w:rsid w:val="00FE1EDA"/>
    <w:rsid w:val="00FE1F3B"/>
    <w:rsid w:val="00FE22CB"/>
    <w:rsid w:val="00FE2859"/>
    <w:rsid w:val="00FE2A81"/>
    <w:rsid w:val="00FE303A"/>
    <w:rsid w:val="00FE345D"/>
    <w:rsid w:val="00FE486C"/>
    <w:rsid w:val="00FE4E00"/>
    <w:rsid w:val="00FE5194"/>
    <w:rsid w:val="00FE544E"/>
    <w:rsid w:val="00FE5A35"/>
    <w:rsid w:val="00FE64A9"/>
    <w:rsid w:val="00FE6BD7"/>
    <w:rsid w:val="00FE6C8F"/>
    <w:rsid w:val="00FE6F0F"/>
    <w:rsid w:val="00FF0644"/>
    <w:rsid w:val="00FF094E"/>
    <w:rsid w:val="00FF0A66"/>
    <w:rsid w:val="00FF1FCE"/>
    <w:rsid w:val="00FF2234"/>
    <w:rsid w:val="00FF290B"/>
    <w:rsid w:val="00FF320D"/>
    <w:rsid w:val="00FF33BD"/>
    <w:rsid w:val="00FF3C13"/>
    <w:rsid w:val="00FF3CEA"/>
    <w:rsid w:val="00FF3F18"/>
    <w:rsid w:val="00FF4169"/>
    <w:rsid w:val="00FF4B56"/>
    <w:rsid w:val="00FF4FD5"/>
    <w:rsid w:val="00FF57C0"/>
    <w:rsid w:val="00FF582B"/>
    <w:rsid w:val="00FF6702"/>
    <w:rsid w:val="00FF7188"/>
    <w:rsid w:val="00FF72DC"/>
    <w:rsid w:val="00FF76DE"/>
    <w:rsid w:val="00FF77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61"/>
    <o:shapelayout v:ext="edit">
      <o:idmap v:ext="edit" data="1"/>
    </o:shapelayout>
  </w:shapeDefaults>
  <w:decimalSymbol w:val="."/>
  <w:listSeparator w:val=","/>
  <w14:docId w14:val="2BC2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4B7F"/>
  </w:style>
  <w:style w:type="paragraph" w:styleId="Heading1">
    <w:name w:val="heading 1"/>
    <w:basedOn w:val="Normal"/>
    <w:next w:val="Normal"/>
    <w:link w:val="Heading1Char"/>
    <w:qFormat/>
    <w:rsid w:val="00081DCD"/>
    <w:pPr>
      <w:keepNext/>
      <w:widowControl w:val="0"/>
      <w:outlineLvl w:val="0"/>
    </w:pPr>
    <w:rPr>
      <w:rFonts w:ascii="Arial" w:hAnsi="Arial"/>
      <w:b/>
      <w:snapToGrid w:val="0"/>
      <w:lang w:eastAsia="en-US"/>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pPr>
      <w:spacing w:after="160" w:line="240" w:lineRule="exact"/>
    </w:pPr>
    <w:rPr>
      <w:rFonts w:ascii="Verdana" w:eastAsia="MS Mincho" w:hAnsi="Verdana" w:cs="Verdana"/>
      <w:lang w:val="en-US" w:eastAsia="en-US"/>
    </w:rPr>
  </w:style>
  <w:style w:type="paragraph" w:styleId="Header">
    <w:name w:val="header"/>
    <w:aliases w:val="Page Header,Header title,he=header,cntr/bld"/>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Hyperlink">
    <w:name w:val="Hyperlink"/>
    <w:rPr>
      <w:color w:val="0000CC"/>
      <w:u w:val="single"/>
    </w:rPr>
  </w:style>
  <w:style w:type="character" w:styleId="Emphasis">
    <w:name w:val="Emphasis"/>
    <w:qFormat/>
    <w:rPr>
      <w:b/>
      <w:bCs/>
      <w:i w:val="0"/>
      <w:iCs w:val="0"/>
    </w:rPr>
  </w:style>
  <w:style w:type="paragraph" w:customStyle="1" w:styleId="Char0">
    <w:name w:val="Char"/>
    <w:basedOn w:val="Normal"/>
    <w:pPr>
      <w:spacing w:after="160" w:line="240" w:lineRule="exact"/>
    </w:pPr>
    <w:rPr>
      <w:rFonts w:ascii="Verdana" w:eastAsia="MS Mincho" w:hAnsi="Verdana" w:cs="Verdana"/>
      <w:lang w:val="en-US" w:eastAsia="en-US"/>
    </w:rPr>
  </w:style>
  <w:style w:type="character" w:styleId="CommentReference">
    <w:name w:val="annotation reference"/>
    <w:rPr>
      <w:sz w:val="16"/>
      <w:szCs w:val="16"/>
    </w:rPr>
  </w:style>
  <w:style w:type="paragraph" w:styleId="CommentText">
    <w:name w:val="annotation text"/>
    <w:basedOn w:val="Normal"/>
    <w:link w:val="CommentTextChar"/>
    <w:uiPriority w:val="99"/>
  </w:style>
  <w:style w:type="paragraph" w:styleId="CommentSubject">
    <w:name w:val="annotation subject"/>
    <w:basedOn w:val="CommentText"/>
    <w:next w:val="CommentText"/>
    <w:semiHidden/>
    <w:rPr>
      <w:b/>
      <w:bCs/>
    </w:rPr>
  </w:style>
  <w:style w:type="character" w:styleId="PageNumber">
    <w:name w:val="page number"/>
    <w:basedOn w:val="DefaultParagraphFont"/>
  </w:style>
  <w:style w:type="paragraph" w:customStyle="1" w:styleId="Char2CharCharCharZchnZchnCharCharCharCharCharCharCharCharCharCharCharCharCharCharCharCharCharCharCharCharCharCharCharChar1CharCharCharCharCharCharCharCharCharCharCharChar1Char">
    <w:name w:val="Char2 Char Char Char Zchn Zchn Char Char Char Char Char Char Char Char Char Char Char Char Char Char Char Char Char Char Char Char Char Char Char Char1 Char Char Char Char Char Char Char Char Char Char Char Char1 Char"/>
    <w:basedOn w:val="Normal"/>
    <w:pPr>
      <w:spacing w:after="160" w:line="240" w:lineRule="exact"/>
    </w:pPr>
    <w:rPr>
      <w:rFonts w:ascii="Verdana" w:eastAsia="MS Mincho" w:hAnsi="Verdana" w:cs="Verdana"/>
      <w:lang w:val="en-US" w:eastAsia="en-US"/>
    </w:rPr>
  </w:style>
  <w:style w:type="paragraph" w:styleId="ListBullet">
    <w:name w:val="List Bullet"/>
    <w:basedOn w:val="Normal"/>
    <w:autoRedefine/>
  </w:style>
  <w:style w:type="character" w:customStyle="1" w:styleId="brand">
    <w:name w:val="brand"/>
    <w:basedOn w:val="DefaultParagraphFont"/>
    <w:rsid w:val="00A05B20"/>
  </w:style>
  <w:style w:type="paragraph" w:styleId="NormalWeb">
    <w:name w:val="Normal (Web)"/>
    <w:basedOn w:val="Normal"/>
    <w:uiPriority w:val="99"/>
    <w:unhideWhenUsed/>
    <w:rsid w:val="003A2BB7"/>
    <w:pPr>
      <w:spacing w:before="100" w:beforeAutospacing="1" w:after="100" w:afterAutospacing="1"/>
    </w:pPr>
    <w:rPr>
      <w:sz w:val="24"/>
      <w:szCs w:val="24"/>
    </w:rPr>
  </w:style>
  <w:style w:type="character" w:customStyle="1" w:styleId="form-strength">
    <w:name w:val="form-strength"/>
    <w:rsid w:val="00CB77F2"/>
  </w:style>
  <w:style w:type="character" w:customStyle="1" w:styleId="drug-name">
    <w:name w:val="drug-name"/>
    <w:rsid w:val="00CB77F2"/>
  </w:style>
  <w:style w:type="paragraph" w:styleId="BodyText">
    <w:name w:val="Body Text"/>
    <w:aliases w:val="Char Char Char"/>
    <w:basedOn w:val="Normal"/>
    <w:link w:val="BodyTextChar"/>
    <w:qFormat/>
    <w:rsid w:val="00E3123A"/>
    <w:pPr>
      <w:spacing w:after="360" w:line="360" w:lineRule="auto"/>
    </w:pPr>
    <w:rPr>
      <w:rFonts w:ascii="Arial" w:hAnsi="Arial"/>
      <w:szCs w:val="24"/>
      <w:lang w:val="en-US" w:eastAsia="en-US"/>
    </w:rPr>
  </w:style>
  <w:style w:type="character" w:customStyle="1" w:styleId="BodyTextChar">
    <w:name w:val="Body Text Char"/>
    <w:aliases w:val="Char Char Char Char"/>
    <w:link w:val="BodyText"/>
    <w:rsid w:val="00E3123A"/>
    <w:rPr>
      <w:rFonts w:ascii="Arial" w:hAnsi="Arial"/>
      <w:szCs w:val="24"/>
      <w:lang w:val="en-US" w:eastAsia="en-US"/>
    </w:rPr>
  </w:style>
  <w:style w:type="paragraph" w:customStyle="1" w:styleId="Default">
    <w:name w:val="Default"/>
    <w:rsid w:val="00E56F73"/>
    <w:pPr>
      <w:autoSpaceDE w:val="0"/>
      <w:autoSpaceDN w:val="0"/>
      <w:adjustRightInd w:val="0"/>
    </w:pPr>
    <w:rPr>
      <w:color w:val="000000"/>
      <w:sz w:val="24"/>
      <w:szCs w:val="24"/>
    </w:rPr>
  </w:style>
  <w:style w:type="character" w:customStyle="1" w:styleId="HeaderChar">
    <w:name w:val="Header Char"/>
    <w:aliases w:val="Page Header Char,Header title Char,he=header Char,cntr/bld Char"/>
    <w:link w:val="Header"/>
    <w:rsid w:val="00D33975"/>
  </w:style>
  <w:style w:type="character" w:customStyle="1" w:styleId="Heading1Char">
    <w:name w:val="Heading 1 Char"/>
    <w:link w:val="Heading1"/>
    <w:rsid w:val="00081DCD"/>
    <w:rPr>
      <w:rFonts w:ascii="Arial" w:hAnsi="Arial"/>
      <w:b/>
      <w:snapToGrid w:val="0"/>
      <w:lang w:eastAsia="en-US"/>
    </w:rPr>
  </w:style>
  <w:style w:type="character" w:customStyle="1" w:styleId="st">
    <w:name w:val="st"/>
    <w:rsid w:val="00081DCD"/>
  </w:style>
  <w:style w:type="paragraph" w:styleId="ListParagraph">
    <w:name w:val="List Paragraph"/>
    <w:aliases w:val="Body Text Bullet Points,Bullet Point,Bullet point,BulletPoints,Bulletr List Paragraph,ES Paragraph,Footnote,L,List Paragraph1,List Paragraph11,Numbered para,PBAC ES Paragraph,PBAC normal points,Recommendation,Section heading"/>
    <w:basedOn w:val="Normal"/>
    <w:link w:val="ListParagraphChar"/>
    <w:uiPriority w:val="34"/>
    <w:qFormat/>
    <w:rsid w:val="00AB0807"/>
    <w:pPr>
      <w:ind w:left="720"/>
      <w:contextualSpacing/>
    </w:pPr>
    <w:rPr>
      <w:rFonts w:eastAsia="SimSun"/>
      <w:sz w:val="24"/>
      <w:szCs w:val="24"/>
    </w:rPr>
  </w:style>
  <w:style w:type="character" w:customStyle="1" w:styleId="st1">
    <w:name w:val="st1"/>
    <w:basedOn w:val="DefaultParagraphFont"/>
    <w:rsid w:val="001E70C9"/>
  </w:style>
  <w:style w:type="character" w:customStyle="1" w:styleId="ListParagraphChar">
    <w:name w:val="List Paragraph Char"/>
    <w:aliases w:val="Body Text Bullet Points Char,Bullet Point Char,Bullet point Char,BulletPoints Char,Bulletr List Paragraph Char,ES Paragraph Char,Footnote Char,L Char,List Paragraph1 Char,List Paragraph11 Char,Numbered para Char,Recommendation Char"/>
    <w:link w:val="ListParagraph"/>
    <w:uiPriority w:val="34"/>
    <w:qFormat/>
    <w:rsid w:val="001E35D6"/>
    <w:rPr>
      <w:rFonts w:eastAsia="SimSun"/>
      <w:sz w:val="24"/>
      <w:szCs w:val="24"/>
    </w:rPr>
  </w:style>
  <w:style w:type="character" w:customStyle="1" w:styleId="CommentTextChar">
    <w:name w:val="Comment Text Char"/>
    <w:basedOn w:val="DefaultParagraphFont"/>
    <w:link w:val="CommentText"/>
    <w:uiPriority w:val="99"/>
    <w:rsid w:val="00377360"/>
  </w:style>
  <w:style w:type="paragraph" w:styleId="Revision">
    <w:name w:val="Revision"/>
    <w:hidden/>
    <w:uiPriority w:val="99"/>
    <w:semiHidden/>
    <w:rsid w:val="00DA7044"/>
  </w:style>
  <w:style w:type="character" w:customStyle="1" w:styleId="FooterChar">
    <w:name w:val="Footer Char"/>
    <w:link w:val="Footer"/>
    <w:rsid w:val="00035622"/>
  </w:style>
  <w:style w:type="paragraph" w:customStyle="1" w:styleId="3Bodytext">
    <w:name w:val="3. Body text"/>
    <w:basedOn w:val="ListParagraph"/>
    <w:link w:val="3BodytextChar"/>
    <w:qFormat/>
    <w:rsid w:val="00155809"/>
    <w:pPr>
      <w:spacing w:after="120"/>
      <w:ind w:hanging="720"/>
      <w:contextualSpacing w:val="0"/>
      <w:jc w:val="both"/>
    </w:pPr>
    <w:rPr>
      <w:rFonts w:asciiTheme="minorHAnsi" w:eastAsiaTheme="minorHAnsi" w:hAnsiTheme="minorHAnsi" w:cstheme="minorBidi"/>
      <w:szCs w:val="22"/>
      <w:lang w:eastAsia="en-US"/>
    </w:rPr>
  </w:style>
  <w:style w:type="character" w:customStyle="1" w:styleId="3BodytextChar">
    <w:name w:val="3. Body text Char"/>
    <w:basedOn w:val="DefaultParagraphFont"/>
    <w:link w:val="3Bodytext"/>
    <w:rsid w:val="00155809"/>
    <w:rPr>
      <w:rFonts w:asciiTheme="minorHAnsi" w:eastAsiaTheme="minorHAnsi" w:hAnsiTheme="minorHAnsi" w:cstheme="minorBidi"/>
      <w:sz w:val="24"/>
      <w:szCs w:val="22"/>
      <w:lang w:eastAsia="en-US"/>
    </w:rPr>
  </w:style>
  <w:style w:type="paragraph" w:customStyle="1" w:styleId="2-SectionHeading">
    <w:name w:val="2-Section Heading"/>
    <w:qFormat/>
    <w:rsid w:val="00A35BF0"/>
    <w:pPr>
      <w:keepNext/>
      <w:numPr>
        <w:numId w:val="9"/>
      </w:numPr>
      <w:snapToGrid w:val="0"/>
      <w:spacing w:before="240" w:after="120"/>
      <w:outlineLvl w:val="0"/>
    </w:pPr>
    <w:rPr>
      <w:rFonts w:asciiTheme="minorHAnsi" w:hAnsiTheme="minorHAnsi" w:cs="Arial"/>
      <w:b/>
      <w:sz w:val="32"/>
      <w:szCs w:val="32"/>
    </w:rPr>
  </w:style>
  <w:style w:type="character" w:customStyle="1" w:styleId="ExecSumBodyTextChar">
    <w:name w:val="Exec Sum Body Text Char"/>
    <w:basedOn w:val="DefaultParagraphFont"/>
    <w:link w:val="ExecSumBodyText"/>
    <w:uiPriority w:val="99"/>
    <w:locked/>
    <w:rsid w:val="00A35BF0"/>
    <w:rPr>
      <w:rFonts w:asciiTheme="minorHAnsi" w:hAnsiTheme="minorHAnsi" w:cs="Arial"/>
    </w:rPr>
  </w:style>
  <w:style w:type="paragraph" w:customStyle="1" w:styleId="ExecSumBodyText">
    <w:name w:val="Exec Sum Body Text"/>
    <w:basedOn w:val="Normal"/>
    <w:link w:val="ExecSumBodyTextChar"/>
    <w:uiPriority w:val="99"/>
    <w:qFormat/>
    <w:rsid w:val="00A35BF0"/>
    <w:pPr>
      <w:numPr>
        <w:ilvl w:val="1"/>
        <w:numId w:val="9"/>
      </w:numPr>
      <w:snapToGrid w:val="0"/>
      <w:spacing w:after="120"/>
      <w:jc w:val="both"/>
    </w:pPr>
    <w:rPr>
      <w:rFonts w:asciiTheme="minorHAnsi" w:hAnsiTheme="minorHAnsi" w:cs="Arial"/>
    </w:rPr>
  </w:style>
  <w:style w:type="character" w:styleId="FollowedHyperlink">
    <w:name w:val="FollowedHyperlink"/>
    <w:basedOn w:val="DefaultParagraphFont"/>
    <w:semiHidden/>
    <w:unhideWhenUsed/>
    <w:rsid w:val="00642B51"/>
    <w:rPr>
      <w:color w:val="800080" w:themeColor="followedHyperlink"/>
      <w:u w:val="single"/>
    </w:rPr>
  </w:style>
  <w:style w:type="paragraph" w:styleId="Quote">
    <w:name w:val="Quote"/>
    <w:basedOn w:val="Normal"/>
    <w:next w:val="Normal"/>
    <w:link w:val="QuoteChar"/>
    <w:uiPriority w:val="29"/>
    <w:qFormat/>
    <w:rsid w:val="001D30A0"/>
    <w:pPr>
      <w:spacing w:before="240" w:after="60"/>
      <w:ind w:left="142" w:right="-663" w:hanging="142"/>
    </w:pPr>
    <w:rPr>
      <w:i/>
      <w:iCs/>
      <w:color w:val="000000" w:themeColor="text1"/>
      <w:sz w:val="24"/>
      <w:szCs w:val="24"/>
      <w:lang w:eastAsia="en-US"/>
    </w:rPr>
  </w:style>
  <w:style w:type="character" w:customStyle="1" w:styleId="QuoteChar">
    <w:name w:val="Quote Char"/>
    <w:basedOn w:val="DefaultParagraphFont"/>
    <w:link w:val="Quote"/>
    <w:uiPriority w:val="29"/>
    <w:rsid w:val="001D30A0"/>
    <w:rPr>
      <w:i/>
      <w:iCs/>
      <w:color w:val="000000" w:themeColor="text1"/>
      <w:sz w:val="24"/>
      <w:szCs w:val="24"/>
      <w:lang w:eastAsia="en-US"/>
    </w:rPr>
  </w:style>
  <w:style w:type="paragraph" w:styleId="NoSpacing">
    <w:name w:val="No Spacing"/>
    <w:basedOn w:val="Normal"/>
    <w:link w:val="NoSpacingChar"/>
    <w:uiPriority w:val="1"/>
    <w:qFormat/>
    <w:rsid w:val="008D62B4"/>
    <w:pPr>
      <w:jc w:val="both"/>
    </w:pPr>
    <w:rPr>
      <w:rFonts w:asciiTheme="minorHAnsi" w:hAnsiTheme="minorHAnsi" w:cstheme="minorHAnsi"/>
      <w:sz w:val="24"/>
      <w:szCs w:val="24"/>
      <w:lang w:eastAsia="en-US"/>
    </w:rPr>
  </w:style>
  <w:style w:type="character" w:customStyle="1" w:styleId="NoSpacingChar">
    <w:name w:val="No Spacing Char"/>
    <w:basedOn w:val="DefaultParagraphFont"/>
    <w:link w:val="NoSpacing"/>
    <w:uiPriority w:val="1"/>
    <w:rsid w:val="008D62B4"/>
    <w:rPr>
      <w:rFonts w:asciiTheme="minorHAnsi" w:hAnsiTheme="minorHAnsi" w:cs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5848">
      <w:bodyDiv w:val="1"/>
      <w:marLeft w:val="0"/>
      <w:marRight w:val="0"/>
      <w:marTop w:val="0"/>
      <w:marBottom w:val="0"/>
      <w:divBdr>
        <w:top w:val="none" w:sz="0" w:space="0" w:color="auto"/>
        <w:left w:val="none" w:sz="0" w:space="0" w:color="auto"/>
        <w:bottom w:val="none" w:sz="0" w:space="0" w:color="auto"/>
        <w:right w:val="none" w:sz="0" w:space="0" w:color="auto"/>
      </w:divBdr>
    </w:div>
    <w:div w:id="24717500">
      <w:bodyDiv w:val="1"/>
      <w:marLeft w:val="0"/>
      <w:marRight w:val="0"/>
      <w:marTop w:val="0"/>
      <w:marBottom w:val="0"/>
      <w:divBdr>
        <w:top w:val="none" w:sz="0" w:space="0" w:color="auto"/>
        <w:left w:val="none" w:sz="0" w:space="0" w:color="auto"/>
        <w:bottom w:val="none" w:sz="0" w:space="0" w:color="auto"/>
        <w:right w:val="none" w:sz="0" w:space="0" w:color="auto"/>
      </w:divBdr>
    </w:div>
    <w:div w:id="38482908">
      <w:bodyDiv w:val="1"/>
      <w:marLeft w:val="0"/>
      <w:marRight w:val="0"/>
      <w:marTop w:val="0"/>
      <w:marBottom w:val="0"/>
      <w:divBdr>
        <w:top w:val="none" w:sz="0" w:space="0" w:color="auto"/>
        <w:left w:val="none" w:sz="0" w:space="0" w:color="auto"/>
        <w:bottom w:val="none" w:sz="0" w:space="0" w:color="auto"/>
        <w:right w:val="none" w:sz="0" w:space="0" w:color="auto"/>
      </w:divBdr>
    </w:div>
    <w:div w:id="39327168">
      <w:bodyDiv w:val="1"/>
      <w:marLeft w:val="0"/>
      <w:marRight w:val="0"/>
      <w:marTop w:val="0"/>
      <w:marBottom w:val="0"/>
      <w:divBdr>
        <w:top w:val="none" w:sz="0" w:space="0" w:color="auto"/>
        <w:left w:val="none" w:sz="0" w:space="0" w:color="auto"/>
        <w:bottom w:val="none" w:sz="0" w:space="0" w:color="auto"/>
        <w:right w:val="none" w:sz="0" w:space="0" w:color="auto"/>
      </w:divBdr>
    </w:div>
    <w:div w:id="42606998">
      <w:bodyDiv w:val="1"/>
      <w:marLeft w:val="0"/>
      <w:marRight w:val="0"/>
      <w:marTop w:val="0"/>
      <w:marBottom w:val="0"/>
      <w:divBdr>
        <w:top w:val="none" w:sz="0" w:space="0" w:color="auto"/>
        <w:left w:val="none" w:sz="0" w:space="0" w:color="auto"/>
        <w:bottom w:val="none" w:sz="0" w:space="0" w:color="auto"/>
        <w:right w:val="none" w:sz="0" w:space="0" w:color="auto"/>
      </w:divBdr>
    </w:div>
    <w:div w:id="49698225">
      <w:bodyDiv w:val="1"/>
      <w:marLeft w:val="0"/>
      <w:marRight w:val="0"/>
      <w:marTop w:val="0"/>
      <w:marBottom w:val="0"/>
      <w:divBdr>
        <w:top w:val="none" w:sz="0" w:space="0" w:color="auto"/>
        <w:left w:val="none" w:sz="0" w:space="0" w:color="auto"/>
        <w:bottom w:val="none" w:sz="0" w:space="0" w:color="auto"/>
        <w:right w:val="none" w:sz="0" w:space="0" w:color="auto"/>
      </w:divBdr>
    </w:div>
    <w:div w:id="54011280">
      <w:bodyDiv w:val="1"/>
      <w:marLeft w:val="0"/>
      <w:marRight w:val="0"/>
      <w:marTop w:val="0"/>
      <w:marBottom w:val="0"/>
      <w:divBdr>
        <w:top w:val="none" w:sz="0" w:space="0" w:color="auto"/>
        <w:left w:val="none" w:sz="0" w:space="0" w:color="auto"/>
        <w:bottom w:val="none" w:sz="0" w:space="0" w:color="auto"/>
        <w:right w:val="none" w:sz="0" w:space="0" w:color="auto"/>
      </w:divBdr>
    </w:div>
    <w:div w:id="70007710">
      <w:bodyDiv w:val="1"/>
      <w:marLeft w:val="0"/>
      <w:marRight w:val="0"/>
      <w:marTop w:val="0"/>
      <w:marBottom w:val="0"/>
      <w:divBdr>
        <w:top w:val="none" w:sz="0" w:space="0" w:color="auto"/>
        <w:left w:val="none" w:sz="0" w:space="0" w:color="auto"/>
        <w:bottom w:val="none" w:sz="0" w:space="0" w:color="auto"/>
        <w:right w:val="none" w:sz="0" w:space="0" w:color="auto"/>
      </w:divBdr>
    </w:div>
    <w:div w:id="78260771">
      <w:bodyDiv w:val="1"/>
      <w:marLeft w:val="0"/>
      <w:marRight w:val="0"/>
      <w:marTop w:val="0"/>
      <w:marBottom w:val="0"/>
      <w:divBdr>
        <w:top w:val="none" w:sz="0" w:space="0" w:color="auto"/>
        <w:left w:val="none" w:sz="0" w:space="0" w:color="auto"/>
        <w:bottom w:val="none" w:sz="0" w:space="0" w:color="auto"/>
        <w:right w:val="none" w:sz="0" w:space="0" w:color="auto"/>
      </w:divBdr>
    </w:div>
    <w:div w:id="78602948">
      <w:bodyDiv w:val="1"/>
      <w:marLeft w:val="0"/>
      <w:marRight w:val="0"/>
      <w:marTop w:val="0"/>
      <w:marBottom w:val="0"/>
      <w:divBdr>
        <w:top w:val="none" w:sz="0" w:space="0" w:color="auto"/>
        <w:left w:val="none" w:sz="0" w:space="0" w:color="auto"/>
        <w:bottom w:val="none" w:sz="0" w:space="0" w:color="auto"/>
        <w:right w:val="none" w:sz="0" w:space="0" w:color="auto"/>
      </w:divBdr>
    </w:div>
    <w:div w:id="79184216">
      <w:bodyDiv w:val="1"/>
      <w:marLeft w:val="0"/>
      <w:marRight w:val="0"/>
      <w:marTop w:val="0"/>
      <w:marBottom w:val="0"/>
      <w:divBdr>
        <w:top w:val="none" w:sz="0" w:space="0" w:color="auto"/>
        <w:left w:val="none" w:sz="0" w:space="0" w:color="auto"/>
        <w:bottom w:val="none" w:sz="0" w:space="0" w:color="auto"/>
        <w:right w:val="none" w:sz="0" w:space="0" w:color="auto"/>
      </w:divBdr>
    </w:div>
    <w:div w:id="93676734">
      <w:bodyDiv w:val="1"/>
      <w:marLeft w:val="0"/>
      <w:marRight w:val="0"/>
      <w:marTop w:val="0"/>
      <w:marBottom w:val="0"/>
      <w:divBdr>
        <w:top w:val="none" w:sz="0" w:space="0" w:color="auto"/>
        <w:left w:val="none" w:sz="0" w:space="0" w:color="auto"/>
        <w:bottom w:val="none" w:sz="0" w:space="0" w:color="auto"/>
        <w:right w:val="none" w:sz="0" w:space="0" w:color="auto"/>
      </w:divBdr>
    </w:div>
    <w:div w:id="100035097">
      <w:bodyDiv w:val="1"/>
      <w:marLeft w:val="0"/>
      <w:marRight w:val="0"/>
      <w:marTop w:val="0"/>
      <w:marBottom w:val="0"/>
      <w:divBdr>
        <w:top w:val="none" w:sz="0" w:space="0" w:color="auto"/>
        <w:left w:val="none" w:sz="0" w:space="0" w:color="auto"/>
        <w:bottom w:val="none" w:sz="0" w:space="0" w:color="auto"/>
        <w:right w:val="none" w:sz="0" w:space="0" w:color="auto"/>
      </w:divBdr>
    </w:div>
    <w:div w:id="102237776">
      <w:bodyDiv w:val="1"/>
      <w:marLeft w:val="0"/>
      <w:marRight w:val="0"/>
      <w:marTop w:val="0"/>
      <w:marBottom w:val="0"/>
      <w:divBdr>
        <w:top w:val="none" w:sz="0" w:space="0" w:color="auto"/>
        <w:left w:val="none" w:sz="0" w:space="0" w:color="auto"/>
        <w:bottom w:val="none" w:sz="0" w:space="0" w:color="auto"/>
        <w:right w:val="none" w:sz="0" w:space="0" w:color="auto"/>
      </w:divBdr>
    </w:div>
    <w:div w:id="109008514">
      <w:bodyDiv w:val="1"/>
      <w:marLeft w:val="0"/>
      <w:marRight w:val="0"/>
      <w:marTop w:val="0"/>
      <w:marBottom w:val="0"/>
      <w:divBdr>
        <w:top w:val="none" w:sz="0" w:space="0" w:color="auto"/>
        <w:left w:val="none" w:sz="0" w:space="0" w:color="auto"/>
        <w:bottom w:val="none" w:sz="0" w:space="0" w:color="auto"/>
        <w:right w:val="none" w:sz="0" w:space="0" w:color="auto"/>
      </w:divBdr>
    </w:div>
    <w:div w:id="116220105">
      <w:bodyDiv w:val="1"/>
      <w:marLeft w:val="0"/>
      <w:marRight w:val="0"/>
      <w:marTop w:val="0"/>
      <w:marBottom w:val="0"/>
      <w:divBdr>
        <w:top w:val="none" w:sz="0" w:space="0" w:color="auto"/>
        <w:left w:val="none" w:sz="0" w:space="0" w:color="auto"/>
        <w:bottom w:val="none" w:sz="0" w:space="0" w:color="auto"/>
        <w:right w:val="none" w:sz="0" w:space="0" w:color="auto"/>
      </w:divBdr>
    </w:div>
    <w:div w:id="122428845">
      <w:bodyDiv w:val="1"/>
      <w:marLeft w:val="0"/>
      <w:marRight w:val="0"/>
      <w:marTop w:val="0"/>
      <w:marBottom w:val="0"/>
      <w:divBdr>
        <w:top w:val="none" w:sz="0" w:space="0" w:color="auto"/>
        <w:left w:val="none" w:sz="0" w:space="0" w:color="auto"/>
        <w:bottom w:val="none" w:sz="0" w:space="0" w:color="auto"/>
        <w:right w:val="none" w:sz="0" w:space="0" w:color="auto"/>
      </w:divBdr>
    </w:div>
    <w:div w:id="131798966">
      <w:bodyDiv w:val="1"/>
      <w:marLeft w:val="0"/>
      <w:marRight w:val="0"/>
      <w:marTop w:val="0"/>
      <w:marBottom w:val="0"/>
      <w:divBdr>
        <w:top w:val="none" w:sz="0" w:space="0" w:color="auto"/>
        <w:left w:val="none" w:sz="0" w:space="0" w:color="auto"/>
        <w:bottom w:val="none" w:sz="0" w:space="0" w:color="auto"/>
        <w:right w:val="none" w:sz="0" w:space="0" w:color="auto"/>
      </w:divBdr>
    </w:div>
    <w:div w:id="138232654">
      <w:bodyDiv w:val="1"/>
      <w:marLeft w:val="0"/>
      <w:marRight w:val="0"/>
      <w:marTop w:val="0"/>
      <w:marBottom w:val="0"/>
      <w:divBdr>
        <w:top w:val="none" w:sz="0" w:space="0" w:color="auto"/>
        <w:left w:val="none" w:sz="0" w:space="0" w:color="auto"/>
        <w:bottom w:val="none" w:sz="0" w:space="0" w:color="auto"/>
        <w:right w:val="none" w:sz="0" w:space="0" w:color="auto"/>
      </w:divBdr>
      <w:divsChild>
        <w:div w:id="2031683294">
          <w:marLeft w:val="0"/>
          <w:marRight w:val="0"/>
          <w:marTop w:val="0"/>
          <w:marBottom w:val="0"/>
          <w:divBdr>
            <w:top w:val="none" w:sz="0" w:space="0" w:color="auto"/>
            <w:left w:val="none" w:sz="0" w:space="0" w:color="auto"/>
            <w:bottom w:val="none" w:sz="0" w:space="0" w:color="auto"/>
            <w:right w:val="none" w:sz="0" w:space="0" w:color="auto"/>
          </w:divBdr>
          <w:divsChild>
            <w:div w:id="787238871">
              <w:marLeft w:val="0"/>
              <w:marRight w:val="0"/>
              <w:marTop w:val="0"/>
              <w:marBottom w:val="0"/>
              <w:divBdr>
                <w:top w:val="none" w:sz="0" w:space="0" w:color="auto"/>
                <w:left w:val="none" w:sz="0" w:space="0" w:color="auto"/>
                <w:bottom w:val="none" w:sz="0" w:space="0" w:color="auto"/>
                <w:right w:val="none" w:sz="0" w:space="0" w:color="auto"/>
              </w:divBdr>
              <w:divsChild>
                <w:div w:id="1389305185">
                  <w:marLeft w:val="0"/>
                  <w:marRight w:val="0"/>
                  <w:marTop w:val="0"/>
                  <w:marBottom w:val="0"/>
                  <w:divBdr>
                    <w:top w:val="none" w:sz="0" w:space="0" w:color="auto"/>
                    <w:left w:val="none" w:sz="0" w:space="0" w:color="auto"/>
                    <w:bottom w:val="none" w:sz="0" w:space="0" w:color="auto"/>
                    <w:right w:val="none" w:sz="0" w:space="0" w:color="auto"/>
                  </w:divBdr>
                  <w:divsChild>
                    <w:div w:id="980304283">
                      <w:marLeft w:val="0"/>
                      <w:marRight w:val="0"/>
                      <w:marTop w:val="0"/>
                      <w:marBottom w:val="0"/>
                      <w:divBdr>
                        <w:top w:val="none" w:sz="0" w:space="0" w:color="auto"/>
                        <w:left w:val="none" w:sz="0" w:space="0" w:color="auto"/>
                        <w:bottom w:val="none" w:sz="0" w:space="0" w:color="auto"/>
                        <w:right w:val="none" w:sz="0" w:space="0" w:color="auto"/>
                      </w:divBdr>
                      <w:divsChild>
                        <w:div w:id="16645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45815">
      <w:bodyDiv w:val="1"/>
      <w:marLeft w:val="0"/>
      <w:marRight w:val="0"/>
      <w:marTop w:val="0"/>
      <w:marBottom w:val="0"/>
      <w:divBdr>
        <w:top w:val="none" w:sz="0" w:space="0" w:color="auto"/>
        <w:left w:val="none" w:sz="0" w:space="0" w:color="auto"/>
        <w:bottom w:val="none" w:sz="0" w:space="0" w:color="auto"/>
        <w:right w:val="none" w:sz="0" w:space="0" w:color="auto"/>
      </w:divBdr>
    </w:div>
    <w:div w:id="149106779">
      <w:bodyDiv w:val="1"/>
      <w:marLeft w:val="0"/>
      <w:marRight w:val="0"/>
      <w:marTop w:val="0"/>
      <w:marBottom w:val="0"/>
      <w:divBdr>
        <w:top w:val="none" w:sz="0" w:space="0" w:color="auto"/>
        <w:left w:val="none" w:sz="0" w:space="0" w:color="auto"/>
        <w:bottom w:val="none" w:sz="0" w:space="0" w:color="auto"/>
        <w:right w:val="none" w:sz="0" w:space="0" w:color="auto"/>
      </w:divBdr>
    </w:div>
    <w:div w:id="154149314">
      <w:bodyDiv w:val="1"/>
      <w:marLeft w:val="0"/>
      <w:marRight w:val="0"/>
      <w:marTop w:val="0"/>
      <w:marBottom w:val="0"/>
      <w:divBdr>
        <w:top w:val="none" w:sz="0" w:space="0" w:color="auto"/>
        <w:left w:val="none" w:sz="0" w:space="0" w:color="auto"/>
        <w:bottom w:val="none" w:sz="0" w:space="0" w:color="auto"/>
        <w:right w:val="none" w:sz="0" w:space="0" w:color="auto"/>
      </w:divBdr>
    </w:div>
    <w:div w:id="156119378">
      <w:bodyDiv w:val="1"/>
      <w:marLeft w:val="0"/>
      <w:marRight w:val="0"/>
      <w:marTop w:val="0"/>
      <w:marBottom w:val="0"/>
      <w:divBdr>
        <w:top w:val="none" w:sz="0" w:space="0" w:color="auto"/>
        <w:left w:val="none" w:sz="0" w:space="0" w:color="auto"/>
        <w:bottom w:val="none" w:sz="0" w:space="0" w:color="auto"/>
        <w:right w:val="none" w:sz="0" w:space="0" w:color="auto"/>
      </w:divBdr>
    </w:div>
    <w:div w:id="159390996">
      <w:bodyDiv w:val="1"/>
      <w:marLeft w:val="0"/>
      <w:marRight w:val="0"/>
      <w:marTop w:val="0"/>
      <w:marBottom w:val="0"/>
      <w:divBdr>
        <w:top w:val="none" w:sz="0" w:space="0" w:color="auto"/>
        <w:left w:val="none" w:sz="0" w:space="0" w:color="auto"/>
        <w:bottom w:val="none" w:sz="0" w:space="0" w:color="auto"/>
        <w:right w:val="none" w:sz="0" w:space="0" w:color="auto"/>
      </w:divBdr>
    </w:div>
    <w:div w:id="170413016">
      <w:bodyDiv w:val="1"/>
      <w:marLeft w:val="0"/>
      <w:marRight w:val="0"/>
      <w:marTop w:val="0"/>
      <w:marBottom w:val="0"/>
      <w:divBdr>
        <w:top w:val="none" w:sz="0" w:space="0" w:color="auto"/>
        <w:left w:val="none" w:sz="0" w:space="0" w:color="auto"/>
        <w:bottom w:val="none" w:sz="0" w:space="0" w:color="auto"/>
        <w:right w:val="none" w:sz="0" w:space="0" w:color="auto"/>
      </w:divBdr>
    </w:div>
    <w:div w:id="175340958">
      <w:bodyDiv w:val="1"/>
      <w:marLeft w:val="0"/>
      <w:marRight w:val="0"/>
      <w:marTop w:val="0"/>
      <w:marBottom w:val="0"/>
      <w:divBdr>
        <w:top w:val="none" w:sz="0" w:space="0" w:color="auto"/>
        <w:left w:val="none" w:sz="0" w:space="0" w:color="auto"/>
        <w:bottom w:val="none" w:sz="0" w:space="0" w:color="auto"/>
        <w:right w:val="none" w:sz="0" w:space="0" w:color="auto"/>
      </w:divBdr>
    </w:div>
    <w:div w:id="194387919">
      <w:bodyDiv w:val="1"/>
      <w:marLeft w:val="0"/>
      <w:marRight w:val="0"/>
      <w:marTop w:val="0"/>
      <w:marBottom w:val="0"/>
      <w:divBdr>
        <w:top w:val="none" w:sz="0" w:space="0" w:color="auto"/>
        <w:left w:val="none" w:sz="0" w:space="0" w:color="auto"/>
        <w:bottom w:val="none" w:sz="0" w:space="0" w:color="auto"/>
        <w:right w:val="none" w:sz="0" w:space="0" w:color="auto"/>
      </w:divBdr>
    </w:div>
    <w:div w:id="196045019">
      <w:bodyDiv w:val="1"/>
      <w:marLeft w:val="0"/>
      <w:marRight w:val="0"/>
      <w:marTop w:val="0"/>
      <w:marBottom w:val="0"/>
      <w:divBdr>
        <w:top w:val="none" w:sz="0" w:space="0" w:color="auto"/>
        <w:left w:val="none" w:sz="0" w:space="0" w:color="auto"/>
        <w:bottom w:val="none" w:sz="0" w:space="0" w:color="auto"/>
        <w:right w:val="none" w:sz="0" w:space="0" w:color="auto"/>
      </w:divBdr>
    </w:div>
    <w:div w:id="197353048">
      <w:bodyDiv w:val="1"/>
      <w:marLeft w:val="0"/>
      <w:marRight w:val="0"/>
      <w:marTop w:val="0"/>
      <w:marBottom w:val="0"/>
      <w:divBdr>
        <w:top w:val="none" w:sz="0" w:space="0" w:color="auto"/>
        <w:left w:val="none" w:sz="0" w:space="0" w:color="auto"/>
        <w:bottom w:val="none" w:sz="0" w:space="0" w:color="auto"/>
        <w:right w:val="none" w:sz="0" w:space="0" w:color="auto"/>
      </w:divBdr>
    </w:div>
    <w:div w:id="197739570">
      <w:bodyDiv w:val="1"/>
      <w:marLeft w:val="0"/>
      <w:marRight w:val="0"/>
      <w:marTop w:val="0"/>
      <w:marBottom w:val="0"/>
      <w:divBdr>
        <w:top w:val="none" w:sz="0" w:space="0" w:color="auto"/>
        <w:left w:val="none" w:sz="0" w:space="0" w:color="auto"/>
        <w:bottom w:val="none" w:sz="0" w:space="0" w:color="auto"/>
        <w:right w:val="none" w:sz="0" w:space="0" w:color="auto"/>
      </w:divBdr>
    </w:div>
    <w:div w:id="198864661">
      <w:bodyDiv w:val="1"/>
      <w:marLeft w:val="0"/>
      <w:marRight w:val="0"/>
      <w:marTop w:val="0"/>
      <w:marBottom w:val="0"/>
      <w:divBdr>
        <w:top w:val="none" w:sz="0" w:space="0" w:color="auto"/>
        <w:left w:val="none" w:sz="0" w:space="0" w:color="auto"/>
        <w:bottom w:val="none" w:sz="0" w:space="0" w:color="auto"/>
        <w:right w:val="none" w:sz="0" w:space="0" w:color="auto"/>
      </w:divBdr>
    </w:div>
    <w:div w:id="205459571">
      <w:bodyDiv w:val="1"/>
      <w:marLeft w:val="0"/>
      <w:marRight w:val="0"/>
      <w:marTop w:val="0"/>
      <w:marBottom w:val="0"/>
      <w:divBdr>
        <w:top w:val="none" w:sz="0" w:space="0" w:color="auto"/>
        <w:left w:val="none" w:sz="0" w:space="0" w:color="auto"/>
        <w:bottom w:val="none" w:sz="0" w:space="0" w:color="auto"/>
        <w:right w:val="none" w:sz="0" w:space="0" w:color="auto"/>
      </w:divBdr>
    </w:div>
    <w:div w:id="221452626">
      <w:bodyDiv w:val="1"/>
      <w:marLeft w:val="0"/>
      <w:marRight w:val="0"/>
      <w:marTop w:val="0"/>
      <w:marBottom w:val="0"/>
      <w:divBdr>
        <w:top w:val="none" w:sz="0" w:space="0" w:color="auto"/>
        <w:left w:val="none" w:sz="0" w:space="0" w:color="auto"/>
        <w:bottom w:val="none" w:sz="0" w:space="0" w:color="auto"/>
        <w:right w:val="none" w:sz="0" w:space="0" w:color="auto"/>
      </w:divBdr>
    </w:div>
    <w:div w:id="228268593">
      <w:bodyDiv w:val="1"/>
      <w:marLeft w:val="0"/>
      <w:marRight w:val="0"/>
      <w:marTop w:val="0"/>
      <w:marBottom w:val="0"/>
      <w:divBdr>
        <w:top w:val="none" w:sz="0" w:space="0" w:color="auto"/>
        <w:left w:val="none" w:sz="0" w:space="0" w:color="auto"/>
        <w:bottom w:val="none" w:sz="0" w:space="0" w:color="auto"/>
        <w:right w:val="none" w:sz="0" w:space="0" w:color="auto"/>
      </w:divBdr>
    </w:div>
    <w:div w:id="250309872">
      <w:bodyDiv w:val="1"/>
      <w:marLeft w:val="0"/>
      <w:marRight w:val="0"/>
      <w:marTop w:val="0"/>
      <w:marBottom w:val="0"/>
      <w:divBdr>
        <w:top w:val="none" w:sz="0" w:space="0" w:color="auto"/>
        <w:left w:val="none" w:sz="0" w:space="0" w:color="auto"/>
        <w:bottom w:val="none" w:sz="0" w:space="0" w:color="auto"/>
        <w:right w:val="none" w:sz="0" w:space="0" w:color="auto"/>
      </w:divBdr>
    </w:div>
    <w:div w:id="250747523">
      <w:bodyDiv w:val="1"/>
      <w:marLeft w:val="0"/>
      <w:marRight w:val="0"/>
      <w:marTop w:val="0"/>
      <w:marBottom w:val="0"/>
      <w:divBdr>
        <w:top w:val="none" w:sz="0" w:space="0" w:color="auto"/>
        <w:left w:val="none" w:sz="0" w:space="0" w:color="auto"/>
        <w:bottom w:val="none" w:sz="0" w:space="0" w:color="auto"/>
        <w:right w:val="none" w:sz="0" w:space="0" w:color="auto"/>
      </w:divBdr>
    </w:div>
    <w:div w:id="261110226">
      <w:bodyDiv w:val="1"/>
      <w:marLeft w:val="0"/>
      <w:marRight w:val="0"/>
      <w:marTop w:val="0"/>
      <w:marBottom w:val="0"/>
      <w:divBdr>
        <w:top w:val="none" w:sz="0" w:space="0" w:color="auto"/>
        <w:left w:val="none" w:sz="0" w:space="0" w:color="auto"/>
        <w:bottom w:val="none" w:sz="0" w:space="0" w:color="auto"/>
        <w:right w:val="none" w:sz="0" w:space="0" w:color="auto"/>
      </w:divBdr>
    </w:div>
    <w:div w:id="262148266">
      <w:bodyDiv w:val="1"/>
      <w:marLeft w:val="0"/>
      <w:marRight w:val="0"/>
      <w:marTop w:val="0"/>
      <w:marBottom w:val="0"/>
      <w:divBdr>
        <w:top w:val="none" w:sz="0" w:space="0" w:color="auto"/>
        <w:left w:val="none" w:sz="0" w:space="0" w:color="auto"/>
        <w:bottom w:val="none" w:sz="0" w:space="0" w:color="auto"/>
        <w:right w:val="none" w:sz="0" w:space="0" w:color="auto"/>
      </w:divBdr>
    </w:div>
    <w:div w:id="269170932">
      <w:bodyDiv w:val="1"/>
      <w:marLeft w:val="0"/>
      <w:marRight w:val="0"/>
      <w:marTop w:val="0"/>
      <w:marBottom w:val="0"/>
      <w:divBdr>
        <w:top w:val="none" w:sz="0" w:space="0" w:color="auto"/>
        <w:left w:val="none" w:sz="0" w:space="0" w:color="auto"/>
        <w:bottom w:val="none" w:sz="0" w:space="0" w:color="auto"/>
        <w:right w:val="none" w:sz="0" w:space="0" w:color="auto"/>
      </w:divBdr>
    </w:div>
    <w:div w:id="276958260">
      <w:bodyDiv w:val="1"/>
      <w:marLeft w:val="0"/>
      <w:marRight w:val="0"/>
      <w:marTop w:val="0"/>
      <w:marBottom w:val="0"/>
      <w:divBdr>
        <w:top w:val="none" w:sz="0" w:space="0" w:color="auto"/>
        <w:left w:val="none" w:sz="0" w:space="0" w:color="auto"/>
        <w:bottom w:val="none" w:sz="0" w:space="0" w:color="auto"/>
        <w:right w:val="none" w:sz="0" w:space="0" w:color="auto"/>
      </w:divBdr>
    </w:div>
    <w:div w:id="277833250">
      <w:bodyDiv w:val="1"/>
      <w:marLeft w:val="0"/>
      <w:marRight w:val="0"/>
      <w:marTop w:val="0"/>
      <w:marBottom w:val="0"/>
      <w:divBdr>
        <w:top w:val="none" w:sz="0" w:space="0" w:color="auto"/>
        <w:left w:val="none" w:sz="0" w:space="0" w:color="auto"/>
        <w:bottom w:val="none" w:sz="0" w:space="0" w:color="auto"/>
        <w:right w:val="none" w:sz="0" w:space="0" w:color="auto"/>
      </w:divBdr>
    </w:div>
    <w:div w:id="278028945">
      <w:bodyDiv w:val="1"/>
      <w:marLeft w:val="0"/>
      <w:marRight w:val="0"/>
      <w:marTop w:val="0"/>
      <w:marBottom w:val="0"/>
      <w:divBdr>
        <w:top w:val="none" w:sz="0" w:space="0" w:color="auto"/>
        <w:left w:val="none" w:sz="0" w:space="0" w:color="auto"/>
        <w:bottom w:val="none" w:sz="0" w:space="0" w:color="auto"/>
        <w:right w:val="none" w:sz="0" w:space="0" w:color="auto"/>
      </w:divBdr>
    </w:div>
    <w:div w:id="283926532">
      <w:bodyDiv w:val="1"/>
      <w:marLeft w:val="0"/>
      <w:marRight w:val="0"/>
      <w:marTop w:val="0"/>
      <w:marBottom w:val="0"/>
      <w:divBdr>
        <w:top w:val="none" w:sz="0" w:space="0" w:color="auto"/>
        <w:left w:val="none" w:sz="0" w:space="0" w:color="auto"/>
        <w:bottom w:val="none" w:sz="0" w:space="0" w:color="auto"/>
        <w:right w:val="none" w:sz="0" w:space="0" w:color="auto"/>
      </w:divBdr>
    </w:div>
    <w:div w:id="287012127">
      <w:bodyDiv w:val="1"/>
      <w:marLeft w:val="0"/>
      <w:marRight w:val="0"/>
      <w:marTop w:val="0"/>
      <w:marBottom w:val="0"/>
      <w:divBdr>
        <w:top w:val="none" w:sz="0" w:space="0" w:color="auto"/>
        <w:left w:val="none" w:sz="0" w:space="0" w:color="auto"/>
        <w:bottom w:val="none" w:sz="0" w:space="0" w:color="auto"/>
        <w:right w:val="none" w:sz="0" w:space="0" w:color="auto"/>
      </w:divBdr>
    </w:div>
    <w:div w:id="287126852">
      <w:bodyDiv w:val="1"/>
      <w:marLeft w:val="0"/>
      <w:marRight w:val="0"/>
      <w:marTop w:val="0"/>
      <w:marBottom w:val="0"/>
      <w:divBdr>
        <w:top w:val="none" w:sz="0" w:space="0" w:color="auto"/>
        <w:left w:val="none" w:sz="0" w:space="0" w:color="auto"/>
        <w:bottom w:val="none" w:sz="0" w:space="0" w:color="auto"/>
        <w:right w:val="none" w:sz="0" w:space="0" w:color="auto"/>
      </w:divBdr>
    </w:div>
    <w:div w:id="305866709">
      <w:bodyDiv w:val="1"/>
      <w:marLeft w:val="0"/>
      <w:marRight w:val="0"/>
      <w:marTop w:val="0"/>
      <w:marBottom w:val="0"/>
      <w:divBdr>
        <w:top w:val="none" w:sz="0" w:space="0" w:color="auto"/>
        <w:left w:val="none" w:sz="0" w:space="0" w:color="auto"/>
        <w:bottom w:val="none" w:sz="0" w:space="0" w:color="auto"/>
        <w:right w:val="none" w:sz="0" w:space="0" w:color="auto"/>
      </w:divBdr>
    </w:div>
    <w:div w:id="307396148">
      <w:bodyDiv w:val="1"/>
      <w:marLeft w:val="0"/>
      <w:marRight w:val="0"/>
      <w:marTop w:val="0"/>
      <w:marBottom w:val="0"/>
      <w:divBdr>
        <w:top w:val="none" w:sz="0" w:space="0" w:color="auto"/>
        <w:left w:val="none" w:sz="0" w:space="0" w:color="auto"/>
        <w:bottom w:val="none" w:sz="0" w:space="0" w:color="auto"/>
        <w:right w:val="none" w:sz="0" w:space="0" w:color="auto"/>
      </w:divBdr>
    </w:div>
    <w:div w:id="312687270">
      <w:bodyDiv w:val="1"/>
      <w:marLeft w:val="0"/>
      <w:marRight w:val="0"/>
      <w:marTop w:val="0"/>
      <w:marBottom w:val="0"/>
      <w:divBdr>
        <w:top w:val="none" w:sz="0" w:space="0" w:color="auto"/>
        <w:left w:val="none" w:sz="0" w:space="0" w:color="auto"/>
        <w:bottom w:val="none" w:sz="0" w:space="0" w:color="auto"/>
        <w:right w:val="none" w:sz="0" w:space="0" w:color="auto"/>
      </w:divBdr>
    </w:div>
    <w:div w:id="336277435">
      <w:bodyDiv w:val="1"/>
      <w:marLeft w:val="0"/>
      <w:marRight w:val="0"/>
      <w:marTop w:val="0"/>
      <w:marBottom w:val="0"/>
      <w:divBdr>
        <w:top w:val="none" w:sz="0" w:space="0" w:color="auto"/>
        <w:left w:val="none" w:sz="0" w:space="0" w:color="auto"/>
        <w:bottom w:val="none" w:sz="0" w:space="0" w:color="auto"/>
        <w:right w:val="none" w:sz="0" w:space="0" w:color="auto"/>
      </w:divBdr>
    </w:div>
    <w:div w:id="338851306">
      <w:bodyDiv w:val="1"/>
      <w:marLeft w:val="0"/>
      <w:marRight w:val="0"/>
      <w:marTop w:val="0"/>
      <w:marBottom w:val="0"/>
      <w:divBdr>
        <w:top w:val="none" w:sz="0" w:space="0" w:color="auto"/>
        <w:left w:val="none" w:sz="0" w:space="0" w:color="auto"/>
        <w:bottom w:val="none" w:sz="0" w:space="0" w:color="auto"/>
        <w:right w:val="none" w:sz="0" w:space="0" w:color="auto"/>
      </w:divBdr>
    </w:div>
    <w:div w:id="362051956">
      <w:bodyDiv w:val="1"/>
      <w:marLeft w:val="0"/>
      <w:marRight w:val="0"/>
      <w:marTop w:val="0"/>
      <w:marBottom w:val="0"/>
      <w:divBdr>
        <w:top w:val="none" w:sz="0" w:space="0" w:color="auto"/>
        <w:left w:val="none" w:sz="0" w:space="0" w:color="auto"/>
        <w:bottom w:val="none" w:sz="0" w:space="0" w:color="auto"/>
        <w:right w:val="none" w:sz="0" w:space="0" w:color="auto"/>
      </w:divBdr>
    </w:div>
    <w:div w:id="363021008">
      <w:bodyDiv w:val="1"/>
      <w:marLeft w:val="0"/>
      <w:marRight w:val="0"/>
      <w:marTop w:val="0"/>
      <w:marBottom w:val="0"/>
      <w:divBdr>
        <w:top w:val="none" w:sz="0" w:space="0" w:color="auto"/>
        <w:left w:val="none" w:sz="0" w:space="0" w:color="auto"/>
        <w:bottom w:val="none" w:sz="0" w:space="0" w:color="auto"/>
        <w:right w:val="none" w:sz="0" w:space="0" w:color="auto"/>
      </w:divBdr>
    </w:div>
    <w:div w:id="373621871">
      <w:bodyDiv w:val="1"/>
      <w:marLeft w:val="0"/>
      <w:marRight w:val="0"/>
      <w:marTop w:val="0"/>
      <w:marBottom w:val="0"/>
      <w:divBdr>
        <w:top w:val="none" w:sz="0" w:space="0" w:color="auto"/>
        <w:left w:val="none" w:sz="0" w:space="0" w:color="auto"/>
        <w:bottom w:val="none" w:sz="0" w:space="0" w:color="auto"/>
        <w:right w:val="none" w:sz="0" w:space="0" w:color="auto"/>
      </w:divBdr>
    </w:div>
    <w:div w:id="373846694">
      <w:bodyDiv w:val="1"/>
      <w:marLeft w:val="0"/>
      <w:marRight w:val="0"/>
      <w:marTop w:val="0"/>
      <w:marBottom w:val="0"/>
      <w:divBdr>
        <w:top w:val="none" w:sz="0" w:space="0" w:color="auto"/>
        <w:left w:val="none" w:sz="0" w:space="0" w:color="auto"/>
        <w:bottom w:val="none" w:sz="0" w:space="0" w:color="auto"/>
        <w:right w:val="none" w:sz="0" w:space="0" w:color="auto"/>
      </w:divBdr>
    </w:div>
    <w:div w:id="376244455">
      <w:bodyDiv w:val="1"/>
      <w:marLeft w:val="0"/>
      <w:marRight w:val="0"/>
      <w:marTop w:val="0"/>
      <w:marBottom w:val="0"/>
      <w:divBdr>
        <w:top w:val="none" w:sz="0" w:space="0" w:color="auto"/>
        <w:left w:val="none" w:sz="0" w:space="0" w:color="auto"/>
        <w:bottom w:val="none" w:sz="0" w:space="0" w:color="auto"/>
        <w:right w:val="none" w:sz="0" w:space="0" w:color="auto"/>
      </w:divBdr>
    </w:div>
    <w:div w:id="410584530">
      <w:bodyDiv w:val="1"/>
      <w:marLeft w:val="0"/>
      <w:marRight w:val="0"/>
      <w:marTop w:val="0"/>
      <w:marBottom w:val="0"/>
      <w:divBdr>
        <w:top w:val="none" w:sz="0" w:space="0" w:color="auto"/>
        <w:left w:val="none" w:sz="0" w:space="0" w:color="auto"/>
        <w:bottom w:val="none" w:sz="0" w:space="0" w:color="auto"/>
        <w:right w:val="none" w:sz="0" w:space="0" w:color="auto"/>
      </w:divBdr>
    </w:div>
    <w:div w:id="410932005">
      <w:bodyDiv w:val="1"/>
      <w:marLeft w:val="120"/>
      <w:marRight w:val="120"/>
      <w:marTop w:val="45"/>
      <w:marBottom w:val="45"/>
      <w:divBdr>
        <w:top w:val="none" w:sz="0" w:space="0" w:color="auto"/>
        <w:left w:val="none" w:sz="0" w:space="0" w:color="auto"/>
        <w:bottom w:val="none" w:sz="0" w:space="0" w:color="auto"/>
        <w:right w:val="none" w:sz="0" w:space="0" w:color="auto"/>
      </w:divBdr>
      <w:divsChild>
        <w:div w:id="1501582553">
          <w:marLeft w:val="0"/>
          <w:marRight w:val="0"/>
          <w:marTop w:val="0"/>
          <w:marBottom w:val="0"/>
          <w:divBdr>
            <w:top w:val="none" w:sz="0" w:space="0" w:color="auto"/>
            <w:left w:val="none" w:sz="0" w:space="0" w:color="auto"/>
            <w:bottom w:val="none" w:sz="0" w:space="0" w:color="auto"/>
            <w:right w:val="none" w:sz="0" w:space="0" w:color="auto"/>
          </w:divBdr>
          <w:divsChild>
            <w:div w:id="7210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1912">
      <w:bodyDiv w:val="1"/>
      <w:marLeft w:val="0"/>
      <w:marRight w:val="0"/>
      <w:marTop w:val="0"/>
      <w:marBottom w:val="0"/>
      <w:divBdr>
        <w:top w:val="none" w:sz="0" w:space="0" w:color="auto"/>
        <w:left w:val="none" w:sz="0" w:space="0" w:color="auto"/>
        <w:bottom w:val="none" w:sz="0" w:space="0" w:color="auto"/>
        <w:right w:val="none" w:sz="0" w:space="0" w:color="auto"/>
      </w:divBdr>
    </w:div>
    <w:div w:id="437867935">
      <w:bodyDiv w:val="1"/>
      <w:marLeft w:val="0"/>
      <w:marRight w:val="0"/>
      <w:marTop w:val="0"/>
      <w:marBottom w:val="0"/>
      <w:divBdr>
        <w:top w:val="none" w:sz="0" w:space="0" w:color="auto"/>
        <w:left w:val="none" w:sz="0" w:space="0" w:color="auto"/>
        <w:bottom w:val="none" w:sz="0" w:space="0" w:color="auto"/>
        <w:right w:val="none" w:sz="0" w:space="0" w:color="auto"/>
      </w:divBdr>
    </w:div>
    <w:div w:id="437986911">
      <w:bodyDiv w:val="1"/>
      <w:marLeft w:val="0"/>
      <w:marRight w:val="0"/>
      <w:marTop w:val="0"/>
      <w:marBottom w:val="0"/>
      <w:divBdr>
        <w:top w:val="none" w:sz="0" w:space="0" w:color="auto"/>
        <w:left w:val="none" w:sz="0" w:space="0" w:color="auto"/>
        <w:bottom w:val="none" w:sz="0" w:space="0" w:color="auto"/>
        <w:right w:val="none" w:sz="0" w:space="0" w:color="auto"/>
      </w:divBdr>
    </w:div>
    <w:div w:id="449520811">
      <w:bodyDiv w:val="1"/>
      <w:marLeft w:val="0"/>
      <w:marRight w:val="0"/>
      <w:marTop w:val="0"/>
      <w:marBottom w:val="0"/>
      <w:divBdr>
        <w:top w:val="none" w:sz="0" w:space="0" w:color="auto"/>
        <w:left w:val="none" w:sz="0" w:space="0" w:color="auto"/>
        <w:bottom w:val="none" w:sz="0" w:space="0" w:color="auto"/>
        <w:right w:val="none" w:sz="0" w:space="0" w:color="auto"/>
      </w:divBdr>
    </w:div>
    <w:div w:id="451829103">
      <w:bodyDiv w:val="1"/>
      <w:marLeft w:val="0"/>
      <w:marRight w:val="0"/>
      <w:marTop w:val="0"/>
      <w:marBottom w:val="0"/>
      <w:divBdr>
        <w:top w:val="none" w:sz="0" w:space="0" w:color="auto"/>
        <w:left w:val="none" w:sz="0" w:space="0" w:color="auto"/>
        <w:bottom w:val="none" w:sz="0" w:space="0" w:color="auto"/>
        <w:right w:val="none" w:sz="0" w:space="0" w:color="auto"/>
      </w:divBdr>
    </w:div>
    <w:div w:id="466630068">
      <w:bodyDiv w:val="1"/>
      <w:marLeft w:val="0"/>
      <w:marRight w:val="0"/>
      <w:marTop w:val="0"/>
      <w:marBottom w:val="0"/>
      <w:divBdr>
        <w:top w:val="none" w:sz="0" w:space="0" w:color="auto"/>
        <w:left w:val="none" w:sz="0" w:space="0" w:color="auto"/>
        <w:bottom w:val="none" w:sz="0" w:space="0" w:color="auto"/>
        <w:right w:val="none" w:sz="0" w:space="0" w:color="auto"/>
      </w:divBdr>
    </w:div>
    <w:div w:id="473520806">
      <w:bodyDiv w:val="1"/>
      <w:marLeft w:val="0"/>
      <w:marRight w:val="0"/>
      <w:marTop w:val="0"/>
      <w:marBottom w:val="0"/>
      <w:divBdr>
        <w:top w:val="none" w:sz="0" w:space="0" w:color="auto"/>
        <w:left w:val="none" w:sz="0" w:space="0" w:color="auto"/>
        <w:bottom w:val="none" w:sz="0" w:space="0" w:color="auto"/>
        <w:right w:val="none" w:sz="0" w:space="0" w:color="auto"/>
      </w:divBdr>
    </w:div>
    <w:div w:id="475339772">
      <w:bodyDiv w:val="1"/>
      <w:marLeft w:val="0"/>
      <w:marRight w:val="0"/>
      <w:marTop w:val="0"/>
      <w:marBottom w:val="0"/>
      <w:divBdr>
        <w:top w:val="none" w:sz="0" w:space="0" w:color="auto"/>
        <w:left w:val="none" w:sz="0" w:space="0" w:color="auto"/>
        <w:bottom w:val="none" w:sz="0" w:space="0" w:color="auto"/>
        <w:right w:val="none" w:sz="0" w:space="0" w:color="auto"/>
      </w:divBdr>
    </w:div>
    <w:div w:id="478497054">
      <w:bodyDiv w:val="1"/>
      <w:marLeft w:val="0"/>
      <w:marRight w:val="0"/>
      <w:marTop w:val="0"/>
      <w:marBottom w:val="0"/>
      <w:divBdr>
        <w:top w:val="none" w:sz="0" w:space="0" w:color="auto"/>
        <w:left w:val="none" w:sz="0" w:space="0" w:color="auto"/>
        <w:bottom w:val="none" w:sz="0" w:space="0" w:color="auto"/>
        <w:right w:val="none" w:sz="0" w:space="0" w:color="auto"/>
      </w:divBdr>
    </w:div>
    <w:div w:id="479539838">
      <w:bodyDiv w:val="1"/>
      <w:marLeft w:val="0"/>
      <w:marRight w:val="0"/>
      <w:marTop w:val="0"/>
      <w:marBottom w:val="0"/>
      <w:divBdr>
        <w:top w:val="none" w:sz="0" w:space="0" w:color="auto"/>
        <w:left w:val="none" w:sz="0" w:space="0" w:color="auto"/>
        <w:bottom w:val="none" w:sz="0" w:space="0" w:color="auto"/>
        <w:right w:val="none" w:sz="0" w:space="0" w:color="auto"/>
      </w:divBdr>
    </w:div>
    <w:div w:id="488139631">
      <w:bodyDiv w:val="1"/>
      <w:marLeft w:val="0"/>
      <w:marRight w:val="0"/>
      <w:marTop w:val="0"/>
      <w:marBottom w:val="0"/>
      <w:divBdr>
        <w:top w:val="none" w:sz="0" w:space="0" w:color="auto"/>
        <w:left w:val="none" w:sz="0" w:space="0" w:color="auto"/>
        <w:bottom w:val="none" w:sz="0" w:space="0" w:color="auto"/>
        <w:right w:val="none" w:sz="0" w:space="0" w:color="auto"/>
      </w:divBdr>
    </w:div>
    <w:div w:id="494423005">
      <w:bodyDiv w:val="1"/>
      <w:marLeft w:val="0"/>
      <w:marRight w:val="0"/>
      <w:marTop w:val="0"/>
      <w:marBottom w:val="0"/>
      <w:divBdr>
        <w:top w:val="none" w:sz="0" w:space="0" w:color="auto"/>
        <w:left w:val="none" w:sz="0" w:space="0" w:color="auto"/>
        <w:bottom w:val="none" w:sz="0" w:space="0" w:color="auto"/>
        <w:right w:val="none" w:sz="0" w:space="0" w:color="auto"/>
      </w:divBdr>
    </w:div>
    <w:div w:id="502014915">
      <w:bodyDiv w:val="1"/>
      <w:marLeft w:val="0"/>
      <w:marRight w:val="0"/>
      <w:marTop w:val="0"/>
      <w:marBottom w:val="0"/>
      <w:divBdr>
        <w:top w:val="none" w:sz="0" w:space="0" w:color="auto"/>
        <w:left w:val="none" w:sz="0" w:space="0" w:color="auto"/>
        <w:bottom w:val="none" w:sz="0" w:space="0" w:color="auto"/>
        <w:right w:val="none" w:sz="0" w:space="0" w:color="auto"/>
      </w:divBdr>
    </w:div>
    <w:div w:id="505947649">
      <w:bodyDiv w:val="1"/>
      <w:marLeft w:val="0"/>
      <w:marRight w:val="0"/>
      <w:marTop w:val="0"/>
      <w:marBottom w:val="0"/>
      <w:divBdr>
        <w:top w:val="none" w:sz="0" w:space="0" w:color="auto"/>
        <w:left w:val="none" w:sz="0" w:space="0" w:color="auto"/>
        <w:bottom w:val="none" w:sz="0" w:space="0" w:color="auto"/>
        <w:right w:val="none" w:sz="0" w:space="0" w:color="auto"/>
      </w:divBdr>
    </w:div>
    <w:div w:id="517888676">
      <w:bodyDiv w:val="1"/>
      <w:marLeft w:val="0"/>
      <w:marRight w:val="0"/>
      <w:marTop w:val="0"/>
      <w:marBottom w:val="0"/>
      <w:divBdr>
        <w:top w:val="none" w:sz="0" w:space="0" w:color="auto"/>
        <w:left w:val="none" w:sz="0" w:space="0" w:color="auto"/>
        <w:bottom w:val="none" w:sz="0" w:space="0" w:color="auto"/>
        <w:right w:val="none" w:sz="0" w:space="0" w:color="auto"/>
      </w:divBdr>
    </w:div>
    <w:div w:id="521632417">
      <w:bodyDiv w:val="1"/>
      <w:marLeft w:val="0"/>
      <w:marRight w:val="0"/>
      <w:marTop w:val="0"/>
      <w:marBottom w:val="0"/>
      <w:divBdr>
        <w:top w:val="none" w:sz="0" w:space="0" w:color="auto"/>
        <w:left w:val="none" w:sz="0" w:space="0" w:color="auto"/>
        <w:bottom w:val="none" w:sz="0" w:space="0" w:color="auto"/>
        <w:right w:val="none" w:sz="0" w:space="0" w:color="auto"/>
      </w:divBdr>
    </w:div>
    <w:div w:id="530385049">
      <w:bodyDiv w:val="1"/>
      <w:marLeft w:val="0"/>
      <w:marRight w:val="0"/>
      <w:marTop w:val="0"/>
      <w:marBottom w:val="0"/>
      <w:divBdr>
        <w:top w:val="none" w:sz="0" w:space="0" w:color="auto"/>
        <w:left w:val="none" w:sz="0" w:space="0" w:color="auto"/>
        <w:bottom w:val="none" w:sz="0" w:space="0" w:color="auto"/>
        <w:right w:val="none" w:sz="0" w:space="0" w:color="auto"/>
      </w:divBdr>
    </w:div>
    <w:div w:id="532499012">
      <w:bodyDiv w:val="1"/>
      <w:marLeft w:val="0"/>
      <w:marRight w:val="0"/>
      <w:marTop w:val="0"/>
      <w:marBottom w:val="0"/>
      <w:divBdr>
        <w:top w:val="none" w:sz="0" w:space="0" w:color="auto"/>
        <w:left w:val="none" w:sz="0" w:space="0" w:color="auto"/>
        <w:bottom w:val="none" w:sz="0" w:space="0" w:color="auto"/>
        <w:right w:val="none" w:sz="0" w:space="0" w:color="auto"/>
      </w:divBdr>
    </w:div>
    <w:div w:id="537856584">
      <w:bodyDiv w:val="1"/>
      <w:marLeft w:val="0"/>
      <w:marRight w:val="0"/>
      <w:marTop w:val="0"/>
      <w:marBottom w:val="0"/>
      <w:divBdr>
        <w:top w:val="none" w:sz="0" w:space="0" w:color="auto"/>
        <w:left w:val="none" w:sz="0" w:space="0" w:color="auto"/>
        <w:bottom w:val="none" w:sz="0" w:space="0" w:color="auto"/>
        <w:right w:val="none" w:sz="0" w:space="0" w:color="auto"/>
      </w:divBdr>
    </w:div>
    <w:div w:id="539971603">
      <w:bodyDiv w:val="1"/>
      <w:marLeft w:val="0"/>
      <w:marRight w:val="0"/>
      <w:marTop w:val="0"/>
      <w:marBottom w:val="0"/>
      <w:divBdr>
        <w:top w:val="none" w:sz="0" w:space="0" w:color="auto"/>
        <w:left w:val="none" w:sz="0" w:space="0" w:color="auto"/>
        <w:bottom w:val="none" w:sz="0" w:space="0" w:color="auto"/>
        <w:right w:val="none" w:sz="0" w:space="0" w:color="auto"/>
      </w:divBdr>
    </w:div>
    <w:div w:id="545682741">
      <w:bodyDiv w:val="1"/>
      <w:marLeft w:val="0"/>
      <w:marRight w:val="0"/>
      <w:marTop w:val="0"/>
      <w:marBottom w:val="0"/>
      <w:divBdr>
        <w:top w:val="none" w:sz="0" w:space="0" w:color="auto"/>
        <w:left w:val="none" w:sz="0" w:space="0" w:color="auto"/>
        <w:bottom w:val="none" w:sz="0" w:space="0" w:color="auto"/>
        <w:right w:val="none" w:sz="0" w:space="0" w:color="auto"/>
      </w:divBdr>
    </w:div>
    <w:div w:id="546334289">
      <w:bodyDiv w:val="1"/>
      <w:marLeft w:val="0"/>
      <w:marRight w:val="0"/>
      <w:marTop w:val="0"/>
      <w:marBottom w:val="0"/>
      <w:divBdr>
        <w:top w:val="none" w:sz="0" w:space="0" w:color="auto"/>
        <w:left w:val="none" w:sz="0" w:space="0" w:color="auto"/>
        <w:bottom w:val="none" w:sz="0" w:space="0" w:color="auto"/>
        <w:right w:val="none" w:sz="0" w:space="0" w:color="auto"/>
      </w:divBdr>
    </w:div>
    <w:div w:id="547374723">
      <w:bodyDiv w:val="1"/>
      <w:marLeft w:val="0"/>
      <w:marRight w:val="0"/>
      <w:marTop w:val="0"/>
      <w:marBottom w:val="0"/>
      <w:divBdr>
        <w:top w:val="none" w:sz="0" w:space="0" w:color="auto"/>
        <w:left w:val="none" w:sz="0" w:space="0" w:color="auto"/>
        <w:bottom w:val="none" w:sz="0" w:space="0" w:color="auto"/>
        <w:right w:val="none" w:sz="0" w:space="0" w:color="auto"/>
      </w:divBdr>
    </w:div>
    <w:div w:id="561140185">
      <w:bodyDiv w:val="1"/>
      <w:marLeft w:val="0"/>
      <w:marRight w:val="0"/>
      <w:marTop w:val="0"/>
      <w:marBottom w:val="0"/>
      <w:divBdr>
        <w:top w:val="none" w:sz="0" w:space="0" w:color="auto"/>
        <w:left w:val="none" w:sz="0" w:space="0" w:color="auto"/>
        <w:bottom w:val="none" w:sz="0" w:space="0" w:color="auto"/>
        <w:right w:val="none" w:sz="0" w:space="0" w:color="auto"/>
      </w:divBdr>
    </w:div>
    <w:div w:id="564026402">
      <w:bodyDiv w:val="1"/>
      <w:marLeft w:val="0"/>
      <w:marRight w:val="0"/>
      <w:marTop w:val="0"/>
      <w:marBottom w:val="0"/>
      <w:divBdr>
        <w:top w:val="none" w:sz="0" w:space="0" w:color="auto"/>
        <w:left w:val="none" w:sz="0" w:space="0" w:color="auto"/>
        <w:bottom w:val="none" w:sz="0" w:space="0" w:color="auto"/>
        <w:right w:val="none" w:sz="0" w:space="0" w:color="auto"/>
      </w:divBdr>
    </w:div>
    <w:div w:id="566259580">
      <w:bodyDiv w:val="1"/>
      <w:marLeft w:val="0"/>
      <w:marRight w:val="0"/>
      <w:marTop w:val="0"/>
      <w:marBottom w:val="0"/>
      <w:divBdr>
        <w:top w:val="none" w:sz="0" w:space="0" w:color="auto"/>
        <w:left w:val="none" w:sz="0" w:space="0" w:color="auto"/>
        <w:bottom w:val="none" w:sz="0" w:space="0" w:color="auto"/>
        <w:right w:val="none" w:sz="0" w:space="0" w:color="auto"/>
      </w:divBdr>
    </w:div>
    <w:div w:id="569852536">
      <w:bodyDiv w:val="1"/>
      <w:marLeft w:val="0"/>
      <w:marRight w:val="0"/>
      <w:marTop w:val="0"/>
      <w:marBottom w:val="0"/>
      <w:divBdr>
        <w:top w:val="none" w:sz="0" w:space="0" w:color="auto"/>
        <w:left w:val="none" w:sz="0" w:space="0" w:color="auto"/>
        <w:bottom w:val="none" w:sz="0" w:space="0" w:color="auto"/>
        <w:right w:val="none" w:sz="0" w:space="0" w:color="auto"/>
      </w:divBdr>
    </w:div>
    <w:div w:id="600843296">
      <w:bodyDiv w:val="1"/>
      <w:marLeft w:val="0"/>
      <w:marRight w:val="0"/>
      <w:marTop w:val="0"/>
      <w:marBottom w:val="0"/>
      <w:divBdr>
        <w:top w:val="none" w:sz="0" w:space="0" w:color="auto"/>
        <w:left w:val="none" w:sz="0" w:space="0" w:color="auto"/>
        <w:bottom w:val="none" w:sz="0" w:space="0" w:color="auto"/>
        <w:right w:val="none" w:sz="0" w:space="0" w:color="auto"/>
      </w:divBdr>
    </w:div>
    <w:div w:id="622736795">
      <w:bodyDiv w:val="1"/>
      <w:marLeft w:val="0"/>
      <w:marRight w:val="0"/>
      <w:marTop w:val="0"/>
      <w:marBottom w:val="0"/>
      <w:divBdr>
        <w:top w:val="none" w:sz="0" w:space="0" w:color="auto"/>
        <w:left w:val="none" w:sz="0" w:space="0" w:color="auto"/>
        <w:bottom w:val="none" w:sz="0" w:space="0" w:color="auto"/>
        <w:right w:val="none" w:sz="0" w:space="0" w:color="auto"/>
      </w:divBdr>
    </w:div>
    <w:div w:id="624118739">
      <w:bodyDiv w:val="1"/>
      <w:marLeft w:val="0"/>
      <w:marRight w:val="0"/>
      <w:marTop w:val="0"/>
      <w:marBottom w:val="0"/>
      <w:divBdr>
        <w:top w:val="none" w:sz="0" w:space="0" w:color="auto"/>
        <w:left w:val="none" w:sz="0" w:space="0" w:color="auto"/>
        <w:bottom w:val="none" w:sz="0" w:space="0" w:color="auto"/>
        <w:right w:val="none" w:sz="0" w:space="0" w:color="auto"/>
      </w:divBdr>
    </w:div>
    <w:div w:id="625235949">
      <w:bodyDiv w:val="1"/>
      <w:marLeft w:val="0"/>
      <w:marRight w:val="0"/>
      <w:marTop w:val="0"/>
      <w:marBottom w:val="0"/>
      <w:divBdr>
        <w:top w:val="none" w:sz="0" w:space="0" w:color="auto"/>
        <w:left w:val="none" w:sz="0" w:space="0" w:color="auto"/>
        <w:bottom w:val="none" w:sz="0" w:space="0" w:color="auto"/>
        <w:right w:val="none" w:sz="0" w:space="0" w:color="auto"/>
      </w:divBdr>
    </w:div>
    <w:div w:id="627130870">
      <w:bodyDiv w:val="1"/>
      <w:marLeft w:val="0"/>
      <w:marRight w:val="0"/>
      <w:marTop w:val="0"/>
      <w:marBottom w:val="0"/>
      <w:divBdr>
        <w:top w:val="none" w:sz="0" w:space="0" w:color="auto"/>
        <w:left w:val="none" w:sz="0" w:space="0" w:color="auto"/>
        <w:bottom w:val="none" w:sz="0" w:space="0" w:color="auto"/>
        <w:right w:val="none" w:sz="0" w:space="0" w:color="auto"/>
      </w:divBdr>
    </w:div>
    <w:div w:id="654918750">
      <w:bodyDiv w:val="1"/>
      <w:marLeft w:val="0"/>
      <w:marRight w:val="0"/>
      <w:marTop w:val="0"/>
      <w:marBottom w:val="0"/>
      <w:divBdr>
        <w:top w:val="none" w:sz="0" w:space="0" w:color="auto"/>
        <w:left w:val="none" w:sz="0" w:space="0" w:color="auto"/>
        <w:bottom w:val="none" w:sz="0" w:space="0" w:color="auto"/>
        <w:right w:val="none" w:sz="0" w:space="0" w:color="auto"/>
      </w:divBdr>
    </w:div>
    <w:div w:id="659891731">
      <w:bodyDiv w:val="1"/>
      <w:marLeft w:val="0"/>
      <w:marRight w:val="0"/>
      <w:marTop w:val="0"/>
      <w:marBottom w:val="0"/>
      <w:divBdr>
        <w:top w:val="none" w:sz="0" w:space="0" w:color="auto"/>
        <w:left w:val="none" w:sz="0" w:space="0" w:color="auto"/>
        <w:bottom w:val="none" w:sz="0" w:space="0" w:color="auto"/>
        <w:right w:val="none" w:sz="0" w:space="0" w:color="auto"/>
      </w:divBdr>
    </w:div>
    <w:div w:id="689454014">
      <w:bodyDiv w:val="1"/>
      <w:marLeft w:val="0"/>
      <w:marRight w:val="0"/>
      <w:marTop w:val="0"/>
      <w:marBottom w:val="0"/>
      <w:divBdr>
        <w:top w:val="none" w:sz="0" w:space="0" w:color="auto"/>
        <w:left w:val="none" w:sz="0" w:space="0" w:color="auto"/>
        <w:bottom w:val="none" w:sz="0" w:space="0" w:color="auto"/>
        <w:right w:val="none" w:sz="0" w:space="0" w:color="auto"/>
      </w:divBdr>
    </w:div>
    <w:div w:id="712997879">
      <w:bodyDiv w:val="1"/>
      <w:marLeft w:val="0"/>
      <w:marRight w:val="0"/>
      <w:marTop w:val="0"/>
      <w:marBottom w:val="0"/>
      <w:divBdr>
        <w:top w:val="none" w:sz="0" w:space="0" w:color="auto"/>
        <w:left w:val="none" w:sz="0" w:space="0" w:color="auto"/>
        <w:bottom w:val="none" w:sz="0" w:space="0" w:color="auto"/>
        <w:right w:val="none" w:sz="0" w:space="0" w:color="auto"/>
      </w:divBdr>
    </w:div>
    <w:div w:id="714815807">
      <w:bodyDiv w:val="1"/>
      <w:marLeft w:val="0"/>
      <w:marRight w:val="0"/>
      <w:marTop w:val="0"/>
      <w:marBottom w:val="0"/>
      <w:divBdr>
        <w:top w:val="none" w:sz="0" w:space="0" w:color="auto"/>
        <w:left w:val="none" w:sz="0" w:space="0" w:color="auto"/>
        <w:bottom w:val="none" w:sz="0" w:space="0" w:color="auto"/>
        <w:right w:val="none" w:sz="0" w:space="0" w:color="auto"/>
      </w:divBdr>
    </w:div>
    <w:div w:id="716322239">
      <w:bodyDiv w:val="1"/>
      <w:marLeft w:val="0"/>
      <w:marRight w:val="0"/>
      <w:marTop w:val="0"/>
      <w:marBottom w:val="0"/>
      <w:divBdr>
        <w:top w:val="none" w:sz="0" w:space="0" w:color="auto"/>
        <w:left w:val="none" w:sz="0" w:space="0" w:color="auto"/>
        <w:bottom w:val="none" w:sz="0" w:space="0" w:color="auto"/>
        <w:right w:val="none" w:sz="0" w:space="0" w:color="auto"/>
      </w:divBdr>
    </w:div>
    <w:div w:id="721826668">
      <w:bodyDiv w:val="1"/>
      <w:marLeft w:val="0"/>
      <w:marRight w:val="0"/>
      <w:marTop w:val="0"/>
      <w:marBottom w:val="0"/>
      <w:divBdr>
        <w:top w:val="none" w:sz="0" w:space="0" w:color="auto"/>
        <w:left w:val="none" w:sz="0" w:space="0" w:color="auto"/>
        <w:bottom w:val="none" w:sz="0" w:space="0" w:color="auto"/>
        <w:right w:val="none" w:sz="0" w:space="0" w:color="auto"/>
      </w:divBdr>
    </w:div>
    <w:div w:id="729232485">
      <w:bodyDiv w:val="1"/>
      <w:marLeft w:val="0"/>
      <w:marRight w:val="0"/>
      <w:marTop w:val="0"/>
      <w:marBottom w:val="0"/>
      <w:divBdr>
        <w:top w:val="none" w:sz="0" w:space="0" w:color="auto"/>
        <w:left w:val="none" w:sz="0" w:space="0" w:color="auto"/>
        <w:bottom w:val="none" w:sz="0" w:space="0" w:color="auto"/>
        <w:right w:val="none" w:sz="0" w:space="0" w:color="auto"/>
      </w:divBdr>
    </w:div>
    <w:div w:id="755983056">
      <w:bodyDiv w:val="1"/>
      <w:marLeft w:val="0"/>
      <w:marRight w:val="0"/>
      <w:marTop w:val="0"/>
      <w:marBottom w:val="0"/>
      <w:divBdr>
        <w:top w:val="none" w:sz="0" w:space="0" w:color="auto"/>
        <w:left w:val="none" w:sz="0" w:space="0" w:color="auto"/>
        <w:bottom w:val="none" w:sz="0" w:space="0" w:color="auto"/>
        <w:right w:val="none" w:sz="0" w:space="0" w:color="auto"/>
      </w:divBdr>
    </w:div>
    <w:div w:id="765345643">
      <w:bodyDiv w:val="1"/>
      <w:marLeft w:val="0"/>
      <w:marRight w:val="0"/>
      <w:marTop w:val="0"/>
      <w:marBottom w:val="0"/>
      <w:divBdr>
        <w:top w:val="none" w:sz="0" w:space="0" w:color="auto"/>
        <w:left w:val="none" w:sz="0" w:space="0" w:color="auto"/>
        <w:bottom w:val="none" w:sz="0" w:space="0" w:color="auto"/>
        <w:right w:val="none" w:sz="0" w:space="0" w:color="auto"/>
      </w:divBdr>
    </w:div>
    <w:div w:id="777289653">
      <w:bodyDiv w:val="1"/>
      <w:marLeft w:val="0"/>
      <w:marRight w:val="0"/>
      <w:marTop w:val="0"/>
      <w:marBottom w:val="0"/>
      <w:divBdr>
        <w:top w:val="none" w:sz="0" w:space="0" w:color="auto"/>
        <w:left w:val="none" w:sz="0" w:space="0" w:color="auto"/>
        <w:bottom w:val="none" w:sz="0" w:space="0" w:color="auto"/>
        <w:right w:val="none" w:sz="0" w:space="0" w:color="auto"/>
      </w:divBdr>
    </w:div>
    <w:div w:id="778257922">
      <w:bodyDiv w:val="1"/>
      <w:marLeft w:val="0"/>
      <w:marRight w:val="0"/>
      <w:marTop w:val="0"/>
      <w:marBottom w:val="0"/>
      <w:divBdr>
        <w:top w:val="none" w:sz="0" w:space="0" w:color="auto"/>
        <w:left w:val="none" w:sz="0" w:space="0" w:color="auto"/>
        <w:bottom w:val="none" w:sz="0" w:space="0" w:color="auto"/>
        <w:right w:val="none" w:sz="0" w:space="0" w:color="auto"/>
      </w:divBdr>
    </w:div>
    <w:div w:id="791091114">
      <w:bodyDiv w:val="1"/>
      <w:marLeft w:val="0"/>
      <w:marRight w:val="0"/>
      <w:marTop w:val="0"/>
      <w:marBottom w:val="0"/>
      <w:divBdr>
        <w:top w:val="none" w:sz="0" w:space="0" w:color="auto"/>
        <w:left w:val="none" w:sz="0" w:space="0" w:color="auto"/>
        <w:bottom w:val="none" w:sz="0" w:space="0" w:color="auto"/>
        <w:right w:val="none" w:sz="0" w:space="0" w:color="auto"/>
      </w:divBdr>
    </w:div>
    <w:div w:id="803351179">
      <w:bodyDiv w:val="1"/>
      <w:marLeft w:val="0"/>
      <w:marRight w:val="0"/>
      <w:marTop w:val="0"/>
      <w:marBottom w:val="0"/>
      <w:divBdr>
        <w:top w:val="none" w:sz="0" w:space="0" w:color="auto"/>
        <w:left w:val="none" w:sz="0" w:space="0" w:color="auto"/>
        <w:bottom w:val="none" w:sz="0" w:space="0" w:color="auto"/>
        <w:right w:val="none" w:sz="0" w:space="0" w:color="auto"/>
      </w:divBdr>
    </w:div>
    <w:div w:id="822505033">
      <w:bodyDiv w:val="1"/>
      <w:marLeft w:val="0"/>
      <w:marRight w:val="0"/>
      <w:marTop w:val="0"/>
      <w:marBottom w:val="0"/>
      <w:divBdr>
        <w:top w:val="none" w:sz="0" w:space="0" w:color="auto"/>
        <w:left w:val="none" w:sz="0" w:space="0" w:color="auto"/>
        <w:bottom w:val="none" w:sz="0" w:space="0" w:color="auto"/>
        <w:right w:val="none" w:sz="0" w:space="0" w:color="auto"/>
      </w:divBdr>
    </w:div>
    <w:div w:id="823858419">
      <w:bodyDiv w:val="1"/>
      <w:marLeft w:val="0"/>
      <w:marRight w:val="0"/>
      <w:marTop w:val="0"/>
      <w:marBottom w:val="0"/>
      <w:divBdr>
        <w:top w:val="none" w:sz="0" w:space="0" w:color="auto"/>
        <w:left w:val="none" w:sz="0" w:space="0" w:color="auto"/>
        <w:bottom w:val="none" w:sz="0" w:space="0" w:color="auto"/>
        <w:right w:val="none" w:sz="0" w:space="0" w:color="auto"/>
      </w:divBdr>
    </w:div>
    <w:div w:id="833647241">
      <w:bodyDiv w:val="1"/>
      <w:marLeft w:val="0"/>
      <w:marRight w:val="0"/>
      <w:marTop w:val="0"/>
      <w:marBottom w:val="0"/>
      <w:divBdr>
        <w:top w:val="none" w:sz="0" w:space="0" w:color="auto"/>
        <w:left w:val="none" w:sz="0" w:space="0" w:color="auto"/>
        <w:bottom w:val="none" w:sz="0" w:space="0" w:color="auto"/>
        <w:right w:val="none" w:sz="0" w:space="0" w:color="auto"/>
      </w:divBdr>
    </w:div>
    <w:div w:id="839853820">
      <w:bodyDiv w:val="1"/>
      <w:marLeft w:val="0"/>
      <w:marRight w:val="0"/>
      <w:marTop w:val="0"/>
      <w:marBottom w:val="0"/>
      <w:divBdr>
        <w:top w:val="none" w:sz="0" w:space="0" w:color="auto"/>
        <w:left w:val="none" w:sz="0" w:space="0" w:color="auto"/>
        <w:bottom w:val="none" w:sz="0" w:space="0" w:color="auto"/>
        <w:right w:val="none" w:sz="0" w:space="0" w:color="auto"/>
      </w:divBdr>
    </w:div>
    <w:div w:id="842664460">
      <w:bodyDiv w:val="1"/>
      <w:marLeft w:val="0"/>
      <w:marRight w:val="0"/>
      <w:marTop w:val="0"/>
      <w:marBottom w:val="0"/>
      <w:divBdr>
        <w:top w:val="none" w:sz="0" w:space="0" w:color="auto"/>
        <w:left w:val="none" w:sz="0" w:space="0" w:color="auto"/>
        <w:bottom w:val="none" w:sz="0" w:space="0" w:color="auto"/>
        <w:right w:val="none" w:sz="0" w:space="0" w:color="auto"/>
      </w:divBdr>
    </w:div>
    <w:div w:id="845824613">
      <w:bodyDiv w:val="1"/>
      <w:marLeft w:val="0"/>
      <w:marRight w:val="0"/>
      <w:marTop w:val="0"/>
      <w:marBottom w:val="0"/>
      <w:divBdr>
        <w:top w:val="none" w:sz="0" w:space="0" w:color="auto"/>
        <w:left w:val="none" w:sz="0" w:space="0" w:color="auto"/>
        <w:bottom w:val="none" w:sz="0" w:space="0" w:color="auto"/>
        <w:right w:val="none" w:sz="0" w:space="0" w:color="auto"/>
      </w:divBdr>
    </w:div>
    <w:div w:id="854415839">
      <w:bodyDiv w:val="1"/>
      <w:marLeft w:val="0"/>
      <w:marRight w:val="0"/>
      <w:marTop w:val="0"/>
      <w:marBottom w:val="0"/>
      <w:divBdr>
        <w:top w:val="none" w:sz="0" w:space="0" w:color="auto"/>
        <w:left w:val="none" w:sz="0" w:space="0" w:color="auto"/>
        <w:bottom w:val="none" w:sz="0" w:space="0" w:color="auto"/>
        <w:right w:val="none" w:sz="0" w:space="0" w:color="auto"/>
      </w:divBdr>
    </w:div>
    <w:div w:id="855195507">
      <w:bodyDiv w:val="1"/>
      <w:marLeft w:val="0"/>
      <w:marRight w:val="0"/>
      <w:marTop w:val="0"/>
      <w:marBottom w:val="0"/>
      <w:divBdr>
        <w:top w:val="none" w:sz="0" w:space="0" w:color="auto"/>
        <w:left w:val="none" w:sz="0" w:space="0" w:color="auto"/>
        <w:bottom w:val="none" w:sz="0" w:space="0" w:color="auto"/>
        <w:right w:val="none" w:sz="0" w:space="0" w:color="auto"/>
      </w:divBdr>
    </w:div>
    <w:div w:id="862014521">
      <w:bodyDiv w:val="1"/>
      <w:marLeft w:val="0"/>
      <w:marRight w:val="0"/>
      <w:marTop w:val="0"/>
      <w:marBottom w:val="0"/>
      <w:divBdr>
        <w:top w:val="none" w:sz="0" w:space="0" w:color="auto"/>
        <w:left w:val="none" w:sz="0" w:space="0" w:color="auto"/>
        <w:bottom w:val="none" w:sz="0" w:space="0" w:color="auto"/>
        <w:right w:val="none" w:sz="0" w:space="0" w:color="auto"/>
      </w:divBdr>
    </w:div>
    <w:div w:id="869296281">
      <w:bodyDiv w:val="1"/>
      <w:marLeft w:val="0"/>
      <w:marRight w:val="0"/>
      <w:marTop w:val="0"/>
      <w:marBottom w:val="0"/>
      <w:divBdr>
        <w:top w:val="none" w:sz="0" w:space="0" w:color="auto"/>
        <w:left w:val="none" w:sz="0" w:space="0" w:color="auto"/>
        <w:bottom w:val="none" w:sz="0" w:space="0" w:color="auto"/>
        <w:right w:val="none" w:sz="0" w:space="0" w:color="auto"/>
      </w:divBdr>
    </w:div>
    <w:div w:id="882867782">
      <w:bodyDiv w:val="1"/>
      <w:marLeft w:val="0"/>
      <w:marRight w:val="0"/>
      <w:marTop w:val="0"/>
      <w:marBottom w:val="0"/>
      <w:divBdr>
        <w:top w:val="none" w:sz="0" w:space="0" w:color="auto"/>
        <w:left w:val="none" w:sz="0" w:space="0" w:color="auto"/>
        <w:bottom w:val="none" w:sz="0" w:space="0" w:color="auto"/>
        <w:right w:val="none" w:sz="0" w:space="0" w:color="auto"/>
      </w:divBdr>
    </w:div>
    <w:div w:id="885144429">
      <w:bodyDiv w:val="1"/>
      <w:marLeft w:val="0"/>
      <w:marRight w:val="0"/>
      <w:marTop w:val="0"/>
      <w:marBottom w:val="0"/>
      <w:divBdr>
        <w:top w:val="none" w:sz="0" w:space="0" w:color="auto"/>
        <w:left w:val="none" w:sz="0" w:space="0" w:color="auto"/>
        <w:bottom w:val="none" w:sz="0" w:space="0" w:color="auto"/>
        <w:right w:val="none" w:sz="0" w:space="0" w:color="auto"/>
      </w:divBdr>
    </w:div>
    <w:div w:id="890506793">
      <w:bodyDiv w:val="1"/>
      <w:marLeft w:val="0"/>
      <w:marRight w:val="0"/>
      <w:marTop w:val="0"/>
      <w:marBottom w:val="0"/>
      <w:divBdr>
        <w:top w:val="none" w:sz="0" w:space="0" w:color="auto"/>
        <w:left w:val="none" w:sz="0" w:space="0" w:color="auto"/>
        <w:bottom w:val="none" w:sz="0" w:space="0" w:color="auto"/>
        <w:right w:val="none" w:sz="0" w:space="0" w:color="auto"/>
      </w:divBdr>
    </w:div>
    <w:div w:id="900477946">
      <w:bodyDiv w:val="1"/>
      <w:marLeft w:val="0"/>
      <w:marRight w:val="0"/>
      <w:marTop w:val="0"/>
      <w:marBottom w:val="0"/>
      <w:divBdr>
        <w:top w:val="none" w:sz="0" w:space="0" w:color="auto"/>
        <w:left w:val="none" w:sz="0" w:space="0" w:color="auto"/>
        <w:bottom w:val="none" w:sz="0" w:space="0" w:color="auto"/>
        <w:right w:val="none" w:sz="0" w:space="0" w:color="auto"/>
      </w:divBdr>
    </w:div>
    <w:div w:id="909773149">
      <w:bodyDiv w:val="1"/>
      <w:marLeft w:val="0"/>
      <w:marRight w:val="0"/>
      <w:marTop w:val="0"/>
      <w:marBottom w:val="0"/>
      <w:divBdr>
        <w:top w:val="none" w:sz="0" w:space="0" w:color="auto"/>
        <w:left w:val="none" w:sz="0" w:space="0" w:color="auto"/>
        <w:bottom w:val="none" w:sz="0" w:space="0" w:color="auto"/>
        <w:right w:val="none" w:sz="0" w:space="0" w:color="auto"/>
      </w:divBdr>
    </w:div>
    <w:div w:id="911741290">
      <w:bodyDiv w:val="1"/>
      <w:marLeft w:val="0"/>
      <w:marRight w:val="0"/>
      <w:marTop w:val="0"/>
      <w:marBottom w:val="0"/>
      <w:divBdr>
        <w:top w:val="none" w:sz="0" w:space="0" w:color="auto"/>
        <w:left w:val="none" w:sz="0" w:space="0" w:color="auto"/>
        <w:bottom w:val="none" w:sz="0" w:space="0" w:color="auto"/>
        <w:right w:val="none" w:sz="0" w:space="0" w:color="auto"/>
      </w:divBdr>
    </w:div>
    <w:div w:id="922035327">
      <w:bodyDiv w:val="1"/>
      <w:marLeft w:val="0"/>
      <w:marRight w:val="0"/>
      <w:marTop w:val="0"/>
      <w:marBottom w:val="0"/>
      <w:divBdr>
        <w:top w:val="none" w:sz="0" w:space="0" w:color="auto"/>
        <w:left w:val="none" w:sz="0" w:space="0" w:color="auto"/>
        <w:bottom w:val="none" w:sz="0" w:space="0" w:color="auto"/>
        <w:right w:val="none" w:sz="0" w:space="0" w:color="auto"/>
      </w:divBdr>
    </w:div>
    <w:div w:id="937786799">
      <w:bodyDiv w:val="1"/>
      <w:marLeft w:val="0"/>
      <w:marRight w:val="0"/>
      <w:marTop w:val="0"/>
      <w:marBottom w:val="0"/>
      <w:divBdr>
        <w:top w:val="none" w:sz="0" w:space="0" w:color="auto"/>
        <w:left w:val="none" w:sz="0" w:space="0" w:color="auto"/>
        <w:bottom w:val="none" w:sz="0" w:space="0" w:color="auto"/>
        <w:right w:val="none" w:sz="0" w:space="0" w:color="auto"/>
      </w:divBdr>
    </w:div>
    <w:div w:id="941687883">
      <w:bodyDiv w:val="1"/>
      <w:marLeft w:val="0"/>
      <w:marRight w:val="0"/>
      <w:marTop w:val="0"/>
      <w:marBottom w:val="0"/>
      <w:divBdr>
        <w:top w:val="none" w:sz="0" w:space="0" w:color="auto"/>
        <w:left w:val="none" w:sz="0" w:space="0" w:color="auto"/>
        <w:bottom w:val="none" w:sz="0" w:space="0" w:color="auto"/>
        <w:right w:val="none" w:sz="0" w:space="0" w:color="auto"/>
      </w:divBdr>
    </w:div>
    <w:div w:id="943414502">
      <w:bodyDiv w:val="1"/>
      <w:marLeft w:val="0"/>
      <w:marRight w:val="0"/>
      <w:marTop w:val="0"/>
      <w:marBottom w:val="0"/>
      <w:divBdr>
        <w:top w:val="none" w:sz="0" w:space="0" w:color="auto"/>
        <w:left w:val="none" w:sz="0" w:space="0" w:color="auto"/>
        <w:bottom w:val="none" w:sz="0" w:space="0" w:color="auto"/>
        <w:right w:val="none" w:sz="0" w:space="0" w:color="auto"/>
      </w:divBdr>
    </w:div>
    <w:div w:id="948467164">
      <w:bodyDiv w:val="1"/>
      <w:marLeft w:val="0"/>
      <w:marRight w:val="0"/>
      <w:marTop w:val="0"/>
      <w:marBottom w:val="0"/>
      <w:divBdr>
        <w:top w:val="none" w:sz="0" w:space="0" w:color="auto"/>
        <w:left w:val="none" w:sz="0" w:space="0" w:color="auto"/>
        <w:bottom w:val="none" w:sz="0" w:space="0" w:color="auto"/>
        <w:right w:val="none" w:sz="0" w:space="0" w:color="auto"/>
      </w:divBdr>
    </w:div>
    <w:div w:id="952781671">
      <w:bodyDiv w:val="1"/>
      <w:marLeft w:val="0"/>
      <w:marRight w:val="0"/>
      <w:marTop w:val="0"/>
      <w:marBottom w:val="0"/>
      <w:divBdr>
        <w:top w:val="none" w:sz="0" w:space="0" w:color="auto"/>
        <w:left w:val="none" w:sz="0" w:space="0" w:color="auto"/>
        <w:bottom w:val="none" w:sz="0" w:space="0" w:color="auto"/>
        <w:right w:val="none" w:sz="0" w:space="0" w:color="auto"/>
      </w:divBdr>
    </w:div>
    <w:div w:id="955256250">
      <w:bodyDiv w:val="1"/>
      <w:marLeft w:val="0"/>
      <w:marRight w:val="0"/>
      <w:marTop w:val="0"/>
      <w:marBottom w:val="0"/>
      <w:divBdr>
        <w:top w:val="none" w:sz="0" w:space="0" w:color="auto"/>
        <w:left w:val="none" w:sz="0" w:space="0" w:color="auto"/>
        <w:bottom w:val="none" w:sz="0" w:space="0" w:color="auto"/>
        <w:right w:val="none" w:sz="0" w:space="0" w:color="auto"/>
      </w:divBdr>
    </w:div>
    <w:div w:id="970019181">
      <w:bodyDiv w:val="1"/>
      <w:marLeft w:val="0"/>
      <w:marRight w:val="0"/>
      <w:marTop w:val="0"/>
      <w:marBottom w:val="0"/>
      <w:divBdr>
        <w:top w:val="none" w:sz="0" w:space="0" w:color="auto"/>
        <w:left w:val="none" w:sz="0" w:space="0" w:color="auto"/>
        <w:bottom w:val="none" w:sz="0" w:space="0" w:color="auto"/>
        <w:right w:val="none" w:sz="0" w:space="0" w:color="auto"/>
      </w:divBdr>
    </w:div>
    <w:div w:id="973022721">
      <w:bodyDiv w:val="1"/>
      <w:marLeft w:val="0"/>
      <w:marRight w:val="0"/>
      <w:marTop w:val="0"/>
      <w:marBottom w:val="0"/>
      <w:divBdr>
        <w:top w:val="none" w:sz="0" w:space="0" w:color="auto"/>
        <w:left w:val="none" w:sz="0" w:space="0" w:color="auto"/>
        <w:bottom w:val="none" w:sz="0" w:space="0" w:color="auto"/>
        <w:right w:val="none" w:sz="0" w:space="0" w:color="auto"/>
      </w:divBdr>
    </w:div>
    <w:div w:id="977731736">
      <w:bodyDiv w:val="1"/>
      <w:marLeft w:val="0"/>
      <w:marRight w:val="0"/>
      <w:marTop w:val="0"/>
      <w:marBottom w:val="0"/>
      <w:divBdr>
        <w:top w:val="none" w:sz="0" w:space="0" w:color="auto"/>
        <w:left w:val="none" w:sz="0" w:space="0" w:color="auto"/>
        <w:bottom w:val="none" w:sz="0" w:space="0" w:color="auto"/>
        <w:right w:val="none" w:sz="0" w:space="0" w:color="auto"/>
      </w:divBdr>
    </w:div>
    <w:div w:id="979773119">
      <w:bodyDiv w:val="1"/>
      <w:marLeft w:val="0"/>
      <w:marRight w:val="0"/>
      <w:marTop w:val="0"/>
      <w:marBottom w:val="0"/>
      <w:divBdr>
        <w:top w:val="none" w:sz="0" w:space="0" w:color="auto"/>
        <w:left w:val="none" w:sz="0" w:space="0" w:color="auto"/>
        <w:bottom w:val="none" w:sz="0" w:space="0" w:color="auto"/>
        <w:right w:val="none" w:sz="0" w:space="0" w:color="auto"/>
      </w:divBdr>
    </w:div>
    <w:div w:id="985013797">
      <w:bodyDiv w:val="1"/>
      <w:marLeft w:val="0"/>
      <w:marRight w:val="0"/>
      <w:marTop w:val="0"/>
      <w:marBottom w:val="0"/>
      <w:divBdr>
        <w:top w:val="none" w:sz="0" w:space="0" w:color="auto"/>
        <w:left w:val="none" w:sz="0" w:space="0" w:color="auto"/>
        <w:bottom w:val="none" w:sz="0" w:space="0" w:color="auto"/>
        <w:right w:val="none" w:sz="0" w:space="0" w:color="auto"/>
      </w:divBdr>
    </w:div>
    <w:div w:id="987517036">
      <w:bodyDiv w:val="1"/>
      <w:marLeft w:val="0"/>
      <w:marRight w:val="0"/>
      <w:marTop w:val="0"/>
      <w:marBottom w:val="0"/>
      <w:divBdr>
        <w:top w:val="none" w:sz="0" w:space="0" w:color="auto"/>
        <w:left w:val="none" w:sz="0" w:space="0" w:color="auto"/>
        <w:bottom w:val="none" w:sz="0" w:space="0" w:color="auto"/>
        <w:right w:val="none" w:sz="0" w:space="0" w:color="auto"/>
      </w:divBdr>
    </w:div>
    <w:div w:id="999502401">
      <w:bodyDiv w:val="1"/>
      <w:marLeft w:val="0"/>
      <w:marRight w:val="0"/>
      <w:marTop w:val="0"/>
      <w:marBottom w:val="0"/>
      <w:divBdr>
        <w:top w:val="none" w:sz="0" w:space="0" w:color="auto"/>
        <w:left w:val="none" w:sz="0" w:space="0" w:color="auto"/>
        <w:bottom w:val="none" w:sz="0" w:space="0" w:color="auto"/>
        <w:right w:val="none" w:sz="0" w:space="0" w:color="auto"/>
      </w:divBdr>
    </w:div>
    <w:div w:id="1002244106">
      <w:bodyDiv w:val="1"/>
      <w:marLeft w:val="0"/>
      <w:marRight w:val="0"/>
      <w:marTop w:val="0"/>
      <w:marBottom w:val="0"/>
      <w:divBdr>
        <w:top w:val="none" w:sz="0" w:space="0" w:color="auto"/>
        <w:left w:val="none" w:sz="0" w:space="0" w:color="auto"/>
        <w:bottom w:val="none" w:sz="0" w:space="0" w:color="auto"/>
        <w:right w:val="none" w:sz="0" w:space="0" w:color="auto"/>
      </w:divBdr>
    </w:div>
    <w:div w:id="1002969706">
      <w:bodyDiv w:val="1"/>
      <w:marLeft w:val="0"/>
      <w:marRight w:val="0"/>
      <w:marTop w:val="0"/>
      <w:marBottom w:val="0"/>
      <w:divBdr>
        <w:top w:val="none" w:sz="0" w:space="0" w:color="auto"/>
        <w:left w:val="none" w:sz="0" w:space="0" w:color="auto"/>
        <w:bottom w:val="none" w:sz="0" w:space="0" w:color="auto"/>
        <w:right w:val="none" w:sz="0" w:space="0" w:color="auto"/>
      </w:divBdr>
    </w:div>
    <w:div w:id="1010523143">
      <w:bodyDiv w:val="1"/>
      <w:marLeft w:val="0"/>
      <w:marRight w:val="0"/>
      <w:marTop w:val="0"/>
      <w:marBottom w:val="0"/>
      <w:divBdr>
        <w:top w:val="none" w:sz="0" w:space="0" w:color="auto"/>
        <w:left w:val="none" w:sz="0" w:space="0" w:color="auto"/>
        <w:bottom w:val="none" w:sz="0" w:space="0" w:color="auto"/>
        <w:right w:val="none" w:sz="0" w:space="0" w:color="auto"/>
      </w:divBdr>
    </w:div>
    <w:div w:id="1026716762">
      <w:bodyDiv w:val="1"/>
      <w:marLeft w:val="0"/>
      <w:marRight w:val="0"/>
      <w:marTop w:val="0"/>
      <w:marBottom w:val="0"/>
      <w:divBdr>
        <w:top w:val="none" w:sz="0" w:space="0" w:color="auto"/>
        <w:left w:val="none" w:sz="0" w:space="0" w:color="auto"/>
        <w:bottom w:val="none" w:sz="0" w:space="0" w:color="auto"/>
        <w:right w:val="none" w:sz="0" w:space="0" w:color="auto"/>
      </w:divBdr>
    </w:div>
    <w:div w:id="1037925111">
      <w:bodyDiv w:val="1"/>
      <w:marLeft w:val="0"/>
      <w:marRight w:val="0"/>
      <w:marTop w:val="0"/>
      <w:marBottom w:val="0"/>
      <w:divBdr>
        <w:top w:val="none" w:sz="0" w:space="0" w:color="auto"/>
        <w:left w:val="none" w:sz="0" w:space="0" w:color="auto"/>
        <w:bottom w:val="none" w:sz="0" w:space="0" w:color="auto"/>
        <w:right w:val="none" w:sz="0" w:space="0" w:color="auto"/>
      </w:divBdr>
    </w:div>
    <w:div w:id="1054238514">
      <w:bodyDiv w:val="1"/>
      <w:marLeft w:val="0"/>
      <w:marRight w:val="0"/>
      <w:marTop w:val="0"/>
      <w:marBottom w:val="0"/>
      <w:divBdr>
        <w:top w:val="none" w:sz="0" w:space="0" w:color="auto"/>
        <w:left w:val="none" w:sz="0" w:space="0" w:color="auto"/>
        <w:bottom w:val="none" w:sz="0" w:space="0" w:color="auto"/>
        <w:right w:val="none" w:sz="0" w:space="0" w:color="auto"/>
      </w:divBdr>
    </w:div>
    <w:div w:id="1055205619">
      <w:bodyDiv w:val="1"/>
      <w:marLeft w:val="0"/>
      <w:marRight w:val="0"/>
      <w:marTop w:val="0"/>
      <w:marBottom w:val="0"/>
      <w:divBdr>
        <w:top w:val="none" w:sz="0" w:space="0" w:color="auto"/>
        <w:left w:val="none" w:sz="0" w:space="0" w:color="auto"/>
        <w:bottom w:val="none" w:sz="0" w:space="0" w:color="auto"/>
        <w:right w:val="none" w:sz="0" w:space="0" w:color="auto"/>
      </w:divBdr>
    </w:div>
    <w:div w:id="1059934358">
      <w:bodyDiv w:val="1"/>
      <w:marLeft w:val="0"/>
      <w:marRight w:val="0"/>
      <w:marTop w:val="0"/>
      <w:marBottom w:val="0"/>
      <w:divBdr>
        <w:top w:val="none" w:sz="0" w:space="0" w:color="auto"/>
        <w:left w:val="none" w:sz="0" w:space="0" w:color="auto"/>
        <w:bottom w:val="none" w:sz="0" w:space="0" w:color="auto"/>
        <w:right w:val="none" w:sz="0" w:space="0" w:color="auto"/>
      </w:divBdr>
    </w:div>
    <w:div w:id="1071806390">
      <w:bodyDiv w:val="1"/>
      <w:marLeft w:val="0"/>
      <w:marRight w:val="0"/>
      <w:marTop w:val="0"/>
      <w:marBottom w:val="0"/>
      <w:divBdr>
        <w:top w:val="none" w:sz="0" w:space="0" w:color="auto"/>
        <w:left w:val="none" w:sz="0" w:space="0" w:color="auto"/>
        <w:bottom w:val="none" w:sz="0" w:space="0" w:color="auto"/>
        <w:right w:val="none" w:sz="0" w:space="0" w:color="auto"/>
      </w:divBdr>
    </w:div>
    <w:div w:id="1076167159">
      <w:bodyDiv w:val="1"/>
      <w:marLeft w:val="0"/>
      <w:marRight w:val="0"/>
      <w:marTop w:val="0"/>
      <w:marBottom w:val="0"/>
      <w:divBdr>
        <w:top w:val="none" w:sz="0" w:space="0" w:color="auto"/>
        <w:left w:val="none" w:sz="0" w:space="0" w:color="auto"/>
        <w:bottom w:val="none" w:sz="0" w:space="0" w:color="auto"/>
        <w:right w:val="none" w:sz="0" w:space="0" w:color="auto"/>
      </w:divBdr>
    </w:div>
    <w:div w:id="1087383105">
      <w:bodyDiv w:val="1"/>
      <w:marLeft w:val="0"/>
      <w:marRight w:val="0"/>
      <w:marTop w:val="0"/>
      <w:marBottom w:val="0"/>
      <w:divBdr>
        <w:top w:val="none" w:sz="0" w:space="0" w:color="auto"/>
        <w:left w:val="none" w:sz="0" w:space="0" w:color="auto"/>
        <w:bottom w:val="none" w:sz="0" w:space="0" w:color="auto"/>
        <w:right w:val="none" w:sz="0" w:space="0" w:color="auto"/>
      </w:divBdr>
    </w:div>
    <w:div w:id="1099563873">
      <w:bodyDiv w:val="1"/>
      <w:marLeft w:val="0"/>
      <w:marRight w:val="0"/>
      <w:marTop w:val="0"/>
      <w:marBottom w:val="0"/>
      <w:divBdr>
        <w:top w:val="none" w:sz="0" w:space="0" w:color="auto"/>
        <w:left w:val="none" w:sz="0" w:space="0" w:color="auto"/>
        <w:bottom w:val="none" w:sz="0" w:space="0" w:color="auto"/>
        <w:right w:val="none" w:sz="0" w:space="0" w:color="auto"/>
      </w:divBdr>
    </w:div>
    <w:div w:id="1113210389">
      <w:bodyDiv w:val="1"/>
      <w:marLeft w:val="0"/>
      <w:marRight w:val="0"/>
      <w:marTop w:val="0"/>
      <w:marBottom w:val="0"/>
      <w:divBdr>
        <w:top w:val="none" w:sz="0" w:space="0" w:color="auto"/>
        <w:left w:val="none" w:sz="0" w:space="0" w:color="auto"/>
        <w:bottom w:val="none" w:sz="0" w:space="0" w:color="auto"/>
        <w:right w:val="none" w:sz="0" w:space="0" w:color="auto"/>
      </w:divBdr>
    </w:div>
    <w:div w:id="1115907605">
      <w:bodyDiv w:val="1"/>
      <w:marLeft w:val="0"/>
      <w:marRight w:val="0"/>
      <w:marTop w:val="0"/>
      <w:marBottom w:val="0"/>
      <w:divBdr>
        <w:top w:val="none" w:sz="0" w:space="0" w:color="auto"/>
        <w:left w:val="none" w:sz="0" w:space="0" w:color="auto"/>
        <w:bottom w:val="none" w:sz="0" w:space="0" w:color="auto"/>
        <w:right w:val="none" w:sz="0" w:space="0" w:color="auto"/>
      </w:divBdr>
    </w:div>
    <w:div w:id="1116290827">
      <w:bodyDiv w:val="1"/>
      <w:marLeft w:val="0"/>
      <w:marRight w:val="0"/>
      <w:marTop w:val="0"/>
      <w:marBottom w:val="0"/>
      <w:divBdr>
        <w:top w:val="none" w:sz="0" w:space="0" w:color="auto"/>
        <w:left w:val="none" w:sz="0" w:space="0" w:color="auto"/>
        <w:bottom w:val="none" w:sz="0" w:space="0" w:color="auto"/>
        <w:right w:val="none" w:sz="0" w:space="0" w:color="auto"/>
      </w:divBdr>
    </w:div>
    <w:div w:id="1126659742">
      <w:bodyDiv w:val="1"/>
      <w:marLeft w:val="0"/>
      <w:marRight w:val="0"/>
      <w:marTop w:val="0"/>
      <w:marBottom w:val="0"/>
      <w:divBdr>
        <w:top w:val="none" w:sz="0" w:space="0" w:color="auto"/>
        <w:left w:val="none" w:sz="0" w:space="0" w:color="auto"/>
        <w:bottom w:val="none" w:sz="0" w:space="0" w:color="auto"/>
        <w:right w:val="none" w:sz="0" w:space="0" w:color="auto"/>
      </w:divBdr>
    </w:div>
    <w:div w:id="1153374080">
      <w:bodyDiv w:val="1"/>
      <w:marLeft w:val="0"/>
      <w:marRight w:val="0"/>
      <w:marTop w:val="0"/>
      <w:marBottom w:val="0"/>
      <w:divBdr>
        <w:top w:val="none" w:sz="0" w:space="0" w:color="auto"/>
        <w:left w:val="none" w:sz="0" w:space="0" w:color="auto"/>
        <w:bottom w:val="none" w:sz="0" w:space="0" w:color="auto"/>
        <w:right w:val="none" w:sz="0" w:space="0" w:color="auto"/>
      </w:divBdr>
    </w:div>
    <w:div w:id="1155608731">
      <w:bodyDiv w:val="1"/>
      <w:marLeft w:val="0"/>
      <w:marRight w:val="0"/>
      <w:marTop w:val="0"/>
      <w:marBottom w:val="0"/>
      <w:divBdr>
        <w:top w:val="none" w:sz="0" w:space="0" w:color="auto"/>
        <w:left w:val="none" w:sz="0" w:space="0" w:color="auto"/>
        <w:bottom w:val="none" w:sz="0" w:space="0" w:color="auto"/>
        <w:right w:val="none" w:sz="0" w:space="0" w:color="auto"/>
      </w:divBdr>
    </w:div>
    <w:div w:id="1171025680">
      <w:bodyDiv w:val="1"/>
      <w:marLeft w:val="0"/>
      <w:marRight w:val="0"/>
      <w:marTop w:val="0"/>
      <w:marBottom w:val="0"/>
      <w:divBdr>
        <w:top w:val="none" w:sz="0" w:space="0" w:color="auto"/>
        <w:left w:val="none" w:sz="0" w:space="0" w:color="auto"/>
        <w:bottom w:val="none" w:sz="0" w:space="0" w:color="auto"/>
        <w:right w:val="none" w:sz="0" w:space="0" w:color="auto"/>
      </w:divBdr>
    </w:div>
    <w:div w:id="1187907883">
      <w:bodyDiv w:val="1"/>
      <w:marLeft w:val="0"/>
      <w:marRight w:val="0"/>
      <w:marTop w:val="0"/>
      <w:marBottom w:val="0"/>
      <w:divBdr>
        <w:top w:val="none" w:sz="0" w:space="0" w:color="auto"/>
        <w:left w:val="none" w:sz="0" w:space="0" w:color="auto"/>
        <w:bottom w:val="none" w:sz="0" w:space="0" w:color="auto"/>
        <w:right w:val="none" w:sz="0" w:space="0" w:color="auto"/>
      </w:divBdr>
    </w:div>
    <w:div w:id="1201016743">
      <w:bodyDiv w:val="1"/>
      <w:marLeft w:val="0"/>
      <w:marRight w:val="0"/>
      <w:marTop w:val="0"/>
      <w:marBottom w:val="0"/>
      <w:divBdr>
        <w:top w:val="none" w:sz="0" w:space="0" w:color="auto"/>
        <w:left w:val="none" w:sz="0" w:space="0" w:color="auto"/>
        <w:bottom w:val="none" w:sz="0" w:space="0" w:color="auto"/>
        <w:right w:val="none" w:sz="0" w:space="0" w:color="auto"/>
      </w:divBdr>
    </w:div>
    <w:div w:id="1206719826">
      <w:bodyDiv w:val="1"/>
      <w:marLeft w:val="0"/>
      <w:marRight w:val="0"/>
      <w:marTop w:val="0"/>
      <w:marBottom w:val="0"/>
      <w:divBdr>
        <w:top w:val="none" w:sz="0" w:space="0" w:color="auto"/>
        <w:left w:val="none" w:sz="0" w:space="0" w:color="auto"/>
        <w:bottom w:val="none" w:sz="0" w:space="0" w:color="auto"/>
        <w:right w:val="none" w:sz="0" w:space="0" w:color="auto"/>
      </w:divBdr>
    </w:div>
    <w:div w:id="1213422993">
      <w:bodyDiv w:val="1"/>
      <w:marLeft w:val="0"/>
      <w:marRight w:val="0"/>
      <w:marTop w:val="0"/>
      <w:marBottom w:val="0"/>
      <w:divBdr>
        <w:top w:val="none" w:sz="0" w:space="0" w:color="auto"/>
        <w:left w:val="none" w:sz="0" w:space="0" w:color="auto"/>
        <w:bottom w:val="none" w:sz="0" w:space="0" w:color="auto"/>
        <w:right w:val="none" w:sz="0" w:space="0" w:color="auto"/>
      </w:divBdr>
    </w:div>
    <w:div w:id="1217857677">
      <w:bodyDiv w:val="1"/>
      <w:marLeft w:val="0"/>
      <w:marRight w:val="0"/>
      <w:marTop w:val="0"/>
      <w:marBottom w:val="0"/>
      <w:divBdr>
        <w:top w:val="none" w:sz="0" w:space="0" w:color="auto"/>
        <w:left w:val="none" w:sz="0" w:space="0" w:color="auto"/>
        <w:bottom w:val="none" w:sz="0" w:space="0" w:color="auto"/>
        <w:right w:val="none" w:sz="0" w:space="0" w:color="auto"/>
      </w:divBdr>
    </w:div>
    <w:div w:id="1220674039">
      <w:bodyDiv w:val="1"/>
      <w:marLeft w:val="0"/>
      <w:marRight w:val="0"/>
      <w:marTop w:val="0"/>
      <w:marBottom w:val="0"/>
      <w:divBdr>
        <w:top w:val="none" w:sz="0" w:space="0" w:color="auto"/>
        <w:left w:val="none" w:sz="0" w:space="0" w:color="auto"/>
        <w:bottom w:val="none" w:sz="0" w:space="0" w:color="auto"/>
        <w:right w:val="none" w:sz="0" w:space="0" w:color="auto"/>
      </w:divBdr>
    </w:div>
    <w:div w:id="1227960003">
      <w:bodyDiv w:val="1"/>
      <w:marLeft w:val="0"/>
      <w:marRight w:val="0"/>
      <w:marTop w:val="0"/>
      <w:marBottom w:val="0"/>
      <w:divBdr>
        <w:top w:val="none" w:sz="0" w:space="0" w:color="auto"/>
        <w:left w:val="none" w:sz="0" w:space="0" w:color="auto"/>
        <w:bottom w:val="none" w:sz="0" w:space="0" w:color="auto"/>
        <w:right w:val="none" w:sz="0" w:space="0" w:color="auto"/>
      </w:divBdr>
    </w:div>
    <w:div w:id="1251038833">
      <w:bodyDiv w:val="1"/>
      <w:marLeft w:val="0"/>
      <w:marRight w:val="0"/>
      <w:marTop w:val="0"/>
      <w:marBottom w:val="0"/>
      <w:divBdr>
        <w:top w:val="none" w:sz="0" w:space="0" w:color="auto"/>
        <w:left w:val="none" w:sz="0" w:space="0" w:color="auto"/>
        <w:bottom w:val="none" w:sz="0" w:space="0" w:color="auto"/>
        <w:right w:val="none" w:sz="0" w:space="0" w:color="auto"/>
      </w:divBdr>
    </w:div>
    <w:div w:id="1261572122">
      <w:bodyDiv w:val="1"/>
      <w:marLeft w:val="0"/>
      <w:marRight w:val="0"/>
      <w:marTop w:val="0"/>
      <w:marBottom w:val="0"/>
      <w:divBdr>
        <w:top w:val="none" w:sz="0" w:space="0" w:color="auto"/>
        <w:left w:val="none" w:sz="0" w:space="0" w:color="auto"/>
        <w:bottom w:val="none" w:sz="0" w:space="0" w:color="auto"/>
        <w:right w:val="none" w:sz="0" w:space="0" w:color="auto"/>
      </w:divBdr>
    </w:div>
    <w:div w:id="1268847508">
      <w:bodyDiv w:val="1"/>
      <w:marLeft w:val="0"/>
      <w:marRight w:val="0"/>
      <w:marTop w:val="0"/>
      <w:marBottom w:val="0"/>
      <w:divBdr>
        <w:top w:val="none" w:sz="0" w:space="0" w:color="auto"/>
        <w:left w:val="none" w:sz="0" w:space="0" w:color="auto"/>
        <w:bottom w:val="none" w:sz="0" w:space="0" w:color="auto"/>
        <w:right w:val="none" w:sz="0" w:space="0" w:color="auto"/>
      </w:divBdr>
    </w:div>
    <w:div w:id="1271083430">
      <w:bodyDiv w:val="1"/>
      <w:marLeft w:val="0"/>
      <w:marRight w:val="0"/>
      <w:marTop w:val="0"/>
      <w:marBottom w:val="0"/>
      <w:divBdr>
        <w:top w:val="none" w:sz="0" w:space="0" w:color="auto"/>
        <w:left w:val="none" w:sz="0" w:space="0" w:color="auto"/>
        <w:bottom w:val="none" w:sz="0" w:space="0" w:color="auto"/>
        <w:right w:val="none" w:sz="0" w:space="0" w:color="auto"/>
      </w:divBdr>
    </w:div>
    <w:div w:id="1276326797">
      <w:bodyDiv w:val="1"/>
      <w:marLeft w:val="0"/>
      <w:marRight w:val="0"/>
      <w:marTop w:val="0"/>
      <w:marBottom w:val="0"/>
      <w:divBdr>
        <w:top w:val="none" w:sz="0" w:space="0" w:color="auto"/>
        <w:left w:val="none" w:sz="0" w:space="0" w:color="auto"/>
        <w:bottom w:val="none" w:sz="0" w:space="0" w:color="auto"/>
        <w:right w:val="none" w:sz="0" w:space="0" w:color="auto"/>
      </w:divBdr>
    </w:div>
    <w:div w:id="1277716168">
      <w:bodyDiv w:val="1"/>
      <w:marLeft w:val="0"/>
      <w:marRight w:val="0"/>
      <w:marTop w:val="0"/>
      <w:marBottom w:val="0"/>
      <w:divBdr>
        <w:top w:val="none" w:sz="0" w:space="0" w:color="auto"/>
        <w:left w:val="none" w:sz="0" w:space="0" w:color="auto"/>
        <w:bottom w:val="none" w:sz="0" w:space="0" w:color="auto"/>
        <w:right w:val="none" w:sz="0" w:space="0" w:color="auto"/>
      </w:divBdr>
    </w:div>
    <w:div w:id="1289430422">
      <w:bodyDiv w:val="1"/>
      <w:marLeft w:val="0"/>
      <w:marRight w:val="0"/>
      <w:marTop w:val="0"/>
      <w:marBottom w:val="0"/>
      <w:divBdr>
        <w:top w:val="none" w:sz="0" w:space="0" w:color="auto"/>
        <w:left w:val="none" w:sz="0" w:space="0" w:color="auto"/>
        <w:bottom w:val="none" w:sz="0" w:space="0" w:color="auto"/>
        <w:right w:val="none" w:sz="0" w:space="0" w:color="auto"/>
      </w:divBdr>
    </w:div>
    <w:div w:id="1311180418">
      <w:bodyDiv w:val="1"/>
      <w:marLeft w:val="0"/>
      <w:marRight w:val="0"/>
      <w:marTop w:val="0"/>
      <w:marBottom w:val="0"/>
      <w:divBdr>
        <w:top w:val="none" w:sz="0" w:space="0" w:color="auto"/>
        <w:left w:val="none" w:sz="0" w:space="0" w:color="auto"/>
        <w:bottom w:val="none" w:sz="0" w:space="0" w:color="auto"/>
        <w:right w:val="none" w:sz="0" w:space="0" w:color="auto"/>
      </w:divBdr>
    </w:div>
    <w:div w:id="1328511551">
      <w:bodyDiv w:val="1"/>
      <w:marLeft w:val="0"/>
      <w:marRight w:val="0"/>
      <w:marTop w:val="0"/>
      <w:marBottom w:val="0"/>
      <w:divBdr>
        <w:top w:val="none" w:sz="0" w:space="0" w:color="auto"/>
        <w:left w:val="none" w:sz="0" w:space="0" w:color="auto"/>
        <w:bottom w:val="none" w:sz="0" w:space="0" w:color="auto"/>
        <w:right w:val="none" w:sz="0" w:space="0" w:color="auto"/>
      </w:divBdr>
    </w:div>
    <w:div w:id="1337030599">
      <w:bodyDiv w:val="1"/>
      <w:marLeft w:val="0"/>
      <w:marRight w:val="0"/>
      <w:marTop w:val="0"/>
      <w:marBottom w:val="0"/>
      <w:divBdr>
        <w:top w:val="none" w:sz="0" w:space="0" w:color="auto"/>
        <w:left w:val="none" w:sz="0" w:space="0" w:color="auto"/>
        <w:bottom w:val="none" w:sz="0" w:space="0" w:color="auto"/>
        <w:right w:val="none" w:sz="0" w:space="0" w:color="auto"/>
      </w:divBdr>
    </w:div>
    <w:div w:id="1360006339">
      <w:bodyDiv w:val="1"/>
      <w:marLeft w:val="0"/>
      <w:marRight w:val="0"/>
      <w:marTop w:val="0"/>
      <w:marBottom w:val="0"/>
      <w:divBdr>
        <w:top w:val="none" w:sz="0" w:space="0" w:color="auto"/>
        <w:left w:val="none" w:sz="0" w:space="0" w:color="auto"/>
        <w:bottom w:val="none" w:sz="0" w:space="0" w:color="auto"/>
        <w:right w:val="none" w:sz="0" w:space="0" w:color="auto"/>
      </w:divBdr>
    </w:div>
    <w:div w:id="1365521243">
      <w:bodyDiv w:val="1"/>
      <w:marLeft w:val="0"/>
      <w:marRight w:val="0"/>
      <w:marTop w:val="0"/>
      <w:marBottom w:val="0"/>
      <w:divBdr>
        <w:top w:val="none" w:sz="0" w:space="0" w:color="auto"/>
        <w:left w:val="none" w:sz="0" w:space="0" w:color="auto"/>
        <w:bottom w:val="none" w:sz="0" w:space="0" w:color="auto"/>
        <w:right w:val="none" w:sz="0" w:space="0" w:color="auto"/>
      </w:divBdr>
    </w:div>
    <w:div w:id="1366099865">
      <w:bodyDiv w:val="1"/>
      <w:marLeft w:val="0"/>
      <w:marRight w:val="0"/>
      <w:marTop w:val="0"/>
      <w:marBottom w:val="0"/>
      <w:divBdr>
        <w:top w:val="none" w:sz="0" w:space="0" w:color="auto"/>
        <w:left w:val="none" w:sz="0" w:space="0" w:color="auto"/>
        <w:bottom w:val="none" w:sz="0" w:space="0" w:color="auto"/>
        <w:right w:val="none" w:sz="0" w:space="0" w:color="auto"/>
      </w:divBdr>
    </w:div>
    <w:div w:id="1371686932">
      <w:bodyDiv w:val="1"/>
      <w:marLeft w:val="0"/>
      <w:marRight w:val="0"/>
      <w:marTop w:val="0"/>
      <w:marBottom w:val="0"/>
      <w:divBdr>
        <w:top w:val="none" w:sz="0" w:space="0" w:color="auto"/>
        <w:left w:val="none" w:sz="0" w:space="0" w:color="auto"/>
        <w:bottom w:val="none" w:sz="0" w:space="0" w:color="auto"/>
        <w:right w:val="none" w:sz="0" w:space="0" w:color="auto"/>
      </w:divBdr>
    </w:div>
    <w:div w:id="1372264315">
      <w:bodyDiv w:val="1"/>
      <w:marLeft w:val="0"/>
      <w:marRight w:val="0"/>
      <w:marTop w:val="0"/>
      <w:marBottom w:val="0"/>
      <w:divBdr>
        <w:top w:val="none" w:sz="0" w:space="0" w:color="auto"/>
        <w:left w:val="none" w:sz="0" w:space="0" w:color="auto"/>
        <w:bottom w:val="none" w:sz="0" w:space="0" w:color="auto"/>
        <w:right w:val="none" w:sz="0" w:space="0" w:color="auto"/>
      </w:divBdr>
    </w:div>
    <w:div w:id="1373578677">
      <w:bodyDiv w:val="1"/>
      <w:marLeft w:val="0"/>
      <w:marRight w:val="0"/>
      <w:marTop w:val="0"/>
      <w:marBottom w:val="0"/>
      <w:divBdr>
        <w:top w:val="none" w:sz="0" w:space="0" w:color="auto"/>
        <w:left w:val="none" w:sz="0" w:space="0" w:color="auto"/>
        <w:bottom w:val="none" w:sz="0" w:space="0" w:color="auto"/>
        <w:right w:val="none" w:sz="0" w:space="0" w:color="auto"/>
      </w:divBdr>
    </w:div>
    <w:div w:id="1375618002">
      <w:bodyDiv w:val="1"/>
      <w:marLeft w:val="0"/>
      <w:marRight w:val="0"/>
      <w:marTop w:val="0"/>
      <w:marBottom w:val="0"/>
      <w:divBdr>
        <w:top w:val="none" w:sz="0" w:space="0" w:color="auto"/>
        <w:left w:val="none" w:sz="0" w:space="0" w:color="auto"/>
        <w:bottom w:val="none" w:sz="0" w:space="0" w:color="auto"/>
        <w:right w:val="none" w:sz="0" w:space="0" w:color="auto"/>
      </w:divBdr>
    </w:div>
    <w:div w:id="1380520609">
      <w:bodyDiv w:val="1"/>
      <w:marLeft w:val="0"/>
      <w:marRight w:val="0"/>
      <w:marTop w:val="0"/>
      <w:marBottom w:val="0"/>
      <w:divBdr>
        <w:top w:val="none" w:sz="0" w:space="0" w:color="auto"/>
        <w:left w:val="none" w:sz="0" w:space="0" w:color="auto"/>
        <w:bottom w:val="none" w:sz="0" w:space="0" w:color="auto"/>
        <w:right w:val="none" w:sz="0" w:space="0" w:color="auto"/>
      </w:divBdr>
    </w:div>
    <w:div w:id="1385564403">
      <w:bodyDiv w:val="1"/>
      <w:marLeft w:val="0"/>
      <w:marRight w:val="0"/>
      <w:marTop w:val="0"/>
      <w:marBottom w:val="0"/>
      <w:divBdr>
        <w:top w:val="none" w:sz="0" w:space="0" w:color="auto"/>
        <w:left w:val="none" w:sz="0" w:space="0" w:color="auto"/>
        <w:bottom w:val="none" w:sz="0" w:space="0" w:color="auto"/>
        <w:right w:val="none" w:sz="0" w:space="0" w:color="auto"/>
      </w:divBdr>
    </w:div>
    <w:div w:id="1386027445">
      <w:bodyDiv w:val="1"/>
      <w:marLeft w:val="0"/>
      <w:marRight w:val="0"/>
      <w:marTop w:val="0"/>
      <w:marBottom w:val="0"/>
      <w:divBdr>
        <w:top w:val="none" w:sz="0" w:space="0" w:color="auto"/>
        <w:left w:val="none" w:sz="0" w:space="0" w:color="auto"/>
        <w:bottom w:val="none" w:sz="0" w:space="0" w:color="auto"/>
        <w:right w:val="none" w:sz="0" w:space="0" w:color="auto"/>
      </w:divBdr>
    </w:div>
    <w:div w:id="1390887451">
      <w:bodyDiv w:val="1"/>
      <w:marLeft w:val="0"/>
      <w:marRight w:val="0"/>
      <w:marTop w:val="0"/>
      <w:marBottom w:val="0"/>
      <w:divBdr>
        <w:top w:val="none" w:sz="0" w:space="0" w:color="auto"/>
        <w:left w:val="none" w:sz="0" w:space="0" w:color="auto"/>
        <w:bottom w:val="none" w:sz="0" w:space="0" w:color="auto"/>
        <w:right w:val="none" w:sz="0" w:space="0" w:color="auto"/>
      </w:divBdr>
    </w:div>
    <w:div w:id="1405951965">
      <w:bodyDiv w:val="1"/>
      <w:marLeft w:val="0"/>
      <w:marRight w:val="0"/>
      <w:marTop w:val="0"/>
      <w:marBottom w:val="0"/>
      <w:divBdr>
        <w:top w:val="none" w:sz="0" w:space="0" w:color="auto"/>
        <w:left w:val="none" w:sz="0" w:space="0" w:color="auto"/>
        <w:bottom w:val="none" w:sz="0" w:space="0" w:color="auto"/>
        <w:right w:val="none" w:sz="0" w:space="0" w:color="auto"/>
      </w:divBdr>
    </w:div>
    <w:div w:id="1407798390">
      <w:bodyDiv w:val="1"/>
      <w:marLeft w:val="0"/>
      <w:marRight w:val="0"/>
      <w:marTop w:val="0"/>
      <w:marBottom w:val="0"/>
      <w:divBdr>
        <w:top w:val="none" w:sz="0" w:space="0" w:color="auto"/>
        <w:left w:val="none" w:sz="0" w:space="0" w:color="auto"/>
        <w:bottom w:val="none" w:sz="0" w:space="0" w:color="auto"/>
        <w:right w:val="none" w:sz="0" w:space="0" w:color="auto"/>
      </w:divBdr>
    </w:div>
    <w:div w:id="1412965708">
      <w:bodyDiv w:val="1"/>
      <w:marLeft w:val="0"/>
      <w:marRight w:val="0"/>
      <w:marTop w:val="0"/>
      <w:marBottom w:val="0"/>
      <w:divBdr>
        <w:top w:val="none" w:sz="0" w:space="0" w:color="auto"/>
        <w:left w:val="none" w:sz="0" w:space="0" w:color="auto"/>
        <w:bottom w:val="none" w:sz="0" w:space="0" w:color="auto"/>
        <w:right w:val="none" w:sz="0" w:space="0" w:color="auto"/>
      </w:divBdr>
    </w:div>
    <w:div w:id="1420982280">
      <w:bodyDiv w:val="1"/>
      <w:marLeft w:val="0"/>
      <w:marRight w:val="0"/>
      <w:marTop w:val="0"/>
      <w:marBottom w:val="0"/>
      <w:divBdr>
        <w:top w:val="none" w:sz="0" w:space="0" w:color="auto"/>
        <w:left w:val="none" w:sz="0" w:space="0" w:color="auto"/>
        <w:bottom w:val="none" w:sz="0" w:space="0" w:color="auto"/>
        <w:right w:val="none" w:sz="0" w:space="0" w:color="auto"/>
      </w:divBdr>
    </w:div>
    <w:div w:id="1421482666">
      <w:bodyDiv w:val="1"/>
      <w:marLeft w:val="0"/>
      <w:marRight w:val="0"/>
      <w:marTop w:val="0"/>
      <w:marBottom w:val="0"/>
      <w:divBdr>
        <w:top w:val="none" w:sz="0" w:space="0" w:color="auto"/>
        <w:left w:val="none" w:sz="0" w:space="0" w:color="auto"/>
        <w:bottom w:val="none" w:sz="0" w:space="0" w:color="auto"/>
        <w:right w:val="none" w:sz="0" w:space="0" w:color="auto"/>
      </w:divBdr>
    </w:div>
    <w:div w:id="1422026129">
      <w:bodyDiv w:val="1"/>
      <w:marLeft w:val="0"/>
      <w:marRight w:val="0"/>
      <w:marTop w:val="0"/>
      <w:marBottom w:val="0"/>
      <w:divBdr>
        <w:top w:val="none" w:sz="0" w:space="0" w:color="auto"/>
        <w:left w:val="none" w:sz="0" w:space="0" w:color="auto"/>
        <w:bottom w:val="none" w:sz="0" w:space="0" w:color="auto"/>
        <w:right w:val="none" w:sz="0" w:space="0" w:color="auto"/>
      </w:divBdr>
    </w:div>
    <w:div w:id="1430005961">
      <w:bodyDiv w:val="1"/>
      <w:marLeft w:val="0"/>
      <w:marRight w:val="0"/>
      <w:marTop w:val="0"/>
      <w:marBottom w:val="0"/>
      <w:divBdr>
        <w:top w:val="none" w:sz="0" w:space="0" w:color="auto"/>
        <w:left w:val="none" w:sz="0" w:space="0" w:color="auto"/>
        <w:bottom w:val="none" w:sz="0" w:space="0" w:color="auto"/>
        <w:right w:val="none" w:sz="0" w:space="0" w:color="auto"/>
      </w:divBdr>
    </w:div>
    <w:div w:id="1433090330">
      <w:bodyDiv w:val="1"/>
      <w:marLeft w:val="0"/>
      <w:marRight w:val="0"/>
      <w:marTop w:val="0"/>
      <w:marBottom w:val="0"/>
      <w:divBdr>
        <w:top w:val="none" w:sz="0" w:space="0" w:color="auto"/>
        <w:left w:val="none" w:sz="0" w:space="0" w:color="auto"/>
        <w:bottom w:val="none" w:sz="0" w:space="0" w:color="auto"/>
        <w:right w:val="none" w:sz="0" w:space="0" w:color="auto"/>
      </w:divBdr>
    </w:div>
    <w:div w:id="1442333606">
      <w:bodyDiv w:val="1"/>
      <w:marLeft w:val="0"/>
      <w:marRight w:val="0"/>
      <w:marTop w:val="0"/>
      <w:marBottom w:val="0"/>
      <w:divBdr>
        <w:top w:val="none" w:sz="0" w:space="0" w:color="auto"/>
        <w:left w:val="none" w:sz="0" w:space="0" w:color="auto"/>
        <w:bottom w:val="none" w:sz="0" w:space="0" w:color="auto"/>
        <w:right w:val="none" w:sz="0" w:space="0" w:color="auto"/>
      </w:divBdr>
    </w:div>
    <w:div w:id="1444883533">
      <w:bodyDiv w:val="1"/>
      <w:marLeft w:val="0"/>
      <w:marRight w:val="0"/>
      <w:marTop w:val="0"/>
      <w:marBottom w:val="0"/>
      <w:divBdr>
        <w:top w:val="none" w:sz="0" w:space="0" w:color="auto"/>
        <w:left w:val="none" w:sz="0" w:space="0" w:color="auto"/>
        <w:bottom w:val="none" w:sz="0" w:space="0" w:color="auto"/>
        <w:right w:val="none" w:sz="0" w:space="0" w:color="auto"/>
      </w:divBdr>
    </w:div>
    <w:div w:id="1479225136">
      <w:bodyDiv w:val="1"/>
      <w:marLeft w:val="0"/>
      <w:marRight w:val="0"/>
      <w:marTop w:val="0"/>
      <w:marBottom w:val="0"/>
      <w:divBdr>
        <w:top w:val="none" w:sz="0" w:space="0" w:color="auto"/>
        <w:left w:val="none" w:sz="0" w:space="0" w:color="auto"/>
        <w:bottom w:val="none" w:sz="0" w:space="0" w:color="auto"/>
        <w:right w:val="none" w:sz="0" w:space="0" w:color="auto"/>
      </w:divBdr>
    </w:div>
    <w:div w:id="1517112721">
      <w:bodyDiv w:val="1"/>
      <w:marLeft w:val="0"/>
      <w:marRight w:val="0"/>
      <w:marTop w:val="0"/>
      <w:marBottom w:val="0"/>
      <w:divBdr>
        <w:top w:val="none" w:sz="0" w:space="0" w:color="auto"/>
        <w:left w:val="none" w:sz="0" w:space="0" w:color="auto"/>
        <w:bottom w:val="none" w:sz="0" w:space="0" w:color="auto"/>
        <w:right w:val="none" w:sz="0" w:space="0" w:color="auto"/>
      </w:divBdr>
    </w:div>
    <w:div w:id="1521310406">
      <w:bodyDiv w:val="1"/>
      <w:marLeft w:val="0"/>
      <w:marRight w:val="0"/>
      <w:marTop w:val="0"/>
      <w:marBottom w:val="0"/>
      <w:divBdr>
        <w:top w:val="none" w:sz="0" w:space="0" w:color="auto"/>
        <w:left w:val="none" w:sz="0" w:space="0" w:color="auto"/>
        <w:bottom w:val="none" w:sz="0" w:space="0" w:color="auto"/>
        <w:right w:val="none" w:sz="0" w:space="0" w:color="auto"/>
      </w:divBdr>
    </w:div>
    <w:div w:id="1524054499">
      <w:bodyDiv w:val="1"/>
      <w:marLeft w:val="0"/>
      <w:marRight w:val="0"/>
      <w:marTop w:val="0"/>
      <w:marBottom w:val="0"/>
      <w:divBdr>
        <w:top w:val="none" w:sz="0" w:space="0" w:color="auto"/>
        <w:left w:val="none" w:sz="0" w:space="0" w:color="auto"/>
        <w:bottom w:val="none" w:sz="0" w:space="0" w:color="auto"/>
        <w:right w:val="none" w:sz="0" w:space="0" w:color="auto"/>
      </w:divBdr>
    </w:div>
    <w:div w:id="1552961696">
      <w:bodyDiv w:val="1"/>
      <w:marLeft w:val="0"/>
      <w:marRight w:val="0"/>
      <w:marTop w:val="0"/>
      <w:marBottom w:val="0"/>
      <w:divBdr>
        <w:top w:val="none" w:sz="0" w:space="0" w:color="auto"/>
        <w:left w:val="none" w:sz="0" w:space="0" w:color="auto"/>
        <w:bottom w:val="none" w:sz="0" w:space="0" w:color="auto"/>
        <w:right w:val="none" w:sz="0" w:space="0" w:color="auto"/>
      </w:divBdr>
    </w:div>
    <w:div w:id="1553077231">
      <w:bodyDiv w:val="1"/>
      <w:marLeft w:val="0"/>
      <w:marRight w:val="0"/>
      <w:marTop w:val="0"/>
      <w:marBottom w:val="0"/>
      <w:divBdr>
        <w:top w:val="none" w:sz="0" w:space="0" w:color="auto"/>
        <w:left w:val="none" w:sz="0" w:space="0" w:color="auto"/>
        <w:bottom w:val="none" w:sz="0" w:space="0" w:color="auto"/>
        <w:right w:val="none" w:sz="0" w:space="0" w:color="auto"/>
      </w:divBdr>
    </w:div>
    <w:div w:id="1555967347">
      <w:bodyDiv w:val="1"/>
      <w:marLeft w:val="0"/>
      <w:marRight w:val="0"/>
      <w:marTop w:val="0"/>
      <w:marBottom w:val="0"/>
      <w:divBdr>
        <w:top w:val="none" w:sz="0" w:space="0" w:color="auto"/>
        <w:left w:val="none" w:sz="0" w:space="0" w:color="auto"/>
        <w:bottom w:val="none" w:sz="0" w:space="0" w:color="auto"/>
        <w:right w:val="none" w:sz="0" w:space="0" w:color="auto"/>
      </w:divBdr>
    </w:div>
    <w:div w:id="1583373237">
      <w:bodyDiv w:val="1"/>
      <w:marLeft w:val="0"/>
      <w:marRight w:val="0"/>
      <w:marTop w:val="0"/>
      <w:marBottom w:val="0"/>
      <w:divBdr>
        <w:top w:val="none" w:sz="0" w:space="0" w:color="auto"/>
        <w:left w:val="none" w:sz="0" w:space="0" w:color="auto"/>
        <w:bottom w:val="none" w:sz="0" w:space="0" w:color="auto"/>
        <w:right w:val="none" w:sz="0" w:space="0" w:color="auto"/>
      </w:divBdr>
    </w:div>
    <w:div w:id="1584224536">
      <w:bodyDiv w:val="1"/>
      <w:marLeft w:val="0"/>
      <w:marRight w:val="0"/>
      <w:marTop w:val="0"/>
      <w:marBottom w:val="0"/>
      <w:divBdr>
        <w:top w:val="none" w:sz="0" w:space="0" w:color="auto"/>
        <w:left w:val="none" w:sz="0" w:space="0" w:color="auto"/>
        <w:bottom w:val="none" w:sz="0" w:space="0" w:color="auto"/>
        <w:right w:val="none" w:sz="0" w:space="0" w:color="auto"/>
      </w:divBdr>
    </w:div>
    <w:div w:id="1591500704">
      <w:bodyDiv w:val="1"/>
      <w:marLeft w:val="0"/>
      <w:marRight w:val="0"/>
      <w:marTop w:val="0"/>
      <w:marBottom w:val="0"/>
      <w:divBdr>
        <w:top w:val="none" w:sz="0" w:space="0" w:color="auto"/>
        <w:left w:val="none" w:sz="0" w:space="0" w:color="auto"/>
        <w:bottom w:val="none" w:sz="0" w:space="0" w:color="auto"/>
        <w:right w:val="none" w:sz="0" w:space="0" w:color="auto"/>
      </w:divBdr>
    </w:div>
    <w:div w:id="1597398399">
      <w:bodyDiv w:val="1"/>
      <w:marLeft w:val="0"/>
      <w:marRight w:val="0"/>
      <w:marTop w:val="0"/>
      <w:marBottom w:val="0"/>
      <w:divBdr>
        <w:top w:val="none" w:sz="0" w:space="0" w:color="auto"/>
        <w:left w:val="none" w:sz="0" w:space="0" w:color="auto"/>
        <w:bottom w:val="none" w:sz="0" w:space="0" w:color="auto"/>
        <w:right w:val="none" w:sz="0" w:space="0" w:color="auto"/>
      </w:divBdr>
    </w:div>
    <w:div w:id="1613584692">
      <w:bodyDiv w:val="1"/>
      <w:marLeft w:val="0"/>
      <w:marRight w:val="0"/>
      <w:marTop w:val="0"/>
      <w:marBottom w:val="0"/>
      <w:divBdr>
        <w:top w:val="none" w:sz="0" w:space="0" w:color="auto"/>
        <w:left w:val="none" w:sz="0" w:space="0" w:color="auto"/>
        <w:bottom w:val="none" w:sz="0" w:space="0" w:color="auto"/>
        <w:right w:val="none" w:sz="0" w:space="0" w:color="auto"/>
      </w:divBdr>
    </w:div>
    <w:div w:id="1628848946">
      <w:bodyDiv w:val="1"/>
      <w:marLeft w:val="0"/>
      <w:marRight w:val="0"/>
      <w:marTop w:val="0"/>
      <w:marBottom w:val="0"/>
      <w:divBdr>
        <w:top w:val="none" w:sz="0" w:space="0" w:color="auto"/>
        <w:left w:val="none" w:sz="0" w:space="0" w:color="auto"/>
        <w:bottom w:val="none" w:sz="0" w:space="0" w:color="auto"/>
        <w:right w:val="none" w:sz="0" w:space="0" w:color="auto"/>
      </w:divBdr>
    </w:div>
    <w:div w:id="1633244755">
      <w:bodyDiv w:val="1"/>
      <w:marLeft w:val="0"/>
      <w:marRight w:val="0"/>
      <w:marTop w:val="0"/>
      <w:marBottom w:val="0"/>
      <w:divBdr>
        <w:top w:val="none" w:sz="0" w:space="0" w:color="auto"/>
        <w:left w:val="none" w:sz="0" w:space="0" w:color="auto"/>
        <w:bottom w:val="none" w:sz="0" w:space="0" w:color="auto"/>
        <w:right w:val="none" w:sz="0" w:space="0" w:color="auto"/>
      </w:divBdr>
    </w:div>
    <w:div w:id="1652365715">
      <w:bodyDiv w:val="1"/>
      <w:marLeft w:val="0"/>
      <w:marRight w:val="0"/>
      <w:marTop w:val="0"/>
      <w:marBottom w:val="0"/>
      <w:divBdr>
        <w:top w:val="none" w:sz="0" w:space="0" w:color="auto"/>
        <w:left w:val="none" w:sz="0" w:space="0" w:color="auto"/>
        <w:bottom w:val="none" w:sz="0" w:space="0" w:color="auto"/>
        <w:right w:val="none" w:sz="0" w:space="0" w:color="auto"/>
      </w:divBdr>
    </w:div>
    <w:div w:id="1654217766">
      <w:bodyDiv w:val="1"/>
      <w:marLeft w:val="0"/>
      <w:marRight w:val="0"/>
      <w:marTop w:val="0"/>
      <w:marBottom w:val="0"/>
      <w:divBdr>
        <w:top w:val="none" w:sz="0" w:space="0" w:color="auto"/>
        <w:left w:val="none" w:sz="0" w:space="0" w:color="auto"/>
        <w:bottom w:val="none" w:sz="0" w:space="0" w:color="auto"/>
        <w:right w:val="none" w:sz="0" w:space="0" w:color="auto"/>
      </w:divBdr>
    </w:div>
    <w:div w:id="1660695137">
      <w:bodyDiv w:val="1"/>
      <w:marLeft w:val="0"/>
      <w:marRight w:val="0"/>
      <w:marTop w:val="0"/>
      <w:marBottom w:val="0"/>
      <w:divBdr>
        <w:top w:val="none" w:sz="0" w:space="0" w:color="auto"/>
        <w:left w:val="none" w:sz="0" w:space="0" w:color="auto"/>
        <w:bottom w:val="none" w:sz="0" w:space="0" w:color="auto"/>
        <w:right w:val="none" w:sz="0" w:space="0" w:color="auto"/>
      </w:divBdr>
    </w:div>
    <w:div w:id="1661233736">
      <w:bodyDiv w:val="1"/>
      <w:marLeft w:val="0"/>
      <w:marRight w:val="0"/>
      <w:marTop w:val="0"/>
      <w:marBottom w:val="0"/>
      <w:divBdr>
        <w:top w:val="none" w:sz="0" w:space="0" w:color="auto"/>
        <w:left w:val="none" w:sz="0" w:space="0" w:color="auto"/>
        <w:bottom w:val="none" w:sz="0" w:space="0" w:color="auto"/>
        <w:right w:val="none" w:sz="0" w:space="0" w:color="auto"/>
      </w:divBdr>
    </w:div>
    <w:div w:id="1667367833">
      <w:bodyDiv w:val="1"/>
      <w:marLeft w:val="0"/>
      <w:marRight w:val="0"/>
      <w:marTop w:val="0"/>
      <w:marBottom w:val="0"/>
      <w:divBdr>
        <w:top w:val="none" w:sz="0" w:space="0" w:color="auto"/>
        <w:left w:val="none" w:sz="0" w:space="0" w:color="auto"/>
        <w:bottom w:val="none" w:sz="0" w:space="0" w:color="auto"/>
        <w:right w:val="none" w:sz="0" w:space="0" w:color="auto"/>
      </w:divBdr>
    </w:div>
    <w:div w:id="1668747550">
      <w:bodyDiv w:val="1"/>
      <w:marLeft w:val="0"/>
      <w:marRight w:val="0"/>
      <w:marTop w:val="0"/>
      <w:marBottom w:val="0"/>
      <w:divBdr>
        <w:top w:val="none" w:sz="0" w:space="0" w:color="auto"/>
        <w:left w:val="none" w:sz="0" w:space="0" w:color="auto"/>
        <w:bottom w:val="none" w:sz="0" w:space="0" w:color="auto"/>
        <w:right w:val="none" w:sz="0" w:space="0" w:color="auto"/>
      </w:divBdr>
    </w:div>
    <w:div w:id="1684167873">
      <w:bodyDiv w:val="1"/>
      <w:marLeft w:val="0"/>
      <w:marRight w:val="0"/>
      <w:marTop w:val="0"/>
      <w:marBottom w:val="0"/>
      <w:divBdr>
        <w:top w:val="none" w:sz="0" w:space="0" w:color="auto"/>
        <w:left w:val="none" w:sz="0" w:space="0" w:color="auto"/>
        <w:bottom w:val="none" w:sz="0" w:space="0" w:color="auto"/>
        <w:right w:val="none" w:sz="0" w:space="0" w:color="auto"/>
      </w:divBdr>
    </w:div>
    <w:div w:id="1696494753">
      <w:bodyDiv w:val="1"/>
      <w:marLeft w:val="0"/>
      <w:marRight w:val="0"/>
      <w:marTop w:val="0"/>
      <w:marBottom w:val="0"/>
      <w:divBdr>
        <w:top w:val="none" w:sz="0" w:space="0" w:color="auto"/>
        <w:left w:val="none" w:sz="0" w:space="0" w:color="auto"/>
        <w:bottom w:val="none" w:sz="0" w:space="0" w:color="auto"/>
        <w:right w:val="none" w:sz="0" w:space="0" w:color="auto"/>
      </w:divBdr>
    </w:div>
    <w:div w:id="1699695699">
      <w:bodyDiv w:val="1"/>
      <w:marLeft w:val="0"/>
      <w:marRight w:val="0"/>
      <w:marTop w:val="0"/>
      <w:marBottom w:val="0"/>
      <w:divBdr>
        <w:top w:val="none" w:sz="0" w:space="0" w:color="auto"/>
        <w:left w:val="none" w:sz="0" w:space="0" w:color="auto"/>
        <w:bottom w:val="none" w:sz="0" w:space="0" w:color="auto"/>
        <w:right w:val="none" w:sz="0" w:space="0" w:color="auto"/>
      </w:divBdr>
    </w:div>
    <w:div w:id="1707607399">
      <w:bodyDiv w:val="1"/>
      <w:marLeft w:val="0"/>
      <w:marRight w:val="0"/>
      <w:marTop w:val="0"/>
      <w:marBottom w:val="0"/>
      <w:divBdr>
        <w:top w:val="none" w:sz="0" w:space="0" w:color="auto"/>
        <w:left w:val="none" w:sz="0" w:space="0" w:color="auto"/>
        <w:bottom w:val="none" w:sz="0" w:space="0" w:color="auto"/>
        <w:right w:val="none" w:sz="0" w:space="0" w:color="auto"/>
      </w:divBdr>
    </w:div>
    <w:div w:id="1735858038">
      <w:bodyDiv w:val="1"/>
      <w:marLeft w:val="0"/>
      <w:marRight w:val="0"/>
      <w:marTop w:val="0"/>
      <w:marBottom w:val="0"/>
      <w:divBdr>
        <w:top w:val="none" w:sz="0" w:space="0" w:color="auto"/>
        <w:left w:val="none" w:sz="0" w:space="0" w:color="auto"/>
        <w:bottom w:val="none" w:sz="0" w:space="0" w:color="auto"/>
        <w:right w:val="none" w:sz="0" w:space="0" w:color="auto"/>
      </w:divBdr>
    </w:div>
    <w:div w:id="1739547031">
      <w:bodyDiv w:val="1"/>
      <w:marLeft w:val="0"/>
      <w:marRight w:val="0"/>
      <w:marTop w:val="0"/>
      <w:marBottom w:val="0"/>
      <w:divBdr>
        <w:top w:val="none" w:sz="0" w:space="0" w:color="auto"/>
        <w:left w:val="none" w:sz="0" w:space="0" w:color="auto"/>
        <w:bottom w:val="none" w:sz="0" w:space="0" w:color="auto"/>
        <w:right w:val="none" w:sz="0" w:space="0" w:color="auto"/>
      </w:divBdr>
    </w:div>
    <w:div w:id="1771505373">
      <w:bodyDiv w:val="1"/>
      <w:marLeft w:val="0"/>
      <w:marRight w:val="0"/>
      <w:marTop w:val="0"/>
      <w:marBottom w:val="0"/>
      <w:divBdr>
        <w:top w:val="none" w:sz="0" w:space="0" w:color="auto"/>
        <w:left w:val="none" w:sz="0" w:space="0" w:color="auto"/>
        <w:bottom w:val="none" w:sz="0" w:space="0" w:color="auto"/>
        <w:right w:val="none" w:sz="0" w:space="0" w:color="auto"/>
      </w:divBdr>
    </w:div>
    <w:div w:id="1795638705">
      <w:bodyDiv w:val="1"/>
      <w:marLeft w:val="0"/>
      <w:marRight w:val="0"/>
      <w:marTop w:val="0"/>
      <w:marBottom w:val="0"/>
      <w:divBdr>
        <w:top w:val="none" w:sz="0" w:space="0" w:color="auto"/>
        <w:left w:val="none" w:sz="0" w:space="0" w:color="auto"/>
        <w:bottom w:val="none" w:sz="0" w:space="0" w:color="auto"/>
        <w:right w:val="none" w:sz="0" w:space="0" w:color="auto"/>
      </w:divBdr>
    </w:div>
    <w:div w:id="1800605440">
      <w:bodyDiv w:val="1"/>
      <w:marLeft w:val="0"/>
      <w:marRight w:val="0"/>
      <w:marTop w:val="0"/>
      <w:marBottom w:val="0"/>
      <w:divBdr>
        <w:top w:val="none" w:sz="0" w:space="0" w:color="auto"/>
        <w:left w:val="none" w:sz="0" w:space="0" w:color="auto"/>
        <w:bottom w:val="none" w:sz="0" w:space="0" w:color="auto"/>
        <w:right w:val="none" w:sz="0" w:space="0" w:color="auto"/>
      </w:divBdr>
    </w:div>
    <w:div w:id="1817529058">
      <w:bodyDiv w:val="1"/>
      <w:marLeft w:val="0"/>
      <w:marRight w:val="0"/>
      <w:marTop w:val="0"/>
      <w:marBottom w:val="0"/>
      <w:divBdr>
        <w:top w:val="none" w:sz="0" w:space="0" w:color="auto"/>
        <w:left w:val="none" w:sz="0" w:space="0" w:color="auto"/>
        <w:bottom w:val="none" w:sz="0" w:space="0" w:color="auto"/>
        <w:right w:val="none" w:sz="0" w:space="0" w:color="auto"/>
      </w:divBdr>
    </w:div>
    <w:div w:id="1825931201">
      <w:bodyDiv w:val="1"/>
      <w:marLeft w:val="0"/>
      <w:marRight w:val="0"/>
      <w:marTop w:val="0"/>
      <w:marBottom w:val="0"/>
      <w:divBdr>
        <w:top w:val="none" w:sz="0" w:space="0" w:color="auto"/>
        <w:left w:val="none" w:sz="0" w:space="0" w:color="auto"/>
        <w:bottom w:val="none" w:sz="0" w:space="0" w:color="auto"/>
        <w:right w:val="none" w:sz="0" w:space="0" w:color="auto"/>
      </w:divBdr>
    </w:div>
    <w:div w:id="1831559195">
      <w:bodyDiv w:val="1"/>
      <w:marLeft w:val="0"/>
      <w:marRight w:val="0"/>
      <w:marTop w:val="0"/>
      <w:marBottom w:val="0"/>
      <w:divBdr>
        <w:top w:val="none" w:sz="0" w:space="0" w:color="auto"/>
        <w:left w:val="none" w:sz="0" w:space="0" w:color="auto"/>
        <w:bottom w:val="none" w:sz="0" w:space="0" w:color="auto"/>
        <w:right w:val="none" w:sz="0" w:space="0" w:color="auto"/>
      </w:divBdr>
    </w:div>
    <w:div w:id="1833066006">
      <w:bodyDiv w:val="1"/>
      <w:marLeft w:val="0"/>
      <w:marRight w:val="0"/>
      <w:marTop w:val="0"/>
      <w:marBottom w:val="0"/>
      <w:divBdr>
        <w:top w:val="none" w:sz="0" w:space="0" w:color="auto"/>
        <w:left w:val="none" w:sz="0" w:space="0" w:color="auto"/>
        <w:bottom w:val="none" w:sz="0" w:space="0" w:color="auto"/>
        <w:right w:val="none" w:sz="0" w:space="0" w:color="auto"/>
      </w:divBdr>
    </w:div>
    <w:div w:id="1839533887">
      <w:bodyDiv w:val="1"/>
      <w:marLeft w:val="0"/>
      <w:marRight w:val="0"/>
      <w:marTop w:val="0"/>
      <w:marBottom w:val="0"/>
      <w:divBdr>
        <w:top w:val="none" w:sz="0" w:space="0" w:color="auto"/>
        <w:left w:val="none" w:sz="0" w:space="0" w:color="auto"/>
        <w:bottom w:val="none" w:sz="0" w:space="0" w:color="auto"/>
        <w:right w:val="none" w:sz="0" w:space="0" w:color="auto"/>
      </w:divBdr>
    </w:div>
    <w:div w:id="1842356157">
      <w:bodyDiv w:val="1"/>
      <w:marLeft w:val="0"/>
      <w:marRight w:val="0"/>
      <w:marTop w:val="0"/>
      <w:marBottom w:val="0"/>
      <w:divBdr>
        <w:top w:val="none" w:sz="0" w:space="0" w:color="auto"/>
        <w:left w:val="none" w:sz="0" w:space="0" w:color="auto"/>
        <w:bottom w:val="none" w:sz="0" w:space="0" w:color="auto"/>
        <w:right w:val="none" w:sz="0" w:space="0" w:color="auto"/>
      </w:divBdr>
    </w:div>
    <w:div w:id="1847667626">
      <w:bodyDiv w:val="1"/>
      <w:marLeft w:val="0"/>
      <w:marRight w:val="0"/>
      <w:marTop w:val="0"/>
      <w:marBottom w:val="0"/>
      <w:divBdr>
        <w:top w:val="none" w:sz="0" w:space="0" w:color="auto"/>
        <w:left w:val="none" w:sz="0" w:space="0" w:color="auto"/>
        <w:bottom w:val="none" w:sz="0" w:space="0" w:color="auto"/>
        <w:right w:val="none" w:sz="0" w:space="0" w:color="auto"/>
      </w:divBdr>
    </w:div>
    <w:div w:id="1848863711">
      <w:bodyDiv w:val="1"/>
      <w:marLeft w:val="0"/>
      <w:marRight w:val="0"/>
      <w:marTop w:val="0"/>
      <w:marBottom w:val="0"/>
      <w:divBdr>
        <w:top w:val="none" w:sz="0" w:space="0" w:color="auto"/>
        <w:left w:val="none" w:sz="0" w:space="0" w:color="auto"/>
        <w:bottom w:val="none" w:sz="0" w:space="0" w:color="auto"/>
        <w:right w:val="none" w:sz="0" w:space="0" w:color="auto"/>
      </w:divBdr>
    </w:div>
    <w:div w:id="1853911105">
      <w:bodyDiv w:val="1"/>
      <w:marLeft w:val="0"/>
      <w:marRight w:val="0"/>
      <w:marTop w:val="0"/>
      <w:marBottom w:val="0"/>
      <w:divBdr>
        <w:top w:val="none" w:sz="0" w:space="0" w:color="auto"/>
        <w:left w:val="none" w:sz="0" w:space="0" w:color="auto"/>
        <w:bottom w:val="none" w:sz="0" w:space="0" w:color="auto"/>
        <w:right w:val="none" w:sz="0" w:space="0" w:color="auto"/>
      </w:divBdr>
    </w:div>
    <w:div w:id="1856531335">
      <w:bodyDiv w:val="1"/>
      <w:marLeft w:val="0"/>
      <w:marRight w:val="0"/>
      <w:marTop w:val="0"/>
      <w:marBottom w:val="0"/>
      <w:divBdr>
        <w:top w:val="none" w:sz="0" w:space="0" w:color="auto"/>
        <w:left w:val="none" w:sz="0" w:space="0" w:color="auto"/>
        <w:bottom w:val="none" w:sz="0" w:space="0" w:color="auto"/>
        <w:right w:val="none" w:sz="0" w:space="0" w:color="auto"/>
      </w:divBdr>
    </w:div>
    <w:div w:id="1886793692">
      <w:bodyDiv w:val="1"/>
      <w:marLeft w:val="0"/>
      <w:marRight w:val="0"/>
      <w:marTop w:val="0"/>
      <w:marBottom w:val="0"/>
      <w:divBdr>
        <w:top w:val="none" w:sz="0" w:space="0" w:color="auto"/>
        <w:left w:val="none" w:sz="0" w:space="0" w:color="auto"/>
        <w:bottom w:val="none" w:sz="0" w:space="0" w:color="auto"/>
        <w:right w:val="none" w:sz="0" w:space="0" w:color="auto"/>
      </w:divBdr>
    </w:div>
    <w:div w:id="1894585668">
      <w:bodyDiv w:val="1"/>
      <w:marLeft w:val="0"/>
      <w:marRight w:val="0"/>
      <w:marTop w:val="0"/>
      <w:marBottom w:val="0"/>
      <w:divBdr>
        <w:top w:val="none" w:sz="0" w:space="0" w:color="auto"/>
        <w:left w:val="none" w:sz="0" w:space="0" w:color="auto"/>
        <w:bottom w:val="none" w:sz="0" w:space="0" w:color="auto"/>
        <w:right w:val="none" w:sz="0" w:space="0" w:color="auto"/>
      </w:divBdr>
    </w:div>
    <w:div w:id="1897741001">
      <w:bodyDiv w:val="1"/>
      <w:marLeft w:val="0"/>
      <w:marRight w:val="0"/>
      <w:marTop w:val="0"/>
      <w:marBottom w:val="0"/>
      <w:divBdr>
        <w:top w:val="none" w:sz="0" w:space="0" w:color="auto"/>
        <w:left w:val="none" w:sz="0" w:space="0" w:color="auto"/>
        <w:bottom w:val="none" w:sz="0" w:space="0" w:color="auto"/>
        <w:right w:val="none" w:sz="0" w:space="0" w:color="auto"/>
      </w:divBdr>
    </w:div>
    <w:div w:id="1900633936">
      <w:bodyDiv w:val="1"/>
      <w:marLeft w:val="0"/>
      <w:marRight w:val="0"/>
      <w:marTop w:val="0"/>
      <w:marBottom w:val="0"/>
      <w:divBdr>
        <w:top w:val="none" w:sz="0" w:space="0" w:color="auto"/>
        <w:left w:val="none" w:sz="0" w:space="0" w:color="auto"/>
        <w:bottom w:val="none" w:sz="0" w:space="0" w:color="auto"/>
        <w:right w:val="none" w:sz="0" w:space="0" w:color="auto"/>
      </w:divBdr>
    </w:div>
    <w:div w:id="1904295893">
      <w:bodyDiv w:val="1"/>
      <w:marLeft w:val="0"/>
      <w:marRight w:val="0"/>
      <w:marTop w:val="0"/>
      <w:marBottom w:val="0"/>
      <w:divBdr>
        <w:top w:val="none" w:sz="0" w:space="0" w:color="auto"/>
        <w:left w:val="none" w:sz="0" w:space="0" w:color="auto"/>
        <w:bottom w:val="none" w:sz="0" w:space="0" w:color="auto"/>
        <w:right w:val="none" w:sz="0" w:space="0" w:color="auto"/>
      </w:divBdr>
    </w:div>
    <w:div w:id="1925066737">
      <w:bodyDiv w:val="1"/>
      <w:marLeft w:val="0"/>
      <w:marRight w:val="0"/>
      <w:marTop w:val="0"/>
      <w:marBottom w:val="0"/>
      <w:divBdr>
        <w:top w:val="none" w:sz="0" w:space="0" w:color="auto"/>
        <w:left w:val="none" w:sz="0" w:space="0" w:color="auto"/>
        <w:bottom w:val="none" w:sz="0" w:space="0" w:color="auto"/>
        <w:right w:val="none" w:sz="0" w:space="0" w:color="auto"/>
      </w:divBdr>
    </w:div>
    <w:div w:id="1944995436">
      <w:bodyDiv w:val="1"/>
      <w:marLeft w:val="0"/>
      <w:marRight w:val="0"/>
      <w:marTop w:val="0"/>
      <w:marBottom w:val="0"/>
      <w:divBdr>
        <w:top w:val="none" w:sz="0" w:space="0" w:color="auto"/>
        <w:left w:val="none" w:sz="0" w:space="0" w:color="auto"/>
        <w:bottom w:val="none" w:sz="0" w:space="0" w:color="auto"/>
        <w:right w:val="none" w:sz="0" w:space="0" w:color="auto"/>
      </w:divBdr>
    </w:div>
    <w:div w:id="1986929905">
      <w:bodyDiv w:val="1"/>
      <w:marLeft w:val="0"/>
      <w:marRight w:val="0"/>
      <w:marTop w:val="0"/>
      <w:marBottom w:val="0"/>
      <w:divBdr>
        <w:top w:val="none" w:sz="0" w:space="0" w:color="auto"/>
        <w:left w:val="none" w:sz="0" w:space="0" w:color="auto"/>
        <w:bottom w:val="none" w:sz="0" w:space="0" w:color="auto"/>
        <w:right w:val="none" w:sz="0" w:space="0" w:color="auto"/>
      </w:divBdr>
    </w:div>
    <w:div w:id="2000838388">
      <w:bodyDiv w:val="1"/>
      <w:marLeft w:val="0"/>
      <w:marRight w:val="0"/>
      <w:marTop w:val="0"/>
      <w:marBottom w:val="0"/>
      <w:divBdr>
        <w:top w:val="none" w:sz="0" w:space="0" w:color="auto"/>
        <w:left w:val="none" w:sz="0" w:space="0" w:color="auto"/>
        <w:bottom w:val="none" w:sz="0" w:space="0" w:color="auto"/>
        <w:right w:val="none" w:sz="0" w:space="0" w:color="auto"/>
      </w:divBdr>
    </w:div>
    <w:div w:id="2004160721">
      <w:bodyDiv w:val="1"/>
      <w:marLeft w:val="0"/>
      <w:marRight w:val="0"/>
      <w:marTop w:val="0"/>
      <w:marBottom w:val="0"/>
      <w:divBdr>
        <w:top w:val="none" w:sz="0" w:space="0" w:color="auto"/>
        <w:left w:val="none" w:sz="0" w:space="0" w:color="auto"/>
        <w:bottom w:val="none" w:sz="0" w:space="0" w:color="auto"/>
        <w:right w:val="none" w:sz="0" w:space="0" w:color="auto"/>
      </w:divBdr>
    </w:div>
    <w:div w:id="2025937613">
      <w:bodyDiv w:val="1"/>
      <w:marLeft w:val="0"/>
      <w:marRight w:val="0"/>
      <w:marTop w:val="0"/>
      <w:marBottom w:val="0"/>
      <w:divBdr>
        <w:top w:val="none" w:sz="0" w:space="0" w:color="auto"/>
        <w:left w:val="none" w:sz="0" w:space="0" w:color="auto"/>
        <w:bottom w:val="none" w:sz="0" w:space="0" w:color="auto"/>
        <w:right w:val="none" w:sz="0" w:space="0" w:color="auto"/>
      </w:divBdr>
    </w:div>
    <w:div w:id="2037121866">
      <w:bodyDiv w:val="1"/>
      <w:marLeft w:val="0"/>
      <w:marRight w:val="0"/>
      <w:marTop w:val="0"/>
      <w:marBottom w:val="0"/>
      <w:divBdr>
        <w:top w:val="none" w:sz="0" w:space="0" w:color="auto"/>
        <w:left w:val="none" w:sz="0" w:space="0" w:color="auto"/>
        <w:bottom w:val="none" w:sz="0" w:space="0" w:color="auto"/>
        <w:right w:val="none" w:sz="0" w:space="0" w:color="auto"/>
      </w:divBdr>
    </w:div>
    <w:div w:id="2048291655">
      <w:bodyDiv w:val="1"/>
      <w:marLeft w:val="0"/>
      <w:marRight w:val="0"/>
      <w:marTop w:val="0"/>
      <w:marBottom w:val="0"/>
      <w:divBdr>
        <w:top w:val="none" w:sz="0" w:space="0" w:color="auto"/>
        <w:left w:val="none" w:sz="0" w:space="0" w:color="auto"/>
        <w:bottom w:val="none" w:sz="0" w:space="0" w:color="auto"/>
        <w:right w:val="none" w:sz="0" w:space="0" w:color="auto"/>
      </w:divBdr>
    </w:div>
    <w:div w:id="2063744031">
      <w:bodyDiv w:val="1"/>
      <w:marLeft w:val="0"/>
      <w:marRight w:val="0"/>
      <w:marTop w:val="0"/>
      <w:marBottom w:val="0"/>
      <w:divBdr>
        <w:top w:val="none" w:sz="0" w:space="0" w:color="auto"/>
        <w:left w:val="none" w:sz="0" w:space="0" w:color="auto"/>
        <w:bottom w:val="none" w:sz="0" w:space="0" w:color="auto"/>
        <w:right w:val="none" w:sz="0" w:space="0" w:color="auto"/>
      </w:divBdr>
    </w:div>
    <w:div w:id="2065446484">
      <w:bodyDiv w:val="1"/>
      <w:marLeft w:val="0"/>
      <w:marRight w:val="0"/>
      <w:marTop w:val="0"/>
      <w:marBottom w:val="0"/>
      <w:divBdr>
        <w:top w:val="none" w:sz="0" w:space="0" w:color="auto"/>
        <w:left w:val="none" w:sz="0" w:space="0" w:color="auto"/>
        <w:bottom w:val="none" w:sz="0" w:space="0" w:color="auto"/>
        <w:right w:val="none" w:sz="0" w:space="0" w:color="auto"/>
      </w:divBdr>
    </w:div>
    <w:div w:id="2073460548">
      <w:bodyDiv w:val="1"/>
      <w:marLeft w:val="0"/>
      <w:marRight w:val="0"/>
      <w:marTop w:val="0"/>
      <w:marBottom w:val="0"/>
      <w:divBdr>
        <w:top w:val="none" w:sz="0" w:space="0" w:color="auto"/>
        <w:left w:val="none" w:sz="0" w:space="0" w:color="auto"/>
        <w:bottom w:val="none" w:sz="0" w:space="0" w:color="auto"/>
        <w:right w:val="none" w:sz="0" w:space="0" w:color="auto"/>
      </w:divBdr>
    </w:div>
    <w:div w:id="2075467349">
      <w:bodyDiv w:val="1"/>
      <w:marLeft w:val="0"/>
      <w:marRight w:val="0"/>
      <w:marTop w:val="0"/>
      <w:marBottom w:val="0"/>
      <w:divBdr>
        <w:top w:val="none" w:sz="0" w:space="0" w:color="auto"/>
        <w:left w:val="none" w:sz="0" w:space="0" w:color="auto"/>
        <w:bottom w:val="none" w:sz="0" w:space="0" w:color="auto"/>
        <w:right w:val="none" w:sz="0" w:space="0" w:color="auto"/>
      </w:divBdr>
    </w:div>
    <w:div w:id="2086874022">
      <w:bodyDiv w:val="1"/>
      <w:marLeft w:val="0"/>
      <w:marRight w:val="0"/>
      <w:marTop w:val="0"/>
      <w:marBottom w:val="0"/>
      <w:divBdr>
        <w:top w:val="none" w:sz="0" w:space="0" w:color="auto"/>
        <w:left w:val="none" w:sz="0" w:space="0" w:color="auto"/>
        <w:bottom w:val="none" w:sz="0" w:space="0" w:color="auto"/>
        <w:right w:val="none" w:sz="0" w:space="0" w:color="auto"/>
      </w:divBdr>
    </w:div>
    <w:div w:id="2087529007">
      <w:bodyDiv w:val="1"/>
      <w:marLeft w:val="0"/>
      <w:marRight w:val="0"/>
      <w:marTop w:val="0"/>
      <w:marBottom w:val="0"/>
      <w:divBdr>
        <w:top w:val="none" w:sz="0" w:space="0" w:color="auto"/>
        <w:left w:val="none" w:sz="0" w:space="0" w:color="auto"/>
        <w:bottom w:val="none" w:sz="0" w:space="0" w:color="auto"/>
        <w:right w:val="none" w:sz="0" w:space="0" w:color="auto"/>
      </w:divBdr>
    </w:div>
    <w:div w:id="2101442702">
      <w:bodyDiv w:val="1"/>
      <w:marLeft w:val="0"/>
      <w:marRight w:val="0"/>
      <w:marTop w:val="0"/>
      <w:marBottom w:val="0"/>
      <w:divBdr>
        <w:top w:val="none" w:sz="0" w:space="0" w:color="auto"/>
        <w:left w:val="none" w:sz="0" w:space="0" w:color="auto"/>
        <w:bottom w:val="none" w:sz="0" w:space="0" w:color="auto"/>
        <w:right w:val="none" w:sz="0" w:space="0" w:color="auto"/>
      </w:divBdr>
    </w:div>
    <w:div w:id="2110613540">
      <w:bodyDiv w:val="1"/>
      <w:marLeft w:val="0"/>
      <w:marRight w:val="0"/>
      <w:marTop w:val="0"/>
      <w:marBottom w:val="0"/>
      <w:divBdr>
        <w:top w:val="none" w:sz="0" w:space="0" w:color="auto"/>
        <w:left w:val="none" w:sz="0" w:space="0" w:color="auto"/>
        <w:bottom w:val="none" w:sz="0" w:space="0" w:color="auto"/>
        <w:right w:val="none" w:sz="0" w:space="0" w:color="auto"/>
      </w:divBdr>
    </w:div>
    <w:div w:id="2112623878">
      <w:bodyDiv w:val="1"/>
      <w:marLeft w:val="0"/>
      <w:marRight w:val="0"/>
      <w:marTop w:val="0"/>
      <w:marBottom w:val="0"/>
      <w:divBdr>
        <w:top w:val="none" w:sz="0" w:space="0" w:color="auto"/>
        <w:left w:val="none" w:sz="0" w:space="0" w:color="auto"/>
        <w:bottom w:val="none" w:sz="0" w:space="0" w:color="auto"/>
        <w:right w:val="none" w:sz="0" w:space="0" w:color="auto"/>
      </w:divBdr>
    </w:div>
    <w:div w:id="2113016194">
      <w:bodyDiv w:val="1"/>
      <w:marLeft w:val="0"/>
      <w:marRight w:val="0"/>
      <w:marTop w:val="0"/>
      <w:marBottom w:val="0"/>
      <w:divBdr>
        <w:top w:val="none" w:sz="0" w:space="0" w:color="auto"/>
        <w:left w:val="none" w:sz="0" w:space="0" w:color="auto"/>
        <w:bottom w:val="none" w:sz="0" w:space="0" w:color="auto"/>
        <w:right w:val="none" w:sz="0" w:space="0" w:color="auto"/>
      </w:divBdr>
    </w:div>
    <w:div w:id="2121677302">
      <w:bodyDiv w:val="1"/>
      <w:marLeft w:val="0"/>
      <w:marRight w:val="0"/>
      <w:marTop w:val="0"/>
      <w:marBottom w:val="0"/>
      <w:divBdr>
        <w:top w:val="none" w:sz="0" w:space="0" w:color="auto"/>
        <w:left w:val="none" w:sz="0" w:space="0" w:color="auto"/>
        <w:bottom w:val="none" w:sz="0" w:space="0" w:color="auto"/>
        <w:right w:val="none" w:sz="0" w:space="0" w:color="auto"/>
      </w:divBdr>
    </w:div>
    <w:div w:id="2125876769">
      <w:bodyDiv w:val="1"/>
      <w:marLeft w:val="0"/>
      <w:marRight w:val="0"/>
      <w:marTop w:val="0"/>
      <w:marBottom w:val="0"/>
      <w:divBdr>
        <w:top w:val="none" w:sz="0" w:space="0" w:color="auto"/>
        <w:left w:val="none" w:sz="0" w:space="0" w:color="auto"/>
        <w:bottom w:val="none" w:sz="0" w:space="0" w:color="auto"/>
        <w:right w:val="none" w:sz="0" w:space="0" w:color="auto"/>
      </w:divBdr>
    </w:div>
    <w:div w:id="213490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55A4A-AA33-41BF-97CF-D700104DD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13773</Words>
  <Characters>81940</Characters>
  <Application>Microsoft Office Word</Application>
  <DocSecurity>0</DocSecurity>
  <Lines>682</Lines>
  <Paragraphs>191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2021-11-15T23:29:00Z</dcterms:created>
  <dcterms:modified xsi:type="dcterms:W3CDTF">2022-08-19T06:34:00Z</dcterms:modified>
</cp:coreProperties>
</file>