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220.0" w:type="dxa"/>
        <w:jc w:val="left"/>
        <w:tblInd w:w="-1120.0" w:type="dxa"/>
        <w:tblLayout w:type="fixed"/>
        <w:tblLook w:val="0400"/>
      </w:tblPr>
      <w:tblGrid>
        <w:gridCol w:w="4035"/>
        <w:gridCol w:w="7185"/>
        <w:tblGridChange w:id="0">
          <w:tblGrid>
            <w:gridCol w:w="4035"/>
            <w:gridCol w:w="71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 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Anjali Sachan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Industry</w:t>
            </w:r>
          </w:p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(Multiple industries can be added with a comma.)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E-commerce &amp; Retail, Health-Tech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Overall Experience</w:t>
            </w:r>
          </w:p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(XX Years YY Months)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 years 5 months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Profile Summary for web brochure (50-60 words)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Strategic Leader with over 10 years of experience translating Operational Excellence into Market-Leading Products and Business Strategies. Aspiring to drive growth in a mid-senior leadership role focused on Product Strategy, GTM Execution, and P&amp;L Management. Proven expertise in launching high-impact solutions and data-driven frameworks that have delivered over ₹159 Cr in business goodness. Adept at blending Data Analytics with Customer-Centric Marketing to define Product Roadmaps and translate complex challenges into strategies that enhance customer experience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Functional Areas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Product Strategy &amp; Roadmapping, Go-to-Market (GTM) Strategy, Business Strategy &amp; Planning, Business Transformation, Product Lifecycle Management, AI &amp; Automation in Business, Agile &amp; Lean Methodologies, Competitive Analysis, Marketing &amp; Customer Acquisition, Program Management, Business Consulting, Operations Excellence 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Email 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shd w:fill="e9eef6" w:val="clear"/>
                <w:rtl w:val="0"/>
              </w:rPr>
              <w:t xml:space="preserve">e25anjalis@iimidr.ac.in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LinkedIn URL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https://www.linkedin.com/in/anjali-sachan-85012383/</w:t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4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756e6e"/>
          <w:sz w:val="28"/>
          <w:szCs w:val="28"/>
          <w:rtl w:val="0"/>
        </w:rPr>
        <w:t xml:space="preserve">Education</w:t>
      </w:r>
      <w:r w:rsidDel="00000000" w:rsidR="00000000" w:rsidRPr="00000000">
        <w:rPr>
          <w:rtl w:val="0"/>
        </w:rPr>
      </w:r>
    </w:p>
    <w:tbl>
      <w:tblPr>
        <w:tblStyle w:val="Table2"/>
        <w:tblW w:w="11250.0" w:type="dxa"/>
        <w:jc w:val="left"/>
        <w:tblInd w:w="-1170.0" w:type="dxa"/>
        <w:tblLayout w:type="fixed"/>
        <w:tblLook w:val="0400"/>
      </w:tblPr>
      <w:tblGrid>
        <w:gridCol w:w="3705"/>
        <w:gridCol w:w="2700"/>
        <w:gridCol w:w="4845"/>
        <w:tblGridChange w:id="0">
          <w:tblGrid>
            <w:gridCol w:w="3705"/>
            <w:gridCol w:w="2700"/>
            <w:gridCol w:w="48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52525"/>
                <w:sz w:val="28"/>
                <w:szCs w:val="28"/>
                <w:rtl w:val="0"/>
              </w:rPr>
              <w:t xml:space="preserve">College(s)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5">
            <w:pPr>
              <w:spacing w:after="0" w:line="240" w:lineRule="auto"/>
              <w:jc w:val="center"/>
              <w:rPr>
                <w:rFonts w:ascii="Montserrat" w:cs="Montserrat" w:eastAsia="Montserrat" w:hAnsi="Montserrat"/>
                <w:color w:val="252525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52525"/>
                <w:sz w:val="28"/>
                <w:szCs w:val="28"/>
                <w:rtl w:val="0"/>
              </w:rPr>
              <w:t xml:space="preserve">From Yr. – To Yr.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52525"/>
                <w:sz w:val="28"/>
                <w:szCs w:val="28"/>
                <w:rtl w:val="0"/>
              </w:rPr>
              <w:t xml:space="preserve">Degree(s)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Indian Institute Of Management, Indore</w:t>
            </w:r>
          </w:p>
        </w:tc>
        <w:tc>
          <w:tcPr>
            <w:tcBorders>
              <w:top w:color="000000" w:space="0" w:sz="12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2025 - 2026</w:t>
            </w:r>
          </w:p>
        </w:tc>
        <w:tc>
          <w:tcPr>
            <w:tcBorders>
              <w:top w:color="000000" w:space="0" w:sz="12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Masters Of Business Administration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Gautam Budh Technical University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2009 - 2013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Bachelor of Technology, Computer Science Engineering</w:t>
            </w:r>
          </w:p>
        </w:tc>
      </w:tr>
    </w:tbl>
    <w:p w:rsidR="00000000" w:rsidDel="00000000" w:rsidP="00000000" w:rsidRDefault="00000000" w:rsidRPr="00000000" w14:paraId="0000001D">
      <w:pPr>
        <w:rPr>
          <w:rFonts w:ascii="Montserrat" w:cs="Montserrat" w:eastAsia="Montserrat" w:hAnsi="Montserrat"/>
          <w:b w:val="1"/>
          <w:color w:val="756e6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Montserrat" w:cs="Montserrat" w:eastAsia="Montserrat" w:hAnsi="Montserrat"/>
          <w:b w:val="1"/>
          <w:color w:val="756e6e"/>
          <w:sz w:val="28"/>
          <w:szCs w:val="28"/>
          <w:rtl w:val="0"/>
        </w:rPr>
        <w:t xml:space="preserve">Accomplishment</w:t>
      </w:r>
      <w:r w:rsidDel="00000000" w:rsidR="00000000" w:rsidRPr="00000000">
        <w:rPr>
          <w:rtl w:val="0"/>
        </w:rPr>
      </w:r>
    </w:p>
    <w:tbl>
      <w:tblPr>
        <w:tblStyle w:val="Table3"/>
        <w:tblW w:w="11400.0" w:type="dxa"/>
        <w:jc w:val="left"/>
        <w:tblInd w:w="-1215.0" w:type="dxa"/>
        <w:tblLayout w:type="fixed"/>
        <w:tblLook w:val="0400"/>
      </w:tblPr>
      <w:tblGrid>
        <w:gridCol w:w="3810"/>
        <w:gridCol w:w="7590"/>
        <w:tblGridChange w:id="0">
          <w:tblGrid>
            <w:gridCol w:w="3810"/>
            <w:gridCol w:w="7590"/>
          </w:tblGrid>
        </w:tblGridChange>
      </w:tblGrid>
      <w:tr>
        <w:trPr>
          <w:cantSplit w:val="0"/>
          <w:trHeight w:val="362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52525"/>
                <w:sz w:val="28"/>
                <w:szCs w:val="28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52525"/>
                <w:sz w:val="28"/>
                <w:szCs w:val="2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7" w:hRule="atLeast"/>
          <w:tblHeader w:val="0"/>
        </w:trPr>
        <w:tc>
          <w:tcPr>
            <w:tcBorders>
              <w:top w:color="000000" w:space="0" w:sz="12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Kool &amp; The Gang Award &amp; Extra Miller:</w:t>
            </w:r>
          </w:p>
        </w:tc>
        <w:tc>
          <w:tcPr>
            <w:tcBorders>
              <w:top w:color="000000" w:space="0" w:sz="12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Recognized for exceptional team contribution to the successful launch and rollout of the Open Box Delivery (OBD) and Doorstep QC products at Flipkart, annualized savings of INR 159Cr</w:t>
            </w:r>
          </w:p>
        </w:tc>
      </w:tr>
      <w:tr>
        <w:trPr>
          <w:cantSplit w:val="0"/>
          <w:trHeight w:val="28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Rising Star Award: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Awarded for best performance in the new investigations batch at Amazon, directly contributing to enhanced marketplace trust and platform integrity</w:t>
            </w:r>
          </w:p>
        </w:tc>
      </w:tr>
      <w:tr>
        <w:trPr>
          <w:cantSplit w:val="0"/>
          <w:trHeight w:val="28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IIM Indore Alum Team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Worked with a team of 7+ representatives to connect with the Alumni Base of 900+</w:t>
            </w:r>
          </w:p>
        </w:tc>
      </w:tr>
      <w:tr>
        <w:trPr>
          <w:cantSplit w:val="0"/>
          <w:trHeight w:val="28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GBTU Cultural Fest Team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Led the GBTU cultural fest team, ensuring successful, memorable events.</w:t>
            </w:r>
          </w:p>
        </w:tc>
      </w:tr>
    </w:tbl>
    <w:p w:rsidR="00000000" w:rsidDel="00000000" w:rsidP="00000000" w:rsidRDefault="00000000" w:rsidRPr="00000000" w14:paraId="00000029">
      <w:pPr>
        <w:spacing w:after="40" w:line="240" w:lineRule="auto"/>
        <w:rPr>
          <w:rFonts w:ascii="Montserrat" w:cs="Montserrat" w:eastAsia="Montserrat" w:hAnsi="Montserrat"/>
          <w:b w:val="1"/>
          <w:color w:val="756e6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4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756e6e"/>
          <w:sz w:val="28"/>
          <w:szCs w:val="28"/>
          <w:rtl w:val="0"/>
        </w:rPr>
        <w:t xml:space="preserve">Certification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1460.0" w:type="dxa"/>
        <w:jc w:val="left"/>
        <w:tblInd w:w="-1255.0" w:type="dxa"/>
        <w:tblLayout w:type="fixed"/>
        <w:tblLook w:val="0400"/>
      </w:tblPr>
      <w:tblGrid>
        <w:gridCol w:w="3690"/>
        <w:gridCol w:w="4950"/>
        <w:gridCol w:w="2820"/>
        <w:tblGridChange w:id="0">
          <w:tblGrid>
            <w:gridCol w:w="3690"/>
            <w:gridCol w:w="4950"/>
            <w:gridCol w:w="28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52525"/>
                <w:sz w:val="28"/>
                <w:szCs w:val="28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52525"/>
                <w:sz w:val="28"/>
                <w:szCs w:val="2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52525"/>
                <w:sz w:val="28"/>
                <w:szCs w:val="28"/>
                <w:rtl w:val="0"/>
              </w:rPr>
              <w:t xml:space="preserve">Year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Certified Scrum Product Owner (CSPO®)</w:t>
            </w:r>
          </w:p>
        </w:tc>
        <w:tc>
          <w:tcPr>
            <w:tcBorders>
              <w:top w:color="000000" w:space="0" w:sz="12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Manage the product backlog and guide a development team to maximize the value delivered to stakeholders</w:t>
            </w:r>
          </w:p>
        </w:tc>
        <w:tc>
          <w:tcPr>
            <w:tcBorders>
              <w:top w:color="000000" w:space="0" w:sz="12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Generative AI: Foundation Models and Platforms (IBM)</w:t>
            </w:r>
          </w:p>
          <w:p w:rsidR="00000000" w:rsidDel="00000000" w:rsidP="00000000" w:rsidRDefault="00000000" w:rsidRPr="00000000" w14:paraId="0000003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Generative AI, covering foundation models and their practical deployment on enterprise platforms like WatsonX.ai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Six Sigma Green Belt (KPMG)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Six Sigma Green Belt methodology for leading data-driven business process improvement projects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Looker Studio (Udemy)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Interactive, Shareable dashboards and reports using Google's Looker Studio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Core Web Application Technologies (Microsoft)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ASP.NET Core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an open-source, cross-platform framework, enables high-performance web apps, APIs, and real-time solutions with C#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2011</w:t>
            </w:r>
          </w:p>
        </w:tc>
      </w:tr>
    </w:tbl>
    <w:p w:rsidR="00000000" w:rsidDel="00000000" w:rsidP="00000000" w:rsidRDefault="00000000" w:rsidRPr="00000000" w14:paraId="0000003F">
      <w:pPr>
        <w:spacing w:after="40" w:line="240" w:lineRule="auto"/>
        <w:rPr>
          <w:rFonts w:ascii="Montserrat" w:cs="Montserrat" w:eastAsia="Montserrat" w:hAnsi="Montserrat"/>
          <w:b w:val="1"/>
          <w:color w:val="756e6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40" w:line="240" w:lineRule="auto"/>
        <w:rPr>
          <w:rFonts w:ascii="Montserrat" w:cs="Montserrat" w:eastAsia="Montserrat" w:hAnsi="Montserrat"/>
          <w:b w:val="1"/>
          <w:color w:val="756e6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40" w:line="240" w:lineRule="auto"/>
        <w:rPr>
          <w:rFonts w:ascii="Montserrat" w:cs="Montserrat" w:eastAsia="Montserrat" w:hAnsi="Montserrat"/>
          <w:b w:val="1"/>
          <w:color w:val="756e6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40" w:line="240" w:lineRule="auto"/>
        <w:rPr>
          <w:rFonts w:ascii="Montserrat" w:cs="Montserrat" w:eastAsia="Montserrat" w:hAnsi="Montserrat"/>
          <w:b w:val="1"/>
          <w:color w:val="756e6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40" w:line="240" w:lineRule="auto"/>
        <w:rPr>
          <w:rFonts w:ascii="Montserrat" w:cs="Montserrat" w:eastAsia="Montserrat" w:hAnsi="Montserrat"/>
          <w:b w:val="1"/>
          <w:color w:val="756e6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40" w:line="240" w:lineRule="auto"/>
        <w:rPr>
          <w:rFonts w:ascii="Montserrat" w:cs="Montserrat" w:eastAsia="Montserrat" w:hAnsi="Montserrat"/>
          <w:b w:val="1"/>
          <w:color w:val="756e6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40" w:line="240" w:lineRule="auto"/>
        <w:rPr>
          <w:rFonts w:ascii="Montserrat" w:cs="Montserrat" w:eastAsia="Montserrat" w:hAnsi="Montserrat"/>
          <w:b w:val="1"/>
          <w:color w:val="756e6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40" w:line="240" w:lineRule="auto"/>
        <w:rPr>
          <w:rFonts w:ascii="Montserrat" w:cs="Montserrat" w:eastAsia="Montserrat" w:hAnsi="Montserrat"/>
          <w:b w:val="1"/>
          <w:color w:val="756e6e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756e6e"/>
          <w:sz w:val="28"/>
          <w:szCs w:val="28"/>
          <w:rtl w:val="0"/>
        </w:rPr>
        <w:t xml:space="preserve">Experience</w:t>
      </w:r>
    </w:p>
    <w:p w:rsidR="00000000" w:rsidDel="00000000" w:rsidP="00000000" w:rsidRDefault="00000000" w:rsidRPr="00000000" w14:paraId="00000047">
      <w:pPr>
        <w:spacing w:after="4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1535.0" w:type="dxa"/>
        <w:jc w:val="left"/>
        <w:tblInd w:w="-12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275"/>
        <w:gridCol w:w="1680"/>
        <w:gridCol w:w="1140"/>
        <w:gridCol w:w="1095"/>
        <w:gridCol w:w="1215"/>
        <w:gridCol w:w="5130"/>
        <w:tblGridChange w:id="0">
          <w:tblGrid>
            <w:gridCol w:w="1275"/>
            <w:gridCol w:w="1680"/>
            <w:gridCol w:w="1140"/>
            <w:gridCol w:w="1095"/>
            <w:gridCol w:w="1215"/>
            <w:gridCol w:w="513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Company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Designation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Duration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Description (Highlight your relevant details in bold)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From (MM-YY)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To (MM-YY)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Overall Duration (MM-YY)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Flipkart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Lead, Product &amp; Strategic Operations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12-21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10-24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11-02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▪ Defined Product Strategy and led the GTM for Open Box Delivery (OBD), capturing New Market Segments for both customer deliveries and seller returns, delivering over ₹159 Cr in total business goodness </w:t>
            </w:r>
          </w:p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▪ Drove a 65% reduction in customer MMD (Missing, Mis-shipment, Damage) claims and a 28% reduction in seller return claims by developing the core logic, rule-set contracts, and deterministic signal capture workflows </w:t>
            </w:r>
          </w:p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▪ Drove Marketing and Customer Trust Initiatives by launching a Doorstep RVP QC Product by using POKA YOKE, enhancing Brand Perception and Product Quality Assurance. </w:t>
            </w:r>
          </w:p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▪ Informed Business Strategy by Designing Geo-Location-based reporting, boosting Operational Efficiency by 7% and improving supply chain predictability</w:t>
            </w:r>
          </w:p>
          <w:p w:rsidR="00000000" w:rsidDel="00000000" w:rsidP="00000000" w:rsidRDefault="00000000" w:rsidRPr="00000000" w14:paraId="0000005D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▪ Reduced manual reporting effort by 75% with Python-driven Kanban analytics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Mfine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Senior Analyst, Business Strategy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01-20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12-21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00-02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▪ Shaped the Business Model by leading Strategic Planning to reduce Payment Discrepancies by 40% and improved doctor satisfaction scores by 25%. </w:t>
            </w:r>
          </w:p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▪ Enabled Data-Driven Business Strategy through Data Analysis that directly informed the Q3 2021 Market Expansion Strategy. </w:t>
            </w:r>
          </w:p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▪ Aligned Product Development with Market Needs by collaborating across 4 Departments to define and track KPIs.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Amazon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Risk Strategy Analyst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01-16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01-20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01-04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▪ Protected Brand Equity by analysing over 10,000 high-risk accounts, contributing to the prevention of an estimated $5M+ in potential fraud losses.</w:t>
            </w:r>
          </w:p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 ▪ Influenced Product and Business Roadmaps by presenting Strategic Insights in over 20 Quarterly Business Reviews to senior leadership.</w:t>
            </w:r>
          </w:p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▪ Strengthened the brand's Market Position by validating Product Authenticity, directly enhancing User Trust, and improving Customer Loyalty metrics by 10%.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Flipkart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Customer Tech Support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05-14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12-15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08-01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▪Managed and resolved over 100 High-Priority CEO escalations per week by analysing user feedback, leading to a 15% improvement in First-Contact Resolution</w:t>
            </w:r>
          </w:p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 ▪ Validated daily reports across 3 Different Product Lines to track issues, providing foundational data for enhancing the customer experience</w:t>
            </w:r>
          </w:p>
        </w:tc>
      </w:tr>
    </w:tbl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4F6CB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4F6CB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4F6CB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4F6CBA"/>
    <w:rPr>
      <w:rFonts w:asciiTheme="majorHAnsi" w:cstheme="majorBidi" w:eastAsiaTheme="majorEastAsia" w:hAnsiTheme="majorHAnsi"/>
      <w:color w:val="2f5496" w:themeColor="accent1" w:themeShade="0000BF"/>
      <w:sz w:val="40"/>
      <w:szCs w:val="36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4F6CBA"/>
    <w:rPr>
      <w:rFonts w:asciiTheme="majorHAnsi" w:cstheme="majorBidi" w:eastAsiaTheme="majorEastAsia" w:hAnsiTheme="majorHAnsi"/>
      <w:color w:val="2f5496" w:themeColor="accent1" w:themeShade="0000BF"/>
      <w:sz w:val="32"/>
      <w:szCs w:val="29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4F6CBA"/>
    <w:rPr>
      <w:rFonts w:cstheme="majorBidi" w:eastAsiaTheme="majorEastAsia"/>
      <w:color w:val="2f5496" w:themeColor="accent1" w:themeShade="0000BF"/>
      <w:sz w:val="28"/>
      <w:szCs w:val="25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4F6CBA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4F6CBA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4F6CBA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4F6CBA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4F6CBA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4F6CBA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4F6CBA"/>
    <w:rPr>
      <w:rFonts w:asciiTheme="majorHAnsi" w:cstheme="majorBidi" w:eastAsiaTheme="majorEastAsia" w:hAnsiTheme="majorHAnsi"/>
      <w:spacing w:val="-10"/>
      <w:kern w:val="28"/>
      <w:sz w:val="56"/>
      <w:szCs w:val="50"/>
    </w:rPr>
  </w:style>
  <w:style w:type="character" w:styleId="SubtitleChar" w:customStyle="1">
    <w:name w:val="Subtitle Char"/>
    <w:basedOn w:val="DefaultParagraphFont"/>
    <w:link w:val="Subtitle"/>
    <w:uiPriority w:val="11"/>
    <w:rsid w:val="004F6CBA"/>
    <w:rPr>
      <w:rFonts w:cstheme="majorBidi" w:eastAsiaTheme="majorEastAsia"/>
      <w:color w:val="595959" w:themeColor="text1" w:themeTint="0000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 w:val="1"/>
    <w:rsid w:val="004F6CB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4F6CBA"/>
    <w:rPr>
      <w:rFonts w:cs="Mangal"/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4F6CBA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4F6CBA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4F6CBA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F6CBA"/>
    <w:rPr>
      <w:rFonts w:cs="Mangal"/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4F6CBA"/>
    <w:rPr>
      <w:b w:val="1"/>
      <w:bCs w:val="1"/>
      <w:smallCaps w:val="1"/>
      <w:color w:val="2f5496" w:themeColor="accent1" w:themeShade="0000BF"/>
      <w:spacing w:val="5"/>
    </w:rPr>
  </w:style>
  <w:style w:type="table" w:styleId="TableGrid">
    <w:name w:val="Table Grid"/>
    <w:basedOn w:val="TableNormal"/>
    <w:uiPriority w:val="59"/>
    <w:rsid w:val="004F6CBA"/>
    <w:pPr>
      <w:spacing w:after="0" w:line="240" w:lineRule="auto"/>
    </w:pPr>
    <w:rPr>
      <w:rFonts w:ascii="Calibri" w:cs="Calibri" w:eastAsia="Calibri" w:hAnsi="Calibri"/>
      <w:kern w:val="0"/>
      <w:szCs w:val="22"/>
      <w:lang w:bidi="ar-SA" w:eastAsia="ja-JP"/>
    </w:r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eqfCJQ6gINcMj3C6wc8xMicxwA==">CgMxLjA4AHIhMWg4a1FVSmtVYmxydkVqSF9CNUl0MGM1czdHZldkNXBs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2025-07-20T08:11:00Z</dcterms:created>
  <dc:creator>Saurabh Shubham</dc:creator>
</cp:coreProperties>
</file>