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Jitesh Kumar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Maritime, EdTech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years 7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dynamic professional with over 6.5 years of experience across marine operations and strategic planning. I’ve led engineering teams in high-pressure operations and later shaped strategic initiatives in digital learning, product innovation, and stakeholder engagement. I bring expertise in plant maintenance, risk assessment and process optimization, along with a proven ability to collaborate across cultures and implement innovative solutions that enhance operational efficiency.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Operations, General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e25jiteshk@iimidr.ac.in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www.linkedin.com/in/jitesh-kumar-jk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Indian Institute of Management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 – 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 of Business Administration</w:t>
            </w:r>
          </w:p>
        </w:tc>
      </w:tr>
      <w:tr>
        <w:trPr>
          <w:cantSplit w:val="0"/>
          <w:trHeight w:val="7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Tolani Maritime Institute, BITS Pilani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580.0" w:type="dxa"/>
              <w:jc w:val="left"/>
              <w:tblLayout w:type="fixed"/>
              <w:tblLook w:val="0400"/>
            </w:tblPr>
            <w:tblGrid>
              <w:gridCol w:w="1290"/>
              <w:gridCol w:w="1290"/>
              <w:tblGridChange w:id="0">
                <w:tblGrid>
                  <w:gridCol w:w="1290"/>
                  <w:gridCol w:w="12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2013 – 2017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Technology (Marine Engineering)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5"/>
        <w:tblW w:w="9365.0" w:type="dxa"/>
        <w:jc w:val="left"/>
        <w:tblInd w:w="-200.0" w:type="dxa"/>
        <w:tblLayout w:type="fixed"/>
        <w:tblLook w:val="0400"/>
      </w:tblPr>
      <w:tblGrid>
        <w:gridCol w:w="2455"/>
        <w:gridCol w:w="6910"/>
        <w:tblGridChange w:id="0">
          <w:tblGrid>
            <w:gridCol w:w="2455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Cadet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$1,000 prize for spirited performance.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</w:p>
    <w:tbl>
      <w:tblPr>
        <w:tblStyle w:val="Table6"/>
        <w:tblW w:w="9214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4"/>
        <w:gridCol w:w="5110"/>
        <w:gridCol w:w="790"/>
        <w:tblGridChange w:id="0">
          <w:tblGrid>
            <w:gridCol w:w="3314"/>
            <w:gridCol w:w="5110"/>
            <w:gridCol w:w="790"/>
          </w:tblGrid>
        </w:tblGridChange>
      </w:tblGrid>
      <w:tr>
        <w:trPr>
          <w:cantSplit w:val="0"/>
          <w:trHeight w:val="32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</w:p>
        </w:tc>
      </w:tr>
      <w:tr>
        <w:trPr>
          <w:cantSplit w:val="0"/>
          <w:trHeight w:val="6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Lean Six Sigma Green Belt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2024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Certified Scrum Product Owner (CSPO)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35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tbl>
      <w:tblPr>
        <w:tblStyle w:val="Table7"/>
        <w:tblW w:w="9360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2"/>
        <w:gridCol w:w="1897"/>
        <w:gridCol w:w="911"/>
        <w:gridCol w:w="860"/>
        <w:gridCol w:w="1389"/>
        <w:gridCol w:w="2741"/>
        <w:tblGridChange w:id="0">
          <w:tblGrid>
            <w:gridCol w:w="1562"/>
            <w:gridCol w:w="1897"/>
            <w:gridCol w:w="911"/>
            <w:gridCol w:w="860"/>
            <w:gridCol w:w="1389"/>
            <w:gridCol w:w="27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Company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Designation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(MM-YY)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To (MM-YY)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Overall Duration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 (highlight in bold)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Merchant Navy Decoded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Strategic Advisor to Founder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07-23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months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Expanded the course catalogue by 40%, enrolling 2000+ candidates.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Launched comprehensive course finder platform addressing critical market gap, partnering with 40+ training institutes.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NYK Shipmanagement Pvt. Ltd.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Third Assistant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 months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Led multi-national teams during critical ship operations across global ports, ensuring zero commercial downtime and strict compliance with international regulations.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Implemented a digital monitoring system onboard in collaboration with a Japanese team, improving operational efficiency by 25%.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Junior Engineer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 months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Extended machinery life by 20% across key systems, saving $25,000 annually through smarter maintenance planning.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Handled global procurement of ship parts from 5+ countries, ensuring quality, timely delivery, and seamless integration.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 Cadet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05 months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line="240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Assisted senior engineers in day-to-day engine room operations, performing critical machinery checks, ensuring smooth functioning of systems, and contributing to emergency preparedness through drills and safety documentation.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lang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Strong">
    <w:name w:val="Strong"/>
    <w:basedOn w:val="DefaultParagraphFont"/>
    <w:uiPriority w:val="22"/>
    <w:qFormat w:val="1"/>
    <w:rsid w:val="00C848F5"/>
    <w:rPr>
      <w:b w:val="1"/>
      <w:bCs w:val="1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E7C56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3KtXnoyLx5S4G77BxE63jOb+Cg==">CgMxLjA4AHIhMThQSDBQY0RpZEEwWWhSYnNYOEtXSGlUTjFBY2V2R0t1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