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4CB8660D" w:rsidR="004F6CBA" w:rsidRDefault="009310A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Amey Khanzode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5F344270" w:rsidR="004F6CBA" w:rsidRDefault="009310A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0AD">
              <w:rPr>
                <w:rFonts w:ascii="Times New Roman" w:eastAsia="Times New Roman" w:hAnsi="Times New Roman" w:cs="Times New Roman"/>
                <w:sz w:val="24"/>
                <w:szCs w:val="24"/>
              </w:rPr>
              <w:t>Oil &amp; Gas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310AD">
              <w:rPr>
                <w:rFonts w:ascii="Times New Roman" w:eastAsia="Times New Roman" w:hAnsi="Times New Roman" w:cs="Times New Roman"/>
                <w:sz w:val="24"/>
                <w:szCs w:val="24"/>
              </w:rPr>
              <w:t>Clean Energy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Technologies</w:t>
            </w:r>
            <w:r w:rsidRPr="009310AD">
              <w:rPr>
                <w:rFonts w:ascii="Times New Roman" w:eastAsia="Times New Roman" w:hAnsi="Times New Roman" w:cs="Times New Roman"/>
                <w:sz w:val="24"/>
                <w:szCs w:val="24"/>
              </w:rPr>
              <w:t>/Renewables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0549FAAC" w:rsidR="004F6CBA" w:rsidRDefault="009310A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years 4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0A8EC1BF" w:rsidR="004F6CBA" w:rsidRDefault="009310A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0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Energy industry professional with 7+ years of work experience across upstream oil </w:t>
            </w:r>
            <w:r w:rsidR="00F01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gas, and </w:t>
            </w:r>
            <w:r w:rsidRPr="009310AD">
              <w:rPr>
                <w:rFonts w:ascii="Times New Roman" w:eastAsia="Times New Roman" w:hAnsi="Times New Roman" w:cs="Times New Roman"/>
                <w:sz w:val="24"/>
                <w:szCs w:val="24"/>
              </w:rPr>
              <w:t>energy transition sectors, delivering projects for global clients for commercial decision-making, economic insights, and advisory in market entry and investments</w:t>
            </w:r>
            <w:r w:rsidR="00F01CF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1D6656DA" w:rsidR="004F6CBA" w:rsidRDefault="00F01CF5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Market Research, Strategy and Advisory, Stakeholder Management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6395A269" w:rsidR="004F6CBA" w:rsidRDefault="00F01CF5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e25ameyk@iimidr.ac.in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5A7553A9" w:rsidR="004F6CBA" w:rsidRDefault="00F01CF5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Amey Khanzode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F01CF5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281AC3EA" w:rsidR="00F01CF5" w:rsidRDefault="00F01CF5" w:rsidP="00F01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CF5">
              <w:rPr>
                <w:rFonts w:ascii="Times New Roman" w:eastAsia="Times New Roman" w:hAnsi="Times New Roman" w:cs="Times New Roman"/>
                <w:sz w:val="24"/>
                <w:szCs w:val="24"/>
              </w:rPr>
              <w:t>Indian Institute of Management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25DAA813" w:rsidR="00F01CF5" w:rsidRDefault="00F01CF5" w:rsidP="00F01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CF5">
              <w:rPr>
                <w:rFonts w:ascii="Times New Roman" w:eastAsia="Times New Roman" w:hAnsi="Times New Roman" w:cs="Times New Roman"/>
                <w:sz w:val="24"/>
                <w:szCs w:val="24"/>
              </w:rPr>
              <w:t>2025 –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506E9FFE" w:rsidR="00F01CF5" w:rsidRDefault="00F01CF5" w:rsidP="00F01C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CF5"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Business Administration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37E8C06C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Pennsylvania State University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1371A80E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2010-2012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2723E93F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Science (Petroleum and Natural Gas Engineering)</w:t>
            </w:r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69CDBFEE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of Pune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0F6AB9F4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2005-2010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3ACEADF5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Bachelor of Engineering (Petrochemical Engineering)</w:t>
            </w: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44C01BB7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Rising Star Award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543D7A1C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Awarded </w:t>
            </w:r>
            <w:r w:rsidR="009D47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S&amp;P Global (August 2022)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</w:t>
            </w:r>
            <w:r w:rsidRPr="00E10F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outstanding contribution </w:t>
            </w:r>
            <w:r w:rsidRPr="00E10F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 the execution of a global leadership dialogue series for an international client, culminating in a widely circulated public-domain report on the multidimensional aspects of energy transition.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3C00F324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Society of Petroleum Engineers Journal Published Article (</w:t>
            </w:r>
            <w:r w:rsidRPr="00E10F23">
              <w:rPr>
                <w:rFonts w:ascii="Times New Roman" w:eastAsia="Times New Roman" w:hAnsi="Times New Roman" w:cs="Times New Roman"/>
                <w:sz w:val="24"/>
                <w:szCs w:val="24"/>
              </w:rPr>
              <w:t>Paper Number: SPE-170626-PA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27CEE320" w:rsidR="004F6CBA" w:rsidRDefault="00E10F2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0F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Co-authored a peer-reviewed journal </w:t>
            </w:r>
            <w:r w:rsidRPr="00E10F23">
              <w:rPr>
                <w:rFonts w:ascii="Times New Roman" w:eastAsia="Times New Roman" w:hAnsi="Times New Roman" w:cs="Times New Roman"/>
                <w:sz w:val="24"/>
                <w:szCs w:val="24"/>
              </w:rPr>
              <w:t>paper published</w:t>
            </w:r>
            <w:r w:rsidRPr="00E10F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Society of Petroleum Engineers (SPE) Journal, based on my master’s thesis research on enhanced oil recovery through carbon dioxide flooding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6DBB67EC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Default="004F6CBA" w:rsidP="00D213C9"/>
        </w:tc>
      </w:tr>
      <w:tr w:rsidR="00AD4180" w14:paraId="4E18D88C" w14:textId="77777777" w:rsidTr="00AD4180">
        <w:trPr>
          <w:trHeight w:val="300"/>
        </w:trPr>
        <w:tc>
          <w:tcPr>
            <w:tcW w:w="1230" w:type="dxa"/>
            <w:vAlign w:val="center"/>
          </w:tcPr>
          <w:p w14:paraId="37142E3B" w14:textId="63D97ED7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S&amp;P Global Commodity Insights</w:t>
            </w:r>
          </w:p>
        </w:tc>
        <w:tc>
          <w:tcPr>
            <w:tcW w:w="1350" w:type="dxa"/>
            <w:vAlign w:val="center"/>
          </w:tcPr>
          <w:p w14:paraId="1C3E6EB1" w14:textId="3E45E322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Consultant</w:t>
            </w:r>
          </w:p>
        </w:tc>
        <w:tc>
          <w:tcPr>
            <w:tcW w:w="1620" w:type="dxa"/>
            <w:vAlign w:val="center"/>
          </w:tcPr>
          <w:p w14:paraId="22294D4D" w14:textId="18F4D13A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9/5/2022</w:t>
            </w:r>
          </w:p>
        </w:tc>
        <w:tc>
          <w:tcPr>
            <w:tcW w:w="1395" w:type="dxa"/>
            <w:vAlign w:val="center"/>
          </w:tcPr>
          <w:p w14:paraId="25874403" w14:textId="030B5299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4/1/2025</w:t>
            </w:r>
          </w:p>
        </w:tc>
        <w:tc>
          <w:tcPr>
            <w:tcW w:w="1795" w:type="dxa"/>
            <w:vAlign w:val="center"/>
          </w:tcPr>
          <w:p w14:paraId="5148F40A" w14:textId="3DF56009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years 7 months</w:t>
            </w:r>
          </w:p>
        </w:tc>
        <w:tc>
          <w:tcPr>
            <w:tcW w:w="2418" w:type="dxa"/>
            <w:vAlign w:val="center"/>
          </w:tcPr>
          <w:p w14:paraId="4B8092CA" w14:textId="77777777" w:rsid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sz w:val="24"/>
                <w:szCs w:val="24"/>
              </w:rPr>
              <w:t xml:space="preserve">• Advised global energy companies and government stakeholders on energy transition strategy, delivering 10+ projects across hydrogen, CCS, battery value chains, and emissions reduction. </w:t>
            </w:r>
          </w:p>
          <w:p w14:paraId="04130A7E" w14:textId="77777777" w:rsid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sz w:val="24"/>
                <w:szCs w:val="24"/>
              </w:rPr>
              <w:t xml:space="preserve">• Enabled decarbonization planning by designing tailored emissions abatement pathways and long-term </w:t>
            </w:r>
            <w:r w:rsidRPr="00AD41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investment roadmaps. • Guided clients through early-stage clean energy investment assessments, including hydrogen export feasibility, policy benchmarking, and infrastructure gap analysis. </w:t>
            </w:r>
          </w:p>
          <w:p w14:paraId="76C71260" w14:textId="1E8C367D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sz w:val="24"/>
                <w:szCs w:val="24"/>
              </w:rPr>
              <w:t>• Supported stakeholder engagement and content delivery for 5+ global industry events, representing and positioning SPGCI as a knowledge partner on global energy transition issues and clean energy trends.</w:t>
            </w:r>
          </w:p>
        </w:tc>
      </w:tr>
      <w:tr w:rsidR="00AD4180" w14:paraId="101E049A" w14:textId="77777777" w:rsidTr="00AD4180">
        <w:trPr>
          <w:trHeight w:val="300"/>
        </w:trPr>
        <w:tc>
          <w:tcPr>
            <w:tcW w:w="1230" w:type="dxa"/>
            <w:vAlign w:val="center"/>
          </w:tcPr>
          <w:p w14:paraId="562E073C" w14:textId="2863E81C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IHS Markit</w:t>
            </w:r>
          </w:p>
        </w:tc>
        <w:tc>
          <w:tcPr>
            <w:tcW w:w="1350" w:type="dxa"/>
            <w:vAlign w:val="center"/>
          </w:tcPr>
          <w:p w14:paraId="3ED87D50" w14:textId="1FD77957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Research Analyst II</w:t>
            </w:r>
          </w:p>
        </w:tc>
        <w:tc>
          <w:tcPr>
            <w:tcW w:w="1620" w:type="dxa"/>
            <w:vAlign w:val="center"/>
          </w:tcPr>
          <w:p w14:paraId="124C2ADA" w14:textId="31ABAD2D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5/13/2019</w:t>
            </w:r>
          </w:p>
        </w:tc>
        <w:tc>
          <w:tcPr>
            <w:tcW w:w="1395" w:type="dxa"/>
            <w:vAlign w:val="center"/>
          </w:tcPr>
          <w:p w14:paraId="0F1496EF" w14:textId="6538308D" w:rsidR="00AD4180" w:rsidRPr="00AD4180" w:rsidRDefault="006C70AA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AD4180"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  <w:r w:rsidR="00AD4180"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/2022</w:t>
            </w:r>
          </w:p>
        </w:tc>
        <w:tc>
          <w:tcPr>
            <w:tcW w:w="1795" w:type="dxa"/>
            <w:vAlign w:val="center"/>
          </w:tcPr>
          <w:p w14:paraId="23EF08F8" w14:textId="08949437" w:rsidR="00AD4180" w:rsidRPr="00AD4180" w:rsidRDefault="006C70AA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years 4 months</w:t>
            </w:r>
          </w:p>
        </w:tc>
        <w:tc>
          <w:tcPr>
            <w:tcW w:w="2418" w:type="dxa"/>
            <w:vAlign w:val="center"/>
          </w:tcPr>
          <w:p w14:paraId="70176024" w14:textId="77777777" w:rsidR="006C70AA" w:rsidRDefault="006C70AA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70AA">
              <w:rPr>
                <w:rFonts w:ascii="Times New Roman" w:hAnsi="Times New Roman" w:cs="Times New Roman"/>
                <w:sz w:val="24"/>
                <w:szCs w:val="24"/>
              </w:rPr>
              <w:t xml:space="preserve">• Produced 15+ company profiles and strategic insights covering global oilfield services (OFS) firms operating in subsea equipment, offshore rigs, onshore pipelay, and offshore wind. </w:t>
            </w:r>
          </w:p>
          <w:p w14:paraId="124FFC19" w14:textId="77777777" w:rsidR="006C70AA" w:rsidRDefault="006C70AA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70AA">
              <w:rPr>
                <w:rFonts w:ascii="Times New Roman" w:hAnsi="Times New Roman" w:cs="Times New Roman"/>
                <w:sz w:val="24"/>
                <w:szCs w:val="24"/>
              </w:rPr>
              <w:t xml:space="preserve">• Benchmarked financial performance, cost structures, and contracting trends across diverse OFS segments to aid client-side strategic decisions. </w:t>
            </w:r>
          </w:p>
          <w:p w14:paraId="2437EA23" w14:textId="284C4DC3" w:rsidR="00AD4180" w:rsidRPr="00AD4180" w:rsidRDefault="006C70AA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sz w:val="24"/>
                <w:szCs w:val="24"/>
              </w:rPr>
              <w:t>• Delivered webinars on CCS supply chain trends, attended by 100+ clients, generated follow-up interest from multiple energy companies.</w:t>
            </w:r>
          </w:p>
        </w:tc>
      </w:tr>
      <w:tr w:rsidR="00AD4180" w14:paraId="21B3C6C1" w14:textId="77777777" w:rsidTr="00AD4180">
        <w:trPr>
          <w:trHeight w:val="300"/>
        </w:trPr>
        <w:tc>
          <w:tcPr>
            <w:tcW w:w="1230" w:type="dxa"/>
            <w:vAlign w:val="center"/>
          </w:tcPr>
          <w:p w14:paraId="0CCA8267" w14:textId="6C93D352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Schlumberger </w:t>
            </w:r>
          </w:p>
        </w:tc>
        <w:tc>
          <w:tcPr>
            <w:tcW w:w="1350" w:type="dxa"/>
            <w:vAlign w:val="center"/>
          </w:tcPr>
          <w:p w14:paraId="4FF95A32" w14:textId="2E019965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Consultant</w:t>
            </w:r>
            <w:r w:rsidR="000959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(on </w:t>
            </w:r>
            <w:r w:rsidR="000959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contract)</w:t>
            </w:r>
          </w:p>
        </w:tc>
        <w:tc>
          <w:tcPr>
            <w:tcW w:w="1620" w:type="dxa"/>
            <w:vAlign w:val="center"/>
          </w:tcPr>
          <w:p w14:paraId="2C061385" w14:textId="2BE9E8BD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8/3/2014</w:t>
            </w:r>
          </w:p>
        </w:tc>
        <w:tc>
          <w:tcPr>
            <w:tcW w:w="1395" w:type="dxa"/>
            <w:vAlign w:val="center"/>
          </w:tcPr>
          <w:p w14:paraId="0027A99D" w14:textId="47926F54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5/31/2015</w:t>
            </w:r>
          </w:p>
        </w:tc>
        <w:tc>
          <w:tcPr>
            <w:tcW w:w="1795" w:type="dxa"/>
            <w:vAlign w:val="center"/>
          </w:tcPr>
          <w:p w14:paraId="0CA2ACC7" w14:textId="4650A5BE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months</w:t>
            </w:r>
          </w:p>
        </w:tc>
        <w:tc>
          <w:tcPr>
            <w:tcW w:w="2418" w:type="dxa"/>
            <w:vAlign w:val="center"/>
          </w:tcPr>
          <w:p w14:paraId="18FE3919" w14:textId="77777777" w:rsidR="00095926" w:rsidRDefault="00095926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926">
              <w:rPr>
                <w:rFonts w:ascii="Times New Roman" w:hAnsi="Times New Roman" w:cs="Times New Roman"/>
                <w:sz w:val="24"/>
                <w:szCs w:val="24"/>
              </w:rPr>
              <w:t xml:space="preserve">• Improved field recovery estimates by </w:t>
            </w:r>
            <w:r w:rsidRPr="000959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~8% by conducting reservoir simulation and history matching for a mature oilfield in Assam, India. </w:t>
            </w:r>
          </w:p>
          <w:p w14:paraId="57CAFF5F" w14:textId="0C078ECE" w:rsidR="00AD4180" w:rsidRPr="00AD4180" w:rsidRDefault="00095926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926">
              <w:rPr>
                <w:rFonts w:ascii="Times New Roman" w:hAnsi="Times New Roman" w:cs="Times New Roman"/>
                <w:sz w:val="24"/>
                <w:szCs w:val="24"/>
              </w:rPr>
              <w:t>• Performed prediction runs and scenario analysis for incremental oil and gas production planning.</w:t>
            </w:r>
          </w:p>
        </w:tc>
      </w:tr>
      <w:tr w:rsidR="00AD4180" w14:paraId="44F0764E" w14:textId="77777777" w:rsidTr="00AD4180">
        <w:trPr>
          <w:trHeight w:val="300"/>
        </w:trPr>
        <w:tc>
          <w:tcPr>
            <w:tcW w:w="1230" w:type="dxa"/>
            <w:vAlign w:val="center"/>
          </w:tcPr>
          <w:p w14:paraId="7607E2CC" w14:textId="051992CC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MK Tech Solutions</w:t>
            </w:r>
          </w:p>
        </w:tc>
        <w:tc>
          <w:tcPr>
            <w:tcW w:w="1350" w:type="dxa"/>
            <w:vAlign w:val="center"/>
          </w:tcPr>
          <w:p w14:paraId="27949131" w14:textId="45166FDF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Reservoir Engineer</w:t>
            </w:r>
          </w:p>
        </w:tc>
        <w:tc>
          <w:tcPr>
            <w:tcW w:w="1620" w:type="dxa"/>
            <w:vAlign w:val="center"/>
          </w:tcPr>
          <w:p w14:paraId="0992B9A1" w14:textId="57C5CD18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9/3/2013</w:t>
            </w:r>
          </w:p>
        </w:tc>
        <w:tc>
          <w:tcPr>
            <w:tcW w:w="1395" w:type="dxa"/>
            <w:vAlign w:val="center"/>
          </w:tcPr>
          <w:p w14:paraId="5CE80B23" w14:textId="5A59FAEB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1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4/15/2014</w:t>
            </w:r>
          </w:p>
        </w:tc>
        <w:tc>
          <w:tcPr>
            <w:tcW w:w="1795" w:type="dxa"/>
            <w:vAlign w:val="center"/>
          </w:tcPr>
          <w:p w14:paraId="4D0019A7" w14:textId="7CA4849C" w:rsidR="00AD4180" w:rsidRPr="00AD4180" w:rsidRDefault="00AD4180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months</w:t>
            </w:r>
          </w:p>
        </w:tc>
        <w:tc>
          <w:tcPr>
            <w:tcW w:w="2418" w:type="dxa"/>
            <w:vAlign w:val="center"/>
          </w:tcPr>
          <w:p w14:paraId="624783B0" w14:textId="77777777" w:rsidR="00095926" w:rsidRDefault="00095926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926">
              <w:rPr>
                <w:rFonts w:ascii="Times New Roman" w:hAnsi="Times New Roman" w:cs="Times New Roman"/>
                <w:sz w:val="24"/>
                <w:szCs w:val="24"/>
              </w:rPr>
              <w:t xml:space="preserve">• Built dynamic reservoir models to assess feasibility of CO₂-EOR in marginal fields, delivering economic screening for independent operators across Texas. </w:t>
            </w:r>
          </w:p>
          <w:p w14:paraId="17E4F0A4" w14:textId="16EB772C" w:rsidR="00AD4180" w:rsidRPr="00AD4180" w:rsidRDefault="00095926" w:rsidP="00AD41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926">
              <w:rPr>
                <w:rFonts w:ascii="Times New Roman" w:hAnsi="Times New Roman" w:cs="Times New Roman"/>
                <w:sz w:val="24"/>
                <w:szCs w:val="24"/>
              </w:rPr>
              <w:t>• Simulated performance of different injection scenarios, contributing to optimized recovery techniques.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95926"/>
    <w:rsid w:val="001A7E8E"/>
    <w:rsid w:val="001C76B5"/>
    <w:rsid w:val="00250443"/>
    <w:rsid w:val="00464947"/>
    <w:rsid w:val="004F6CBA"/>
    <w:rsid w:val="006C70AA"/>
    <w:rsid w:val="009310AD"/>
    <w:rsid w:val="009D4714"/>
    <w:rsid w:val="00A54E77"/>
    <w:rsid w:val="00AD4180"/>
    <w:rsid w:val="00AE1474"/>
    <w:rsid w:val="00CA78A6"/>
    <w:rsid w:val="00E10F23"/>
    <w:rsid w:val="00E43B35"/>
    <w:rsid w:val="00F0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01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1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41246">
          <w:marLeft w:val="-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1901">
          <w:marLeft w:val="-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mey-khanz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Amey Khanzode</cp:lastModifiedBy>
  <cp:revision>5</cp:revision>
  <dcterms:created xsi:type="dcterms:W3CDTF">2025-07-08T12:56:00Z</dcterms:created>
  <dcterms:modified xsi:type="dcterms:W3CDTF">2025-07-20T18:12:00Z</dcterms:modified>
</cp:coreProperties>
</file>