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94" w:tblpY="0"/>
        <w:tblW w:w="9520.0" w:type="dxa"/>
        <w:jc w:val="left"/>
        <w:tblLayout w:type="fixed"/>
        <w:tblLook w:val="0400"/>
      </w:tblPr>
      <w:tblGrid>
        <w:gridCol w:w="3316"/>
        <w:gridCol w:w="6204"/>
        <w:tblGridChange w:id="0">
          <w:tblGrid>
            <w:gridCol w:w="3316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Vijayaraghavendra 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SAAS, Ed-tech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years 8 months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Vijayaraghavendra R is an MIT Manipal graduate and MBA candidate at IIM Indore, with over 7 years of experience across high-growth SaaS and edtech companies.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 has held key roles in corporate strategy and sales leadership, building business functions from the ground up and driving market expansion, funnel optimization, and organizational scale-up. Vijay has worked closely with CXO-level stakeholders to solve complex growth and efficiency challenges through structured execution and cross-functional leadership.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 brings deep expertise in go-to-market strategy, sales transformation, and operational excellence, and is now seeking to transition into a management consulting role to drive impact across sectors.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Corporate strategy, Sales &amp; marketing, sales operations, Project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e25vijayaraghavendrar@iimidr.ac.in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www.linkedin.com/in/vijayaraghavendra-r-583616140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Ind w:w="-441.0" w:type="dxa"/>
        <w:tblLayout w:type="fixed"/>
        <w:tblLook w:val="0400"/>
      </w:tblPr>
      <w:tblGrid>
        <w:gridCol w:w="2082"/>
        <w:gridCol w:w="3256"/>
        <w:gridCol w:w="4302"/>
        <w:tblGridChange w:id="0">
          <w:tblGrid>
            <w:gridCol w:w="2082"/>
            <w:gridCol w:w="3256"/>
            <w:gridCol w:w="430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4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Indian Institute of Management, Indore (IIMI)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MBA</w:t>
            </w:r>
          </w:p>
        </w:tc>
      </w:tr>
      <w:tr>
        <w:trPr>
          <w:cantSplit w:val="0"/>
          <w:trHeight w:val="10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Manipal Institute of technology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2014-2018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B-tech – Aeronautical engineering 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441.0" w:type="dxa"/>
        <w:tblLayout w:type="fixed"/>
        <w:tblLook w:val="0400"/>
      </w:tblPr>
      <w:tblGrid>
        <w:gridCol w:w="2696"/>
        <w:gridCol w:w="6802"/>
        <w:tblGridChange w:id="0">
          <w:tblGrid>
            <w:gridCol w:w="2696"/>
            <w:gridCol w:w="6802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Certified Level 3 Muay Thai Fighter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World muaythai federation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National Kickboxing Athlete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National Kickboxing Athlete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WAKO India, 2021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Development Excellence 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Recognised as one of the top 10 employers in the organisation.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Inspiring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NxtWave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582.0" w:type="dxa"/>
        <w:tblLayout w:type="fixed"/>
        <w:tblLook w:val="0400"/>
      </w:tblPr>
      <w:tblGrid>
        <w:gridCol w:w="3037"/>
        <w:gridCol w:w="5185"/>
        <w:gridCol w:w="1701"/>
        <w:tblGridChange w:id="0">
          <w:tblGrid>
            <w:gridCol w:w="3037"/>
            <w:gridCol w:w="5185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International Trade ( Import &amp; Export )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Exim Institute 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Wharton online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3E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2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01"/>
        <w:gridCol w:w="1418"/>
        <w:gridCol w:w="1275"/>
        <w:gridCol w:w="1395"/>
        <w:gridCol w:w="1299"/>
        <w:gridCol w:w="2914"/>
        <w:tblGridChange w:id="0">
          <w:tblGrid>
            <w:gridCol w:w="1701"/>
            <w:gridCol w:w="1418"/>
            <w:gridCol w:w="1275"/>
            <w:gridCol w:w="1395"/>
            <w:gridCol w:w="1299"/>
            <w:gridCol w:w="291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Openlearning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Head of sales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09-2024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04-2025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09 months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•Closed ₹5 Cr+ in outbound deals across India, Australia &amp; Southeast Asia by selling AI-powered SaaS to CXOs in higher ed &amp; enterprise L&amp;D.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•Scaled Indian market via national reseller network boosting reach while reducing CAC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by 25%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•Led team of 3, achieving 90% client retention through consultative sales.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•Shared client insights with global exec team to shape product and pricing.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Nxtwave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Asst Vice president - Sales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11-2022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11-2023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12 months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Launched Karnataka operations from scratch, scaling revenue from ₹0 to ₹30 Cr annually within a year.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• Built and led a 100+ member cross-functional team, reducing ramp-up time by 50% and improving productivity by 35%.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• Introduced webinar and affiliate marketing channels boosted lead conversions by 30% and diversified top-of-funnel strategy.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• Designed performance dashboards and implemented structured feedback loops to enhance ROI and lower attrition rates. • Localized sales tools and playbooks for Tier-2 markets resulting in a 40% uplift in demo-to-sale conversion.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Byju’s 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Senior Manager – Founder’s office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07-2022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10-2022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 Years 3 Months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Led ₹1,500 Cr South India operations, scaling regional hiring, GTM, and sales ops to achieve 73% target delivery during hypergrowth.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• Part of core team for Aakash acquisition drove competitor benchmarking and TAM–SAM–SOM modeling reviewed by board &amp; investors.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• Transformed national sales funnel (20K reps) by deploying CRM automation, boosting bookings from 6% to 10% and follow-up success by 5%.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• Built and scaled the BDT program, reducing early attrition by 25% and increasing onboarding productivity by 30%.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• Unlocked regional insights from 15K+ users reshaped messaging for 100+ cities using JTBD &amp; segmentation frameworks.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• Created CXO-level dashboards (Tableau, Excel, LeadSquared) to drive data-backed execution across national teams.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lang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F21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F2165"/>
    <w:rPr>
      <w:color w:val="605e5c"/>
      <w:shd w:color="auto" w:fill="e1dfdd" w:val="clear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 w:val="1"/>
    <w:rsid w:val="00DE74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DE74C2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7DLO2F1FJXbWXNnCFSM3vmgF4w==">CgMxLjA4AHIhMURGa2Z2WHdhTTJEejNSU09ZSjRXck1iZmdfVldNa0ZJ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2025-07-20T15:14:00Z</dcterms:created>
  <dc:creator>Saurabh Shubham</dc:creator>
</cp:coreProperties>
</file>