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17:47:11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1579.367</w:t>
            </w:r>
          </w:p>
        </w:tc>
        <w:tc>
          <w:tcPr>
            <w:tcW w:type="dxa" w:w="720"/>
          </w:tcPr>
          <w:p>
            <w:r>
              <w:t>1579.367</w:t>
            </w:r>
          </w:p>
        </w:tc>
        <w:tc>
          <w:tcPr>
            <w:tcW w:type="dxa" w:w="720"/>
          </w:tcPr>
          <w:p>
            <w:r>
              <w:t>1579.367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4785.227</w:t>
            </w:r>
          </w:p>
        </w:tc>
        <w:tc>
          <w:tcPr>
            <w:tcW w:type="dxa" w:w="720"/>
          </w:tcPr>
          <w:p>
            <w:r>
              <w:t>4785.227</w:t>
            </w:r>
          </w:p>
        </w:tc>
        <w:tc>
          <w:tcPr>
            <w:tcW w:type="dxa" w:w="720"/>
          </w:tcPr>
          <w:p>
            <w:r>
              <w:t>4785.227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