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on running a lettings round</w:t>
      </w:r>
    </w:p>
    <w:p>
      <w:r>
        <w:t>The vacated-plots log lists the plots that had fallen vacant when it was last updated. Plots that fall vacant afterwards (a notice to quit running out, a tenant dying or surrendering) reach the office by mail and scan, not on the log, and join the round in vacated-date order like any other plot.</w:t>
      </w:r>
    </w:p>
    <w:p>
      <w:r>
        <w:t>Standing instructions (which sites an applicant will take, whether they need water) are on the applicant preferences export. The site plans show which plots have troughs and which beds are raised. Households are on the household register; current holdings are on the plot table.</w:t>
      </w:r>
    </w:p>
    <w:p>
      <w:r>
        <w:t>Applicants put things in writing in several ways: by letter or email, by WhatsApp message, by text to the office's SMS reminder line, or through the council's web contact form, which the contact centre logs as a ticket on the parks helpdesk. Each of these is writing for the lettings policy, and it counts from the day it arrives.</w:t>
      </w:r>
    </w:p>
    <w:p>
      <w:r>
        <w:t>Offer messages respect the applicant's record as well as their messaging consent: where the waiting-list record carries a contact hold running past the day of the round, no offer message is sent on the day, the offer notice is recorded as none, and the office writes once the hold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on running a lettings round</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