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Schedule of allotment charges 2027</w:t>
      </w:r>
    </w:p>
    <w:p>
      <w:r>
        <w:t>Adopted 2026-09-15. Applies to every tenancy year starting on 1 January 2027.</w:t>
      </w:r>
    </w:p>
    <w:p>
      <w:pPr>
        <w:pStyle w:val="Heading1"/>
      </w:pPr>
      <w:r>
        <w:t>1. Annual rent</w:t>
      </w:r>
    </w:p>
    <w:p>
      <w:r>
        <w:t>Plot rent = plot area in square metres x the site rate in Appendix A. Raised-bed plots pay the flat raised-bed charge instead of an area rent. Plots measured in poles are converted at 1 pole = 25.29 square metres, to one decimal place, before the rate is applied. Where the plot table says 'to be measured', the area is the sum of the let beds on the surveyor's measure tally (lengths x widths), to one decimal place; paths are not let.</w:t>
      </w:r>
    </w:p>
    <w:p>
      <w:r>
        <w:t>The plot area is the one the council's plot table carries when the plot's register line is written. The latest entry in the plot table counts, and a register line already written that a later entry changes is put right before the round is reported.</w:t>
      </w:r>
    </w:p>
    <w:p>
      <w:r>
        <w:t>A plot with a water trough also pays the water charge. A tenant holding a concession certificate valid on the first day of the tenancy year pays the plot rent less the concession in Appendix A; the water charge is never reduced. Round the plot rent after the concession to the penny, half up, then add the water charge.</w:t>
      </w:r>
    </w:p>
    <w:p>
      <w:pPr>
        <w:pStyle w:val="Heading1"/>
      </w:pPr>
      <w:r>
        <w:t>Appendix A. Rates</w:t>
      </w:r>
    </w:p>
    <w:tbl>
      <w:tblPr>
        <w:tblStyle w:val="TableGrid"/>
        <w:tblW w:type="auto" w:w="0"/>
        <w:tblLook w:firstColumn="1" w:firstRow="1" w:lastColumn="0" w:lastRow="0" w:noHBand="0" w:noVBand="1" w:val="04A0"/>
      </w:tblPr>
      <w:tblGrid>
        <w:gridCol w:w="4320"/>
        <w:gridCol w:w="4320"/>
      </w:tblGrid>
      <w:tr>
        <w:tc>
          <w:tcPr>
            <w:tcW w:type="dxa" w:w="4320"/>
          </w:tcPr>
          <w:p>
            <w:r>
              <w:t>Charge</w:t>
            </w:r>
          </w:p>
        </w:tc>
        <w:tc>
          <w:tcPr>
            <w:tcW w:type="dxa" w:w="4320"/>
          </w:tcPr>
          <w:p>
            <w:r>
              <w:t>2027</w:t>
            </w:r>
          </w:p>
        </w:tc>
      </w:tr>
      <w:tr>
        <w:tc>
          <w:tcPr>
            <w:tcW w:type="dxa" w:w="4320"/>
          </w:tcPr>
          <w:p>
            <w:r>
              <w:t>Hollins Lane rate per m²</w:t>
            </w:r>
          </w:p>
        </w:tc>
        <w:tc>
          <w:tcPr>
            <w:tcW w:type="dxa" w:w="4320"/>
          </w:tcPr>
          <w:p>
            <w:r>
              <w:t>0.36</w:t>
            </w:r>
          </w:p>
        </w:tc>
      </w:tr>
      <w:tr>
        <w:tc>
          <w:tcPr>
            <w:tcW w:type="dxa" w:w="4320"/>
          </w:tcPr>
          <w:p>
            <w:r>
              <w:t>Brook Meadow rate per m²</w:t>
            </w:r>
          </w:p>
        </w:tc>
        <w:tc>
          <w:tcPr>
            <w:tcW w:type="dxa" w:w="4320"/>
          </w:tcPr>
          <w:p>
            <w:r>
              <w:t>0.42</w:t>
            </w:r>
          </w:p>
        </w:tc>
      </w:tr>
      <w:tr>
        <w:tc>
          <w:tcPr>
            <w:tcW w:type="dxa" w:w="4320"/>
          </w:tcPr>
          <w:p>
            <w:r>
              <w:t>Quarry Field rate per m²</w:t>
            </w:r>
          </w:p>
        </w:tc>
        <w:tc>
          <w:tcPr>
            <w:tcW w:type="dxa" w:w="4320"/>
          </w:tcPr>
          <w:p>
            <w:r>
              <w:t>0.28</w:t>
            </w:r>
          </w:p>
        </w:tc>
      </w:tr>
      <w:tr>
        <w:tc>
          <w:tcPr>
            <w:tcW w:type="dxa" w:w="4320"/>
          </w:tcPr>
          <w:p>
            <w:r>
              <w:t>Raised-bed plot (flat)</w:t>
            </w:r>
          </w:p>
        </w:tc>
        <w:tc>
          <w:tcPr>
            <w:tcW w:type="dxa" w:w="4320"/>
          </w:tcPr>
          <w:p>
            <w:r>
              <w:t>24.00</w:t>
            </w:r>
          </w:p>
        </w:tc>
      </w:tr>
      <w:tr>
        <w:tc>
          <w:tcPr>
            <w:tcW w:type="dxa" w:w="4320"/>
          </w:tcPr>
          <w:p>
            <w:r>
              <w:t>Water charge per plot with a trough</w:t>
            </w:r>
          </w:p>
        </w:tc>
        <w:tc>
          <w:tcPr>
            <w:tcW w:type="dxa" w:w="4320"/>
          </w:tcPr>
          <w:p>
            <w:r>
              <w:t>16.00</w:t>
            </w:r>
          </w:p>
        </w:tc>
      </w:tr>
      <w:tr>
        <w:tc>
          <w:tcPr>
            <w:tcW w:type="dxa" w:w="4320"/>
          </w:tcPr>
          <w:p>
            <w:r>
              <w:t>Concession (off plot rent)</w:t>
            </w:r>
          </w:p>
        </w:tc>
        <w:tc>
          <w:tcPr>
            <w:tcW w:type="dxa" w:w="4320"/>
          </w:tcPr>
          <w:p>
            <w:r>
              <w:t>40%</w:t>
            </w:r>
          </w:p>
        </w:tc>
      </w:tr>
    </w:tbl>
    <w:p>
      <w:r>
        <w:t xml:space="preserve">When the income_certificates register contains issued concession certificates for an applicant, their signed validity intervals govern in place of the evidence export. A concession must cover the tenancy charging date, including both interval endpoints. A pending application, unsigned draft or a renewal starting after that date does not bridge a gap. This changes rent, not eligibility or plot ranking.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Schedule of charges 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of allotment charges 2027</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