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Complaints policy (2025)</w:t>
      </w:r>
    </w:p>
    <w:p>
      <w:pPr>
        <w:pStyle w:val="Heading2"/>
      </w:pPr>
      <w:r>
        <w:t xml:space="preserve">Stage 1</w:t>
      </w:r>
    </w:p>
    <w:p>
      <w:pPr>
        <w:pStyle w:val="Normal"/>
      </w:pPr>
      <w:r>
        <w:t xml:space="preserve">We acknowledge a complaint within 2 working days and reply within 10 working days.</w:t>
      </w:r>
    </w:p>
    <w:p>
      <w:pPr>
        <w:pStyle w:val="Heading2"/>
      </w:pPr>
      <w:r>
        <w:t xml:space="preserve">Stage 2</w:t>
      </w:r>
    </w:p>
    <w:p>
      <w:pPr>
        <w:pStyle w:val="Normal"/>
      </w:pPr>
      <w:r>
        <w:t xml:space="preserve">If you are unhappy with our stage 1 reply, a senior manager reviews the complaint and replies within 20 working days.</w:t>
      </w:r>
    </w:p>
    <w:p>
      <w:pPr>
        <w:pStyle w:val="Heading2"/>
      </w:pPr>
      <w:r>
        <w:t xml:space="preserve">Putting things right</w:t>
      </w:r>
    </w:p>
    <w:p>
      <w:pPr>
        <w:pStyle w:val="Normal"/>
      </w:pPr>
      <w:r>
        <w:t xml:space="preserve">Where we uphold a complaint we may offer a goodwill payment. Goodwill payments are agreed by the complaints officer and paid from the complaints budget. They are separate from repairs compensation under the repairs service standard.</w:t>
      </w:r>
    </w:p>
    <w:p>
      <w:pPr>
        <w:pStyle w:val="Heading2"/>
      </w:pPr>
      <w:r>
        <w:t xml:space="preserve">The Housing Ombudsman</w:t>
      </w:r>
    </w:p>
    <w:p>
      <w:pPr>
        <w:pStyle w:val="Normal"/>
      </w:pPr>
      <w:r>
        <w:t xml:space="preserve">You can contact the Housing Ombudsman at any time for advice.</w:t>
      </w:r>
    </w:p>
    <w:sectPr/>
  </w:body>
</w:document>
</file>